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jc w:val="center"/>
      </w:pPr>
      <w:r>
        <w:rPr>
          <w:b/>
          <w:sz w:val="28"/>
        </w:rPr>
        <w:t>Updated Response to Reviewer 2 (scoping-review reframing)</w:t>
      </w:r>
    </w:p>
    <w:p>
      <w:pPr>
        <w:spacing w:before="0" w:after="160" w:line="312" w:lineRule="auto"/>
        <w:jc w:val="center"/>
      </w:pPr>
      <w:r>
        <w:rPr>
          <w:sz w:val="22"/>
        </w:rPr>
        <w:t>Big Five Personality Traits and Academic Achievement in Online Learning Environments: A Scoping Review with Exploratory Quantitative Synthesis</w:t>
      </w:r>
    </w:p>
    <w:p>
      <w:pPr>
        <w:spacing w:before="0" w:after="360" w:line="312" w:lineRule="auto"/>
        <w:jc w:val="center"/>
      </w:pPr>
      <w:r>
        <w:rPr>
          <w:sz w:val="20"/>
        </w:rPr>
        <w:t>Frontiers in Education  |  Manuscript ID 1866537  |  Response date: 03 July 2026</w:t>
      </w:r>
    </w:p>
    <w:p>
      <w:pPr>
        <w:spacing w:before="0" w:after="120" w:line="312" w:lineRule="auto"/>
      </w:pPr>
      <w:r>
        <w:rPr>
          <w:sz w:val="22"/>
        </w:rPr>
        <w:t>I am very grateful to Reviewer 2 for the supportive evaluation of the previous version ("Accept in current form," 04 Jun 2026) and for the seven constructive recommendations for strengthening the manuscript before publication. Following the reactivation of the review by the Frontiers in Education editorial office on 02 Jul 2026, I would like to briefly explain the structural change made to the manuscript since the previous review round and to confirm that each of Reviewer 2's earlier recommendations has been addressed in the revised version.</w:t>
      </w:r>
    </w:p>
    <w:p>
      <w:pPr>
        <w:spacing w:before="0" w:after="120" w:line="312" w:lineRule="auto"/>
      </w:pPr>
      <w:r>
        <w:rPr>
          <w:sz w:val="22"/>
        </w:rPr>
        <w:t>Since the last review round, the manuscript has undergone a reframing from a systematic review and meta-analysis to a scoping review with an exploratory quantitative synthesis. The reason is a structural concern regarding the pre-registered six-database search: PsycINFO, Scopus, Web of Science, and ProQuest Dissertations require institutional subscription access that I do not have, and the providers (Clarivate, Elsevier, the American Psychological Association) do not offer individual subscriptions. On closer reflection I did not consider it possible to publish the manuscript honestly as a systematic review when the systematic-search criterion had not in fact been met. The reframing therefore revises the Title, Abstract, Methods → Information Sources subsection, and Conclusion to describe honestly what was and was not searched; adopts PRISMA-ScR (Tricco et al., 2018) as the reporting framework in place of PRISMA 2020; reframes the Hypotheses H1–H5 as descriptive Mapping Priors MP1–MP5; and recalibrates the language throughout from confirmatory to exploratory. The Results, the Methods sections other than Information Sources, the analytical pipeline, and the underlying data are unchanged from the previously reviewed version.</w:t>
      </w:r>
    </w:p>
    <w:p>
      <w:pPr>
        <w:spacing w:before="0" w:after="120" w:line="312" w:lineRule="auto"/>
      </w:pPr>
      <w:r>
        <w:rPr>
          <w:sz w:val="22"/>
        </w:rPr>
        <w:t>Reviewer 2's seven earlier recommendations have been addressed as follows in the revised (scoping-reframed) manuscript:</w:t>
      </w:r>
    </w:p>
    <w:p>
      <w:pPr>
        <w:spacing w:before="200" w:after="120" w:line="312" w:lineRule="auto"/>
      </w:pPr>
      <w:r>
        <w:rPr>
          <w:b/>
          <w:sz w:val="24"/>
        </w:rPr>
        <w:t>R2-1 — Small quantitative synthesis pool implications</w:t>
      </w:r>
    </w:p>
    <w:p>
      <w:pPr>
        <w:spacing w:before="0" w:after="120" w:line="312" w:lineRule="auto"/>
      </w:pPr>
      <w:r>
        <w:rPr>
          <w:b/>
          <w:sz w:val="22"/>
        </w:rPr>
        <w:t>Response.</w:t>
      </w:r>
    </w:p>
    <w:p>
      <w:pPr>
        <w:spacing w:before="0" w:after="120" w:line="312" w:lineRule="auto"/>
      </w:pPr>
      <w:r>
        <w:rPr>
          <w:sz w:val="22"/>
        </w:rPr>
        <w:t>The Limitations section first paragraph now states explicitly that the exploratory quantitative pool of k = 10 (6 direct + 4 β-converted correlations) is at the lower bound of robust random-effects estimation, that pooled estimates are unstable, that heterogeneity is poorly estimated, and that prediction intervals are wide. The Abstract and Conclusion now lead with this small-k caveat, and the Discussion adds a Distinguishing Robust from Fragile Findings subsection classifying Conscientiousness as the relatively robust finding and marking the other traits and the subgroup contrasts as fragile.</w:t>
      </w:r>
    </w:p>
    <w:p>
      <w:pPr>
        <w:spacing w:before="200" w:after="120" w:line="312" w:lineRule="auto"/>
      </w:pPr>
      <w:r>
        <w:rPr>
          <w:b/>
          <w:sz w:val="24"/>
        </w:rPr>
        <w:t>R2-2 — Single-reviewer screening/extraction rationale</w:t>
      </w:r>
    </w:p>
    <w:p>
      <w:pPr>
        <w:spacing w:before="0" w:after="120" w:line="312" w:lineRule="auto"/>
      </w:pPr>
      <w:r>
        <w:rPr>
          <w:b/>
          <w:sz w:val="22"/>
        </w:rPr>
        <w:t>Response.</w:t>
      </w:r>
    </w:p>
    <w:p>
      <w:pPr>
        <w:spacing w:before="0" w:after="120" w:line="312" w:lineRule="auto"/>
      </w:pPr>
      <w:r>
        <w:rPr>
          <w:sz w:val="22"/>
        </w:rPr>
        <w:t>The Limitations third paragraph now states that intra-rater reliability cannot replicate inter-rater independence and that single-reviewer workflows are known to be susceptible to confirmation effects in study inclusion and extraction-convention drift. Actual observed intra-rater Cohen's kappa values are reported in the Methods → Study Selection subsection rather than only the target threshold.</w:t>
      </w:r>
    </w:p>
    <w:p>
      <w:pPr>
        <w:spacing w:before="200" w:after="120" w:line="312" w:lineRule="auto"/>
      </w:pPr>
      <w:r>
        <w:rPr>
          <w:b/>
          <w:sz w:val="24"/>
        </w:rPr>
        <w:t>R2-3 — Blended vs fully online modality clarification</w:t>
      </w:r>
    </w:p>
    <w:p>
      <w:pPr>
        <w:spacing w:before="0" w:after="120" w:line="312" w:lineRule="auto"/>
      </w:pPr>
      <w:r>
        <w:rPr>
          <w:b/>
          <w:sz w:val="22"/>
        </w:rPr>
        <w:t>Response.</w:t>
      </w:r>
    </w:p>
    <w:p>
      <w:pPr>
        <w:spacing w:before="0" w:after="120" w:line="312" w:lineRule="auto"/>
      </w:pPr>
      <w:r>
        <w:rPr>
          <w:sz w:val="22"/>
        </w:rPr>
        <w:t>The Methods → Eligibility Criteria subsection now explicitly distinguishes fully asynchronous, fully synchronous online, blended, and MOOC modalities, and reports the per-study modality coding in Table 1. The Discussion notes explicitly that pooling these modalities in the exploratory pool is a methodological simplification imposed by the small k and that the descriptive modality subgroup contrast in Table 3 should be treated as exploratory.</w:t>
      </w:r>
    </w:p>
    <w:p>
      <w:pPr>
        <w:spacing w:before="200" w:after="120" w:line="312" w:lineRule="auto"/>
      </w:pPr>
      <w:r>
        <w:rPr>
          <w:b/>
          <w:sz w:val="24"/>
        </w:rPr>
        <w:t>R2-4 — Converted effect-size limitations</w:t>
      </w:r>
    </w:p>
    <w:p>
      <w:pPr>
        <w:spacing w:before="0" w:after="120" w:line="312" w:lineRule="auto"/>
      </w:pPr>
      <w:r>
        <w:rPr>
          <w:b/>
          <w:sz w:val="22"/>
        </w:rPr>
        <w:t>Response.</w:t>
      </w:r>
    </w:p>
    <w:p>
      <w:pPr>
        <w:spacing w:before="0" w:after="120" w:line="312" w:lineRule="auto"/>
      </w:pPr>
      <w:r>
        <w:rPr>
          <w:sz w:val="22"/>
        </w:rPr>
        <w:t>The Methods → Effect-Size Conversion subsection expands the discussion of the Peterson and Brown (2005) β-to-r conversion assumptions, the two-predictor rule applied, and the limits of comparability of β-converted estimates with zero-order correlations. The β-converted-excluded sensitivity analysis is now reported in the Results section with explicit attention to the |Δr| shifts for Neuroticism and Openness.</w:t>
      </w:r>
    </w:p>
    <w:p>
      <w:pPr>
        <w:spacing w:before="200" w:after="120" w:line="312" w:lineRule="auto"/>
      </w:pPr>
      <w:r>
        <w:rPr>
          <w:b/>
          <w:sz w:val="24"/>
        </w:rPr>
        <w:t>R2-5 — Publication-bias power</w:t>
      </w:r>
    </w:p>
    <w:p>
      <w:pPr>
        <w:spacing w:before="0" w:after="120" w:line="312" w:lineRule="auto"/>
      </w:pPr>
      <w:r>
        <w:rPr>
          <w:b/>
          <w:sz w:val="22"/>
        </w:rPr>
        <w:t>Response.</w:t>
      </w:r>
    </w:p>
    <w:p>
      <w:pPr>
        <w:spacing w:before="0" w:after="120" w:line="312" w:lineRule="auto"/>
      </w:pPr>
      <w:r>
        <w:rPr>
          <w:sz w:val="22"/>
        </w:rPr>
        <w:t>The Methods → Publication-Bias Assessment subsection and the Limitations section now state explicitly that Egger's regression and trim-and-fill analyses are underpowered at k = 10 and that the publication-bias results are presented descriptively rather than as inferential tests of bias.</w:t>
      </w:r>
    </w:p>
    <w:p>
      <w:pPr>
        <w:spacing w:before="200" w:after="120" w:line="312" w:lineRule="auto"/>
      </w:pPr>
      <w:r>
        <w:rPr>
          <w:b/>
          <w:sz w:val="24"/>
        </w:rPr>
        <w:t>R2-6 — Cautious causal language</w:t>
      </w:r>
    </w:p>
    <w:p>
      <w:pPr>
        <w:spacing w:before="0" w:after="120" w:line="312" w:lineRule="auto"/>
      </w:pPr>
      <w:r>
        <w:rPr>
          <w:b/>
          <w:sz w:val="22"/>
        </w:rPr>
        <w:t>Response.</w:t>
      </w:r>
    </w:p>
    <w:p>
      <w:pPr>
        <w:spacing w:before="0" w:after="120" w:line="312" w:lineRule="auto"/>
      </w:pPr>
      <w:r>
        <w:rPr>
          <w:sz w:val="22"/>
        </w:rPr>
        <w:t>An audit pass has been applied to the Abstract, Results, and Discussion to ensure that the language consistently emphasises association rather than causal prediction; "predict," "predictor," and "effect" have been replaced with "correlate with," "is associated with," or "pooled estimate" wherever the analytic claim is correlational rather than causal.</w:t>
      </w:r>
    </w:p>
    <w:p>
      <w:pPr>
        <w:spacing w:before="200" w:after="120" w:line="312" w:lineRule="auto"/>
      </w:pPr>
      <w:r>
        <w:rPr>
          <w:b/>
          <w:sz w:val="24"/>
        </w:rPr>
        <w:t>R2-7 — Tightened practical-implications subsection</w:t>
      </w:r>
    </w:p>
    <w:p>
      <w:pPr>
        <w:spacing w:before="0" w:after="120" w:line="312" w:lineRule="auto"/>
      </w:pPr>
      <w:r>
        <w:rPr>
          <w:b/>
          <w:sz w:val="22"/>
        </w:rPr>
        <w:t>Response.</w:t>
      </w:r>
    </w:p>
    <w:p>
      <w:pPr>
        <w:spacing w:before="0" w:after="120" w:line="312" w:lineRule="auto"/>
      </w:pPr>
      <w:r>
        <w:rPr>
          <w:sz w:val="22"/>
        </w:rPr>
        <w:t>The previous Practical Implications subsection has been renamed Tentative Practical Implications and now opens with an explicit caveat paragraph stating that the implications are tentative working hypotheses rather than actionable design or pedagogical recommendations. The implications themselves have been consolidated and reframed as exploratory leads for primary-research replication.</w:t>
      </w:r>
    </w:p>
    <w:p>
      <w:pPr>
        <w:spacing w:before="200" w:after="120" w:line="312" w:lineRule="auto"/>
      </w:pPr>
      <w:r>
        <w:rPr>
          <w:b/>
          <w:sz w:val="24"/>
        </w:rPr>
        <w:t>Additional — Subject discipline as a future moderator</w:t>
      </w:r>
    </w:p>
    <w:p>
      <w:pPr>
        <w:spacing w:before="0" w:after="120" w:line="312" w:lineRule="auto"/>
      </w:pPr>
      <w:r>
        <w:rPr>
          <w:b/>
          <w:sz w:val="22"/>
        </w:rPr>
        <w:t>Response.</w:t>
      </w:r>
    </w:p>
    <w:p>
      <w:pPr>
        <w:spacing w:before="0" w:after="120" w:line="312" w:lineRule="auto"/>
      </w:pPr>
      <w:r>
        <w:rPr>
          <w:sz w:val="22"/>
        </w:rPr>
        <w:t>Reviewer 2's suggestion of subject discipline (or discipline group) as a potential moderator has been added to the Future Research Directions subsection as a priority for a subsequent meta-analytic update, alongside facet-level analyses and within-learner modality contrasts.</w:t>
      </w:r>
    </w:p>
    <w:p>
      <w:pPr>
        <w:spacing w:before="280" w:after="120" w:line="312" w:lineRule="auto"/>
      </w:pPr>
      <w:r>
        <w:rPr>
          <w:b/>
          <w:sz w:val="24"/>
        </w:rPr>
        <w:t>Closing</w:t>
      </w:r>
    </w:p>
    <w:p>
      <w:pPr>
        <w:spacing w:before="0" w:after="120" w:line="312" w:lineRule="auto"/>
      </w:pPr>
      <w:r>
        <w:rPr>
          <w:sz w:val="22"/>
        </w:rPr>
        <w:t>All seven Reviewer 2 recommendations have been incorporated into the revised (scoping-reframed) manuscript, and the additional research-direction suggestion (subject discipline as a moderator) has been added to the Future Research Directions subsection. I am grateful to Reviewer 2 for the constructive evaluation and hope that the reframing clarifies rather than complicates the manuscript's presentation.</w:t>
      </w:r>
    </w:p>
    <w:p>
      <w:pPr>
        <w:spacing w:before="120" w:after="120" w:line="312" w:lineRule="auto"/>
      </w:pPr>
      <w:r>
        <w:rPr>
          <w:sz w:val="22"/>
        </w:rPr>
        <w:t>Sincerely,</w:t>
      </w:r>
    </w:p>
    <w:p>
      <w:pPr>
        <w:spacing w:before="0" w:after="120" w:line="312" w:lineRule="auto"/>
      </w:pPr>
      <w:r>
        <w:rPr>
          <w:sz w:val="22"/>
        </w:rPr>
      </w:r>
    </w:p>
    <w:p>
      <w:pPr>
        <w:spacing w:before="0" w:after="0" w:line="312" w:lineRule="auto"/>
      </w:pPr>
      <w:r>
        <w:rPr>
          <w:sz w:val="20"/>
        </w:rPr>
        <w:t>Eisuke Tokiwa</w:t>
      </w:r>
    </w:p>
    <w:p>
      <w:pPr>
        <w:spacing w:before="0" w:after="0" w:line="312" w:lineRule="auto"/>
      </w:pPr>
      <w:r>
        <w:rPr>
          <w:sz w:val="20"/>
        </w:rPr>
        <w:t>Founder, SUNBLAZE Co., Ltd., Tokyo, Japan</w:t>
      </w:r>
    </w:p>
    <w:p>
      <w:pPr>
        <w:spacing w:before="0" w:after="0" w:line="312" w:lineRule="auto"/>
      </w:pPr>
      <w:r>
        <w:rPr>
          <w:sz w:val="20"/>
        </w:rPr>
        <w:t>ORCID: 0009-0009-7124-6669</w:t>
      </w:r>
    </w:p>
    <w:p>
      <w:pPr>
        <w:spacing w:before="0" w:after="0" w:line="312" w:lineRule="auto"/>
      </w:pPr>
      <w:r>
        <w:rPr>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