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Person-Level versus System-Level Anti-Harassment Interventions: HEXACO 7-Typology Evidence That Structure Dominates Personality in Japanese Workplaces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Tables</w:t>
      </w:r>
    </w:p>
    <w:p>
      <w:pPr>
        <w:spacing w:line="480" w:lineRule="auto" w:before="0" w:after="0"/>
      </w:pP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sz w:val="24"/>
        </w:rPr>
        <w:t>Table 1. H1 Four-Tier Classification of Mean Absolute Percentage Error (MAPE) Across Three MHLW Validation Periods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*Note*. Predicted values are computed via 14-cell HEXACO 7-typology × gender propensity weighted by Statistics Bureau (MIC) Labor Force Survey 2022 marginals. Bootstrap 95% CIs use B = 10,000 cell-stratified resamples (Methods Clarification m3). Tier classification per pre-registered four-tier hierarchy (v2.0 Section 5.4).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Period (MHLW)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Observed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Predicted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MAPE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95% CI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Tier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FY2016 (32.5%, primary)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0.325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0.1744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46.34%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[32.36, 59.30]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 SUCCESS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FY2020 (31.4%, secondary)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0.314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0.1744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44.46%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[30.00, 57.88]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 SUCCESS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FY2023 (19.3%, secondary)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0.193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0.1744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9.65%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[0.52, 31.52]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Standard SUCCESS</w:t>
            </w:r>
          </w:p>
        </w:tc>
      </w:tr>
    </w:tbl>
    <w:p>
      <w:pPr>
        <w:spacing w:line="480" w:lineRule="auto" w:before="0" w:after="0"/>
      </w:pP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sz w:val="24"/>
        </w:rPr>
        <w:t>Table 2. One-at-a-Time (OAT) Sensitivity Sweep Around the Locked v2.0 Main Configuration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*Note*. Each row varies the indicated parameter family while holding remaining parameters at the v2.0 main configuration. B = 2,000 percentile CIs reported on FY2016 MAPE.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Family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Value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MAPE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95% CI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Tier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Baseline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main_v2.0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45.51%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[31.5, 59.5]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Binarization threshold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mean+0.25 SD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29.58%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[13.7, 45.2]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Standard SUCCESS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Binarization threshold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mean+0.5 SD (main)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45.51%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[30.5, 59.2]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Binarization threshold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mean+1.0 SD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48.95%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[34.0, 62.4]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Soft-assignment τ × median NN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0.5×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45.04%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[43.8, 46.3]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Soft-assignment τ × median NN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1.0×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45.22%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[43.9, 46.5]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Soft-assignment τ × median NN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2.0×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45.24%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[43.9, 46.4]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EB shrinkage scale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0.5× pseudocount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45.90%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[32.1, 58.7]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EB shrinkage scale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1.0× (main)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45.51%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[31.4, 59.0]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EB shrinkage scale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2.0× pseudocount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45.80%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[32.3, 58.9]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Cluster mass shift δ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−0.10 high−low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56.47%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[42.8, 68.8]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Cluster mass shift δ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0.0 (main)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45.51%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[31.4, 59.2]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Cluster mass shift δ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+0.10 high−low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34.55%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[16.6, 51.8]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</w:t>
            </w:r>
          </w:p>
        </w:tc>
      </w:tr>
    </w:tbl>
    <w:p>
      <w:pPr>
        <w:spacing w:line="480" w:lineRule="auto" w:before="0" w:after="0"/>
      </w:pP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sz w:val="24"/>
        </w:rPr>
        <w:t>Table 3. Baseline Comparison for H2 Ordinal Trend Hypothesis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*Note*. B0 trivially attains MAPE = 0 by construction (its prediction equals MHLW grand mean). H2 was tested via Bonferroni-Holm-corrected pairwise inequalities at one-sided α = 0.05 and Page's L (1963) ordinal trend test as auxiliary. **0 of 4 pairs were confirmed**; Page's L statistic *p* = 0.9757. H2 decision: ambiguous_or_reversed.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Baseline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MAPE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95% CI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Uniform = MHLW grand mean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0.00%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[0.00, 0.00]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Gender-only logistic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46.02%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[46.02, 46.02]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HEXACO 6-domain logistic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43.98%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[40.33, 47.35]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14-cell conditional (main pipeline)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46.34%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[46.34, 46.34]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Extended (age + age × cluster)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47.04%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[45.02, 49.05]</w:t>
            </w:r>
          </w:p>
        </w:tc>
      </w:tr>
    </w:tbl>
    <w:p>
      <w:pPr>
        <w:spacing w:line="480" w:lineRule="auto" w:before="0" w:after="0"/>
      </w:pP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sz w:val="24"/>
        </w:rPr>
        <w:t>Table 4. Counterfactual ΔP_x Estimates and H7 Intersection-Union Test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*Note*. Counterfactual operationalization per pre-registered v2.0 Section 5.7. Positive ΔP indicates *reduction* in prevalence (sign convention). Bootstrap CIs use B = 2,000 cell-stratified resamples. The H7 IUT (Berger &amp; Hsu, 1996) computes one-sided 95% lower bounds L_BA and L_BC. Classification follows the m7 priority cascade implemented in `code/stage7_counterfactual.py:h7_iut`: REVERSAL (priority 1) is triggered when point ΔP_B &lt; ΔP_A OR point ΔP_B &lt; ΔP_C; CONFIRMED requires L_BA &gt; 0 AND L_BC &gt; 0; PARTIAL requires exactly one of L_BA, L_BC &gt; 0; AMBIGUOUS otherwise.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Intervention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Operationalization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ΔP point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95% CI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CI excludes 0?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 (personality)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do(HH ← +0.3σ; A ← +0.3σ; E ← +0.3σ)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−0.0061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[−0.0207, +0.0062]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 (null)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B (targeted HH+ on low-prev clusters)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do(HH := HH + 0.40σ_HH) for individuals whose baseline cluster ∈ {0, 4, 6}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−0.0059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[−0.0207, +0.0066]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No (null)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 (structural)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do(P_{c, x} ← 0.80 × P_{c, x})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+0.0349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[+0.0264, +0.0435]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Yes</w:t>
            </w:r>
          </w:p>
        </w:tc>
      </w:tr>
    </w:tbl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**H7 IUT:** L_BA = −0.0011, L_BC = −0.0544; point ΔP_B &lt; point ΔP_C triggers m7 priority-1 → **REVERSAL**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**Positivity diagnostic (Methods Clarification m5):** Counterfactual A and C trivially preserve positivity. Counterfactual B's flagged-weight share = 44.5%; m5 downgrade rule triggered. We interpret B's null finding as exploratory rather than confirmatory.</w:t>
      </w: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sz w:val="24"/>
        </w:rPr>
        <w:t>Table 5. Transportability Sensitivity (H7 Re-classification Across Cultural Attenuation Factors)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*Note*. Each row applies factor F multiplicatively to the bootstrap distribution of all three ΔP_x; H7 IUT is re-classified per attenuated factor.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Factor F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Anchor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ΔP_A (att)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ΔP_C (att)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H7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Conservative cross-cultural worst case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−0.0018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+0.0105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REVERSAL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Nielsen et al., 2017 expected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−0.0031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+0.0174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REVERSAL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0.7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Mild attenuation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−0.0043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+0.0244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REVERSAL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1.0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Reference (no attenuation)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−0.0061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+0.0349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REVERSAL</w:t>
            </w:r>
          </w:p>
        </w:tc>
      </w:tr>
    </w:tbl>
    <w:p>
      <w:pPr>
        <w:spacing w:line="480" w:lineRule="auto" w:before="0" w:after="0"/>
      </w:pP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/>
          <w:b/>
          <w:sz w:val="24"/>
        </w:rPr>
        <w:t>Table 6. Pre-Registered Hypothesis Outcomes Summary</w:t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*Note*. Hypothesis classification per v2.0 pre-registration master Section 5.4 (H1) and Section 5.7 (H7).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Hypothesis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Pre-registered prediction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Outcome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Tier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MAPE_FY2016 ≤ 30% (Strict / Standard SUCCESS)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MAPE = 46.34%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PARTIAL SUCCESS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Monotonic B0 &gt; B1 &gt; B2 &gt; B3 &gt; B4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0 of 4 pairs confirmed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REJECTED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Centroid concordance N=354 vs N=13,668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Verified in centroid study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CONFIRMED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Per-cell propensity stability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13/14 cells resolved at BCa; 1 (X=0) at Clopper-Pearson per M4 cascade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CONFIRMED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Gender invariance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Spearman ρ(female, male) = 0.87 across 7 clusters (p = 0.01); 14-cell vs 28-cell stable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CONFIRMED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Power × gender harassment cluster ranking concordance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Spearman ρ = 0.04 (7-cluster) / 0.14 (14-cell), both p &gt; 0.6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REJECTED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H7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IUT classification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REVERSAL (robust F=0.3–1.0)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REVERSAL</w:t>
            </w:r>
          </w:p>
        </w:tc>
      </w:tr>
    </w:tbl>
    <w:p>
      <w:pPr>
        <w:spacing w:line="480" w:lineRule="auto" w:before="0" w:after="0"/>
      </w:pP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All figures are saved at 300 DPI in PNG and PDF formats; vector versions (SVG) are also produced for journal submission. PNG embeds are used in `manuscript_preprint.docx` and `manuscript_journal.docx`; PDF/SVG accompany the journal submission as separate files (per RSOS Stage 2 RR submission requirements).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jc w:val="left"/>
    </w:pPr>
    <w:r>
      <w:rPr>
        <w:rFonts w:ascii="Times New Roman" w:hAnsi="Times New Roman" w:eastAsia="Times New Roman"/>
        <w:b w:val="0"/>
        <w:sz w:val="24"/>
      </w:rPr>
      <w:t>STRUCTURE DOMINATES PERSONALITY</w:t>
    </w:r>
    <w:r>
      <w:rPr>
        <w:rFonts w:ascii="Times New Roman" w:hAnsi="Times New Roman" w:eastAsia="Times New Roman"/>
        <w:sz w:val="24"/>
      </w:rPr>
      <w:tab/>
    </w:r>
    <w:r>
      <w:rPr>
        <w:rFonts w:ascii="Times New Roman" w:hAnsi="Times New Roman" w:eastAsia="Times New Roman"/>
        <w:sz w:val="24"/>
      </w:rPr>
      <w:fldChar w:fldCharType="begin"/>
      <w:instrText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