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firstLine="720"/>
      </w:pPr>
      <w:r>
        <w:rPr>
          <w:rFonts w:ascii="Times New Roman" w:hAnsi="Times New Roman" w:eastAsia="Times New Roman"/>
          <w:b/>
          <w:sz w:val="24"/>
        </w:rPr>
        <w:t>Title:</w:t>
      </w:r>
      <w:r>
        <w:rPr>
          <w:rFonts w:ascii="Times New Roman" w:hAnsi="Times New Roman" w:eastAsia="Times New Roman"/>
          <w:sz w:val="24"/>
        </w:rPr>
        <w:t xml:space="preserve"> </w:t>
      </w:r>
      <w:r>
        <w:rPr>
          <w:rFonts w:ascii="Times New Roman" w:hAnsi="Times New Roman" w:eastAsia="Times New Roman"/>
          <w:i/>
          <w:sz w:val="24"/>
        </w:rPr>
        <w:t>Person-Level versus System-Level Anti-Harassment Interventions: A HEXACO 7-Typology Counterfactual Microsimulation in Japanese Workplaces</w:t>
      </w:r>
    </w:p>
    <w:p>
      <w:pPr>
        <w:spacing w:line="480" w:lineRule="auto" w:before="0" w:after="0"/>
        <w:ind w:firstLine="720"/>
      </w:pPr>
      <w:r>
        <w:rPr>
          <w:rFonts w:ascii="Times New Roman" w:hAnsi="Times New Roman" w:eastAsia="Times New Roman"/>
          <w:b/>
          <w:sz w:val="24"/>
        </w:rPr>
        <w:t>Author</w:t>
      </w:r>
      <w:r>
        <w:rPr>
          <w:rFonts w:ascii="Times New Roman" w:hAnsi="Times New Roman" w:eastAsia="Times New Roman"/>
          <w:sz w:val="24"/>
        </w:rPr>
        <w:t xml:space="preserve">: Eisuke Tokiwa </w:t>
      </w:r>
      <w:r>
        <w:rPr>
          <w:rFonts w:ascii="Times New Roman" w:hAnsi="Times New Roman" w:eastAsia="Times New Roman"/>
          <w:b/>
          <w:sz w:val="24"/>
        </w:rPr>
        <w:t>Affiliation</w:t>
      </w:r>
      <w:r>
        <w:rPr>
          <w:rFonts w:ascii="Times New Roman" w:hAnsi="Times New Roman" w:eastAsia="Times New Roman"/>
          <w:sz w:val="24"/>
        </w:rPr>
        <w:t xml:space="preserve">: SUNBLAZE Co., Ltd., Tokyo, Japan </w:t>
      </w:r>
      <w:r>
        <w:rPr>
          <w:rFonts w:ascii="Times New Roman" w:hAnsi="Times New Roman" w:eastAsia="Times New Roman"/>
          <w:b/>
          <w:sz w:val="24"/>
        </w:rPr>
        <w:t>ORCID</w:t>
      </w:r>
      <w:r>
        <w:rPr>
          <w:rFonts w:ascii="Times New Roman" w:hAnsi="Times New Roman" w:eastAsia="Times New Roman"/>
          <w:sz w:val="24"/>
        </w:rPr>
        <w:t xml:space="preserve">: 0009-0009-7124-6669 </w:t>
      </w:r>
      <w:r>
        <w:rPr>
          <w:rFonts w:ascii="Times New Roman" w:hAnsi="Times New Roman" w:eastAsia="Times New Roman"/>
          <w:b/>
          <w:sz w:val="24"/>
        </w:rPr>
        <w:t>Correspondence</w:t>
      </w:r>
      <w:r>
        <w:rPr>
          <w:rFonts w:ascii="Times New Roman" w:hAnsi="Times New Roman" w:eastAsia="Times New Roman"/>
          <w:sz w:val="24"/>
        </w:rPr>
        <w:t>: eisuke.tokiwa@sunblaze.jp</w:t>
      </w:r>
    </w:p>
    <w:p>
      <w:pPr>
        <w:spacing w:line="480" w:lineRule="auto" w:before="0" w:after="0"/>
        <w:ind w:firstLine="720"/>
      </w:pPr>
      <w:r>
        <w:rPr>
          <w:rFonts w:ascii="Times New Roman" w:hAnsi="Times New Roman" w:eastAsia="Times New Roman"/>
          <w:sz w:val="24"/>
        </w:rPr>
        <w:t>(</w:t>
      </w:r>
      <w:r>
        <w:rPr>
          <w:rFonts w:ascii="Times New Roman" w:hAnsi="Times New Roman" w:eastAsia="Times New Roman"/>
          <w:i/>
          <w:sz w:val="24"/>
        </w:rPr>
        <w:t>Pre-registration, reporting standard, funding, competing interests, and data availability</w:t>
      </w:r>
      <w:r>
        <w:rPr>
          <w:rFonts w:ascii="Times New Roman" w:hAnsi="Times New Roman" w:eastAsia="Times New Roman"/>
          <w:sz w:val="24"/>
        </w:rPr>
        <w:t xml:space="preserve"> are reported in the Author Note / Declarations on the title page of the rendered manuscript and in the Methods § Data availability subsection. The condensed disclosure: the author is the founder of SUNBLAZE Co., Ltd., which provides HEXACO-JP, a proprietary Japanese-language HEXACO-based personality assessment service; this is a potential competing interest. The present study does not use HEXACO-JP — it uses the HEXACO-PI-R Japanese 60-item adaptation of Wakabayashi (2014) — and the manuscript does not reference, evaluate, market, recommend, or promote HEXACO-JP or any other SUNBLAZE product. No funding was received for this research from any source. Pre-registration: v2.0, locked 2026-04-30.)</w:t>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imposes mental-health and labor-supply costs in Japan, where Ministry of Health, Labour and Welfare (MHLW) surveys document past-three-year power-harassment victimization declining from 32.5% (FY2016) to 19.3% (FY2023) across the enforcement period of the 2020 Power Harassment Prevention Law. The relative population-level magnitudes of plausible person-level and system-level interventions in this setting have not been compared in a pre-registered counterfactual framework. We pre-registered a HEXACO 7-typology microsimulation emulating a target trial of three interventions: (A) +0.3 SD on Honesty-Humility, Agreeableness, and Emotionality; (B) +0.40 SD on Honesty-Humility restricted to three low-prevalence typologies; and (C) a 20% cell-level propensity reduction, calibrated against three meta-analyses of organizational anti-harassment interventions and the −13.2-percentage-point MHLW FY2016–FY2023 decline. Using N = 354 observations partitioned into 14 cells (7 typologies × 2 genders) with cell-stratified bootstrap (B = 10,000), Beta-Binomial empirical Bayes shrinkage, and a BCa confidence-interval cascade, the personality contrasts are null (ΔP_A = −0.0061, 95% CI [−0.0207, +0.0062]; ΔP_B = −0.0059, 95% CI [−0.0207, +0.0066]), whereas the structural contrast is positive (ΔP_C = +0.0349, 95% CI [+0.0264, +0.0435]). The pre-registered intersection-union test classifies this as REVERSAL: in absolute magnitude, |ΔP_C|/|ΔP_A| ≈ 5.7. The classification is robust across four cultural-attenuation factors and nine pre-registered analytic choices. The findings are consistent with treating HEXACO 7-typology as a stratification variable rather than a personality-modification target, and we caution against reading HEXACO–harassment associations as endorsing person-focused remediation.</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has been associated with elevated risk of psychiatric morbidity, voluntary turnover, and reduced labor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480" w:lineRule="auto" w:before="0" w:after="0"/>
        <w:ind w:firstLine="720"/>
      </w:pPr>
      <w:r>
        <w:rPr>
          <w:rFonts w:ascii="Times New Roman" w:hAnsi="Times New Roman" w:eastAsia="Times New Roman"/>
          <w:sz w:val="24"/>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(Mikkelsen et al., 2020; Salin, 2021). The former framing treats harassment as primarily driven by individual disposition; the latter treats it as primarily driven by environmental affordance. Despite extensive research linking personality traits to bullying and harassment (Nielsen et al., 2017; Pilch &amp; Turska, 2015), the relative population-level magnitude of plausible person-level and system-level intervention contrasts has not been quantitatively compared in a counterfactually formal framework calibrated against prior meta-analytic effect sizes.</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companion study, the author identified seven robust HEXACO clusters in a Japanese sample of N = 13,668 (Tokiwa, 2026; herein "the centroid study"). The seven typologies — labeled here as types 0 through 6 — span the joint distribution of HEXACO domains and provide a parsimonious taxonomy for categorizing individuals according to their personality profile. The present study leverages these published centroids as fixed parameters for stratifying a smaller harassment-focused subsample (N = 354; Tokiwa, 2025).</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Contribution and roadmap</w:t>
      </w:r>
    </w:p>
    <w:p>
      <w:pPr>
        <w:spacing w:line="480" w:lineRule="auto" w:before="0" w:after="0"/>
        <w:ind w:firstLine="720"/>
      </w:pPr>
      <w:r>
        <w:rPr>
          <w:rFonts w:ascii="Times New Roman" w:hAnsi="Times New Roman" w:eastAsia="Times New Roman"/>
          <w:sz w:val="24"/>
        </w:rPr>
        <w:t>This study makes four scientific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applicable to workplace-harassment research, with full reproducibility (HDF5 artifacts, fixed seed, Docker container, MIT-licensed code; tiered open data, with public aggregate artifacts and IRB-restricted individual-level access via a documented access-request mechanism). Underlying instruments and centroids are described, respectively, in Tokiwa (2025) and Tokiwa (2026); deposit details are provided in Methods (Data availability). 2. </w:t>
      </w:r>
      <w:r>
        <w:rPr>
          <w:rFonts w:ascii="Times New Roman" w:hAnsi="Times New Roman" w:eastAsia="Times New Roman"/>
          <w:b/>
          <w:sz w:val="24"/>
        </w:rPr>
        <w:t>Empirical</w:t>
      </w:r>
      <w:r>
        <w:rPr>
          <w:rFonts w:ascii="Times New Roman" w:hAnsi="Times New Roman" w:eastAsia="Times New Roman"/>
          <w:sz w:val="24"/>
        </w:rPr>
        <w:t xml:space="preserve">: It provides a quantitative apples-to-apples comparison of person-level and system-level intervention contrasts on Japanese workplace-harassment prevalence, with each counterfactual calibrated to effect sizes drawn from prior meta-analyses. 3. </w:t>
      </w:r>
      <w:r>
        <w:rPr>
          <w:rFonts w:ascii="Times New Roman" w:hAnsi="Times New Roman" w:eastAsia="Times New Roman"/>
          <w:b/>
          <w:sz w:val="24"/>
        </w:rPr>
        <w:t>Theoretical</w:t>
      </w:r>
      <w:r>
        <w:rPr>
          <w:rFonts w:ascii="Times New Roman" w:hAnsi="Times New Roman" w:eastAsia="Times New Roman"/>
          <w:sz w:val="24"/>
        </w:rPr>
        <w:t xml:space="preserve">: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 4. </w:t>
      </w:r>
      <w:r>
        <w:rPr>
          <w:rFonts w:ascii="Times New Roman" w:hAnsi="Times New Roman" w:eastAsia="Times New Roman"/>
          <w:b/>
          <w:sz w:val="24"/>
        </w:rPr>
        <w:t>Substantive</w:t>
      </w:r>
      <w:r>
        <w:rPr>
          <w:rFonts w:ascii="Times New Roman" w:hAnsi="Times New Roman" w:eastAsia="Times New Roman"/>
          <w:sz w:val="24"/>
        </w:rPr>
        <w:t>: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and reports the deposit locations and access conditions for code and data.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sketches future agent-based extensions, and develops the research implications of the integrated findings.</w:t>
      </w:r>
    </w:p>
    <w:p>
      <w:r>
        <w:br w:type="page"/>
      </w:r>
    </w:p>
    <w:p>
      <w:pPr>
        <w:spacing w:line="480" w:lineRule="auto" w:before="0" w:after="0"/>
        <w:ind w:firstLine="720"/>
      </w:pPr>
      <w:r>
        <w:rPr>
          <w:rFonts w:ascii="Times New Roman" w:hAnsi="Times New Roman" w:eastAsia="Times New Roman"/>
          <w:sz w:val="24"/>
        </w:rPr>
        <w:t>All procedures were pre-registered prior to data analysis (v2.0 registered and locked 2026-04-30; deposit details and access conditions are given in the Data availability subsection below). The pre-registration consists of a master document together with an accompanying Methods Clarifications Log (locked alongside the v2.0 registration) that records minor specification clarifications introduced during the protocol-development phase; references to specific clarifications below are described inline rather than by their internal index codes. The analysis is fully reproducible from publicly available code and intermediate artifacts in approximately 30 minutes on a single core; all stochastic operations use a fixed random seed.</w:t>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clustering of N = 13,668 Japanese respondents. Per pre-registration,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soft-assignment with τ ∈ {0.5, 1.0, 2.0} × median nearest-neighbor distance was also computed as a pre-registered sensitivity analysis).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for the empirical Bayes sensitivity. The role split for the 28-cell sensitivity is operationalized as the top 15% on a Conscientiousness + 0.5 × eXtraversion composite of HEXACO domain scores (notation: "C + 0.5 × X" where C and X are the HEXACO Conscientiousness and eXtraversion domains, respectively); this composite is exploratory and is included as a robustness probe on the 14-cell main analysis rather than as a confirmatory role-classification step (no published validation of this exact composite for harassment perpetration vs victimization is invoked; the 14-cell results without role stratification remain the headline analysis). Per-cell 95% confidence intervals follow the pre-registered four-step priority cascade:</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the jackknife acceleration parameter â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pre-registered rejection triggers: (i) bootstrap-stabilized variance ratio σ̂² / [μ̂(1 − μ̂)] &lt; 0.05; (ii) max(α̂, β̂) &gt; 100; (iii) (α̂ + β̂) / median(N_k) &gt; 5. Per-iteration (α̂, β̂) re-estimation in bootstrap follows Carlin and Louis (2000).</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Tokiwa (2026) values (cluster membership is not measured in the Labour Force Survey, and updating the cluster mass is therefore reserved for future work; this dependency is acknowledged as a pre-registered limitation);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the pre-registered headline-bootstrap rule, the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3. Empirical Bayes shrinkage scale ∈ {0.5×, 1.0× (main), 2.0×} prior pseudocount; 4. Cluster-proportion mass shift ∈ {−0.10, 0.0 (main), +0.10} (proxy for cluster-mass uncertainty under the pre-registered sensitivity specification; the full Cartesian sweep is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under the cluster-proportion limitation discussed in §Data availability).</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 pre-registered auxiliary statistic.</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the Hudgens and Halloran (2008) peer-effect framework, per pre-registration).</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the pre-registered positivity criterion, positivity is quantitatively diagnosed via the cell-level ratio ρ_{c, x = A} = (counterfactual cell N) / (observed cell N); cells with ρ &lt; 0.10 are flagged, and the intervention is downgraded from confirmatory to exploratory if flagged_weight ≥ 20%.</w:t>
      </w:r>
    </w:p>
    <w:p>
      <w:pPr>
        <w:spacing w:line="480" w:lineRule="auto" w:before="0" w:after="0"/>
        <w:ind w:firstLine="720"/>
      </w:pPr>
      <w:r>
        <w:rPr>
          <w:rFonts w:ascii="Times New Roman" w:hAnsi="Times New Roman" w:eastAsia="Times New Roman"/>
          <w:sz w:val="24"/>
        </w:rPr>
        <w:t xml:space="preserve">Counterfactual B applies a +0.40 SD shift in Honesty-Humility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the pre-registered specification "HH := HH + δ_B × SD(HH) for individuals in Cluster ∈ {0, 4, 6}" and follows Pearl's (2009) do-operator notation, which formalizes the targeted indicator "if i ∈ Cluster {0, 4, 6}; HH_i otherwise". Positivity is computed via ρ_{c, B} = (count of individuals reassigned into target Cluster c after the shift) / (count of individuals in target Cluster c at baseline) and is downgraded by the same positivity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 pp ≈ −40.6% relative). Positivity for C is trivially preserved (ρ ≡ 1) per pre-registration.</w:t>
      </w:r>
    </w:p>
    <w:p>
      <w:pPr>
        <w:spacing w:line="480" w:lineRule="auto" w:before="0" w:after="0"/>
        <w:ind w:firstLine="720"/>
      </w:pPr>
      <w:r>
        <w:rPr>
          <w:rFonts w:ascii="Times New Roman" w:hAnsi="Times New Roman" w:eastAsia="Times New Roman"/>
          <w:sz w:val="24"/>
        </w:rPr>
        <w:t>The H7 intersection-union test (Berger &amp; Hsu, 1996) computes one-sided 95% lower bounds L_BA and L_BC for ΔP_B − ΔP_A and ΔP_B − ΔP_C, respectively, with bootstrap-resampled cell data (B = 2,000). The configuration is classified per the pre-registered priority cascade:</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the pre-registered cultural-attenuation sweep,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a fixed random seed. HDF5 artifacts at each stage include the seed, the pre-registration version identifier, the OSF DOI, and stage-specific provenance metadata as root-level attributes, enabling full audit-trail reconstruction. Verification hashes for all artifacts are computed via the project's verification script and compared against the committed reference-hash registry. A Docker container and a </w:t>
      </w:r>
      <w:r>
        <w:rPr>
          <w:rFonts w:ascii="Times New Roman" w:hAnsi="Times New Roman" w:eastAsia="Times New Roman"/>
          <w:sz w:val="24"/>
        </w:rPr>
        <w:t>reproduce</w:t>
      </w:r>
      <w:r>
        <w:rPr>
          <w:rFonts w:ascii="Times New Roman" w:hAnsi="Times New Roman" w:eastAsia="Times New Roman"/>
          <w:sz w:val="24"/>
        </w:rPr>
        <w:t xml:space="preserve"> Makefile target encapsulate the full pipeline. A 56-test pytest suite (including the loader tests for the Statistics Bureau Labour Force Survey data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the project's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the project's GitHub repository and archived at OSF (DOI 10.17605/OSF.IO/3Y54U). The pre-registration is locked at OSF (DOI 10.17605/OSF.IO/3Y54U), and the v1.1 → v2.0 public diff document and v2.0 Methods Clarifications Log are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simulation/data/mic_labor_force_2022.csv (provenance: e-Stat retrieval 2026-04-30; the file was previously named mhlw_labor_force_2022.csv and renamed to reflect the correct MIC provenance).</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ind w:firstLine="720"/>
      </w:pPr>
      <w:r>
        <w:rPr>
          <w:rFonts w:ascii="Times New Roman" w:hAnsi="Times New Roman" w:eastAsia="Times New Roman"/>
          <w:sz w:val="24"/>
        </w:rPr>
        <w:t>All results are reported using the locked random seed. Numerical values are reproduced verbatim from the HDF5 artifacts produced by the pipeline; deposit locations and SHA-256 verification hashes are documented in Methods (Data availability).</w:t>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Tokiwa (2026)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cascade prescribes for degenerate cells (X_c ∈ {0, N_c}). No cells required the BC or Percentile fallbacks, confirming that the pre-registered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pre-registered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cluster proportions to the conclusion (acknowledged as a pre-registered limitation, since cluster membership is not measured in the Labour Force Survey and the cluster mass cannot be re-weighted).</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We note that the priority-1 trigger uses the ΔP_B point estimate, which is downgraded to </w:t>
      </w:r>
      <w:r>
        <w:rPr>
          <w:rFonts w:ascii="Times New Roman" w:hAnsi="Times New Roman" w:eastAsia="Times New Roman"/>
          <w:i/>
          <w:sz w:val="24"/>
        </w:rPr>
        <w:t>exploratory</w:t>
      </w:r>
      <w:r>
        <w:rPr>
          <w:rFonts w:ascii="Times New Roman" w:hAnsi="Times New Roman" w:eastAsia="Times New Roman"/>
          <w:sz w:val="24"/>
        </w:rPr>
        <w:t xml:space="preserve"> under the pre-registered positivity rule (44.5% flagged-weight; see Positivity diagnostic below); however, the CI-based cascade independently corroborates REVERSAL via L_BC = −0.0544 &lt; 0 (ruling out the CONFIRMED branch without relying on the ΔP_B point estimate), and L_BA also lies just below zero. The REVERSAL classification therefore does not depend on the exploratory ΔP_B point estimate alone.</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the pre-registered positivity rule). Counterfactual B's cell positivity ratio ρ_{c, B} was 44.5% flagged (i.e., 44.5% of population weight in cells where the post-intervention expected count is &lt; 10% of observed), triggering the pre-registered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pre-registered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via stability analyses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the pre-registered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The 14-cell vs 28-cell comparison adds a role stratification (× 2 roles per cell) rather than re-testing gender invariance; that comparison is reported separately as a robustness check on role-stratification stability and shows no qualitative effect on the cluster-level rank ordering used to evaluate H5.</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the structural-intervention contrast exceeds the personality-intervention contrast in absolute magnitude.</w:t>
      </w:r>
      <w:r>
        <w:rPr>
          <w:rFonts w:ascii="Times New Roman" w:hAnsi="Times New Roman" w:eastAsia="Times New Roman"/>
          <w:sz w:val="24"/>
        </w:rPr>
        <w:t xml:space="preserve"> The pre-registered intersection-union test produced REVERSAL via the priority-1 condition (point ΔP_B &lt; point ΔP_C; L_BC = −0.0544 also lies below zero in the CI cascade, providing CI-based corroboration of REVERSAL that does not rely on the ΔP_B point estimate, which is downgraded to exploratory under the pre-registered positivity rule), indicating that the cell-level structural-intervention contrast (Counterfactual C; −20% propensity, calibrated against three meta-analyses of organizational anti-harassment interventions and the MHLW FY2016–FY2023 −13.2-percentage-point natural-experiment-like decline)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and natural-experiment effect sizes used to calibrate each counterfactual; under those calibrations, the structural-pathway contrast is approximately five-fold larger in absolute population-level magnitude than the personality-pathway contrast.</w:t>
      </w:r>
    </w:p>
    <w:p>
      <w:pPr>
        <w:spacing w:line="480" w:lineRule="auto" w:before="0" w:after="0"/>
        <w:ind w:firstLine="720"/>
      </w:pPr>
      <w:r>
        <w:rPr>
          <w:rFonts w:ascii="Times New Roman" w:hAnsi="Times New Roman" w:eastAsia="Times New Roman"/>
          <w:b/>
          <w:sz w:val="24"/>
        </w:rPr>
        <w:t>Finding 3: The data are consistent with treating HEXACO 7-typology as a stratification variable rather than an intervention target.</w:t>
      </w:r>
      <w:r>
        <w:rPr>
          <w:rFonts w:ascii="Times New Roman" w:hAnsi="Times New Roman" w:eastAsia="Times New Roman"/>
          <w:sz w:val="24"/>
        </w:rPr>
        <w:t xml:space="preserve"> The Counterfactual A null result (ΔP_A = −0.0061, 95% CI crosses zero) indicates that shifting individual HEXACO scores by the realistic training-effect magnitudes drawn from Hudson and Fraley (2015) and Roberts et al. (2017)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480" w:lineRule="auto" w:before="0" w:after="0"/>
        <w:jc w:val="center"/>
      </w:pPr>
      <w:r>
        <w:rPr>
          <w:rFonts w:ascii="Times New Roman" w:hAnsi="Times New Roman" w:eastAsia="Times New Roman"/>
          <w:b/>
          <w:sz w:val="24"/>
        </w:rPr>
        <w:t>The MHLW survey series as substantive context</w:t>
      </w:r>
    </w:p>
    <w:p>
      <w:pPr>
        <w:spacing w:line="480" w:lineRule="auto" w:before="0" w:after="0"/>
        <w:ind w:firstLine="720"/>
      </w:pPr>
      <w:r>
        <w:rPr>
          <w:rFonts w:ascii="Times New Roman" w:hAnsi="Times New Roman" w:eastAsia="Times New Roman"/>
          <w:sz w:val="24"/>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is implausible on demographic grounds: cohort-level changes in HEXACO traits over six years are unlikely to exceed 0.05 SD. Counterfactual A,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480" w:lineRule="auto" w:before="0" w:after="0"/>
        <w:jc w:val="center"/>
      </w:pPr>
      <w:r>
        <w:rPr>
          <w:rFonts w:ascii="Times New Roman" w:hAnsi="Times New Roman" w:eastAsia="Times New Roman"/>
          <w:b/>
          <w:sz w:val="24"/>
        </w:rPr>
        <w:t>Reframing HEXACO: stratification rather than modification</w:t>
      </w:r>
    </w:p>
    <w:p>
      <w:pPr>
        <w:spacing w:line="480" w:lineRule="auto" w:before="0" w:after="0"/>
        <w:ind w:firstLine="720"/>
      </w:pPr>
      <w:r>
        <w:rPr>
          <w:rFonts w:ascii="Times New Roman" w:hAnsi="Times New Roman" w:eastAsia="Times New Roman"/>
          <w:sz w:val="24"/>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480" w:lineRule="auto" w:before="0" w:after="0"/>
        <w:ind w:firstLine="720"/>
      </w:pPr>
      <w:r>
        <w:rPr>
          <w:rFonts w:ascii="Times New Roman" w:hAnsi="Times New Roman" w:eastAsia="Times New Roman"/>
          <w:sz w:val="24"/>
        </w:rPr>
        <w:t xml:space="preserve">The repositioning we draw is therefore narrow and theoretical: </w:t>
      </w:r>
      <w:r>
        <w:rPr>
          <w:rFonts w:ascii="Times New Roman" w:hAnsi="Times New Roman" w:eastAsia="Times New Roman"/>
          <w:b/>
          <w:sz w:val="24"/>
        </w:rPr>
        <w:t>the HEXACO 7-typology functions in this analysis as a stratification lens that characterizes differentially exposed subpopulations; the structural-intervention contrast in Counterfactual C is, by construction, applied uniformly across all 14 cells (cell-level propensities are multiplied by 0.80 with no cell-specific attenuation), so no subgroup is differentially excluded from the contrast at the analytic level. The data do not support reading the typology itself as a target of individual-level intervention.</w:t>
      </w:r>
      <w:r>
        <w:rPr>
          <w:rFonts w:ascii="Times New Roman" w:hAnsi="Times New Roman" w:eastAsia="Times New Roman"/>
          <w:sz w:val="24"/>
        </w:rPr>
        <w:t xml:space="preserve">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 The empirical question of whether real-world structural interventions exhibit cell-specific efficacy is left open and is flagged separately in the heterogeneity limitation below.</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is inconsistent with M1 (direct personality-causation of harassment) as the dominant mechanism but cannot distinguish among M2 (selection into harassment-prone environments), M3 (confounding via SES/educational/economic factors), or M4 (reverse causation: harassment depresses HEXACO-H scores via cynicism). Each of M2–M4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substantive ordering reported here (structural-pathway contrast dominates personality-pathway contrast in absolute magnitude under the calibrated effect sizes)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Cluster-proportion limitation (cluster mass fixed at the Tokiwa 2026 values)</w:t>
      </w:r>
    </w:p>
    <w:p>
      <w:pPr>
        <w:spacing w:line="480" w:lineRule="auto" w:before="0" w:after="0"/>
        <w:ind w:firstLine="720"/>
      </w:pPr>
      <w:r>
        <w:rPr>
          <w:rFonts w:ascii="Times New Roman" w:hAnsi="Times New Roman" w:eastAsia="Times New Roman"/>
          <w:sz w:val="24"/>
        </w:rPr>
        <w:t>The 7-cluster proportions used in Stage 1 reweighting remain fixed at the Tokiwa (2026) values for N = 13,668; only the gender marginal is updated to the Statistics Bureau (MIC) 2022 working-population value. This is a conscious limitation, acknowledged in pre-registration: the Labour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Research implications</w:t>
      </w:r>
    </w:p>
    <w:p>
      <w:pPr>
        <w:spacing w:line="480" w:lineRule="auto" w:before="0" w:after="0"/>
        <w:ind w:firstLine="720"/>
      </w:pPr>
      <w:r>
        <w:rPr>
          <w:rFonts w:ascii="Times New Roman" w:hAnsi="Times New Roman" w:eastAsia="Times New Roman"/>
          <w:sz w:val="24"/>
        </w:rPr>
        <w:t>The integrated findings carry three implications for subsequent research, framed at the level of theory and empirical priority rather than as prescriptive recommendations to any particular institution.</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Calibrated counterfactual comparison as a methodological template.</w:t>
      </w:r>
      <w:r>
        <w:rPr>
          <w:rFonts w:ascii="Times New Roman" w:hAnsi="Times New Roman" w:eastAsia="Times New Roman"/>
          <w:sz w:val="24"/>
        </w:rPr>
        <w:t xml:space="preserv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 2. </w:t>
      </w:r>
      <w:r>
        <w:rPr>
          <w:rFonts w:ascii="Times New Roman" w:hAnsi="Times New Roman" w:eastAsia="Times New Roman"/>
          <w:b/>
          <w:sz w:val="24"/>
        </w:rPr>
        <w:t>Identification limits of HEXACO-based screening as an empirical question.</w:t>
      </w:r>
      <w:r>
        <w:rPr>
          <w:rFonts w:ascii="Times New Roman" w:hAnsi="Times New Roman" w:eastAsia="Times New Roman"/>
          <w:sz w:val="24"/>
        </w:rPr>
        <w:t xml:space="preserve">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 3. </w:t>
      </w:r>
      <w:r>
        <w:rPr>
          <w:rFonts w:ascii="Times New Roman" w:hAnsi="Times New Roman" w:eastAsia="Times New Roman"/>
          <w:b/>
          <w:sz w:val="24"/>
        </w:rPr>
        <w:t>Structural-intervention efficacy as a heterogeneity question.</w:t>
      </w:r>
      <w:r>
        <w:rPr>
          <w:rFonts w:ascii="Times New Roman" w:hAnsi="Times New Roman" w:eastAsia="Times New Roman"/>
          <w:sz w:val="24"/>
        </w:rPr>
        <w:t xml:space="preserve">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HEXACO COUNTERFACTUAL MICROSIMULATION</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