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480" w:lineRule="auto" w:before="0" w:after="0"/>
        <w:jc w:val="center"/>
      </w:pPr>
      <w:r>
        <w:rPr>
          <w:rFonts w:ascii="Times New Roman" w:hAnsi="Times New Roman" w:eastAsia="Times New Roman"/>
          <w:b/>
          <w:sz w:val="24"/>
        </w:rPr>
        <w:t>Person-Level versus System-Level Anti-Harassment Interventions: A HEXACO 7-Typology Counterfactual Microsimulation in Japanese Workplaces</w:t>
      </w:r>
    </w:p>
    <w:p>
      <w:pPr>
        <w:spacing w:line="480" w:lineRule="auto" w:before="0" w:after="0"/>
        <w:jc w:val="center"/>
      </w:pPr>
      <w:r>
        <w:rPr>
          <w:rFonts w:ascii="Times New Roman" w:hAnsi="Times New Roman" w:eastAsia="Times New Roman"/>
          <w:b/>
          <w:sz w:val="24"/>
        </w:rPr>
        <w:t>Figures (captions)</w:t>
      </w:r>
    </w:p>
    <w:p>
      <w:pPr>
        <w:spacing w:line="480" w:lineRule="auto" w:before="0" w:after="0"/>
      </w:pPr>
    </w:p>
    <w:p>
      <w:pPr>
        <w:spacing w:line="480" w:lineRule="auto" w:before="0" w:after="0"/>
        <w:jc w:val="left"/>
      </w:pPr>
      <w:r>
        <w:rPr>
          <w:rFonts w:ascii="Times New Roman" w:hAnsi="Times New Roman" w:eastAsia="Times New Roman"/>
          <w:b/>
          <w:sz w:val="24"/>
        </w:rPr>
        <w:t>Figure 1. Pipeline Schematic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A box-and-arrow diagram of the nine pre-registered pipeline stages, showing the data inputs (N = 354 individual data; Tokiwa, 2026, 7-cluster centroids; Statistics Bureau (MIC) Labour Force Survey 2022) flowing through Stages 0–8 with their HDF5 outputs.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b/>
          <w:sz w:val="24"/>
        </w:rPr>
        <w:t>Caption.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i/>
          <w:sz w:val="24"/>
        </w:rPr>
        <w:t>The HEXACO 7-typology workplace harassment microsimulation pipeline. Stage 0 (cell propensity) feeds into Stage 1 (population aggregation, MIC-reweighted) and Stage 2 (H1 four-tier classification). Stage 3 (sensitivity), Stage 4 (baselines), Stage 5 (CMV diagnostic), Stage 6 (target trial PICO), Stage 7 (counterfactuals + H7 IUT), and Stage 8 (transportability) operate in parallel after Stage 2.</w:t>
      </w:r>
    </w:p>
    <w:p>
      <w:pPr>
        <w:spacing w:line="480" w:lineRule="auto" w:before="0" w:after="0"/>
        <w:jc w:val="left"/>
      </w:pPr>
      <w:r>
        <w:rPr>
          <w:rFonts w:ascii="Times New Roman" w:hAnsi="Times New Roman" w:eastAsia="Times New Roman"/>
          <w:b/>
          <w:sz w:val="24"/>
        </w:rPr>
        <w:t>Figure 2. 14-Cell Cell-Level Propensity (Stage 0)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A heatmap of P̂_c across 7 HEXACO clusters × 2 genders, with cell sizes overlaid. Cell ordering follows the pre-registered convention (cluster × 2 + gender index).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b/>
          <w:sz w:val="24"/>
        </w:rPr>
        <w:t>Caption.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i/>
          <w:sz w:val="24"/>
        </w:rPr>
        <w:t>Per-cell power-harassment victimization propensities P̂_c with 95% bootstrap CIs computed under the pre-registered cascade. Cell sizes (N_c) range from 10 to 70 (median 18). Color encodes propensity (blue = low; red = high). Cells with N_c &lt; 20 are demarcated with a dashed boundary.</w:t>
      </w:r>
    </w:p>
    <w:p>
      <w:pPr>
        <w:spacing w:line="480" w:lineRule="auto" w:before="0" w:after="0"/>
        <w:jc w:val="left"/>
      </w:pPr>
      <w:r>
        <w:rPr>
          <w:rFonts w:ascii="Times New Roman" w:hAnsi="Times New Roman" w:eastAsia="Times New Roman"/>
          <w:b/>
          <w:sz w:val="24"/>
        </w:rPr>
        <w:t>Figure 3. National Prevalence vs MHLW Validation Targets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A bar chart of model-predicted P̂ = 0.1744 (single bar) overlaid with the three MHLW validation targets (FY2016 = 0.325, FY2020 = 0.314, FY2023 = 0.193) as horizontal reference lines, with the staged enforcement period of the 2020 Power Harassment Prevention Law shaded.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b/>
          <w:sz w:val="24"/>
        </w:rPr>
        <w:t>Caption.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i/>
          <w:sz w:val="24"/>
        </w:rPr>
        <w:t>Model-based national prevalence (P̂ = 17.44%, blue bar) compared with MHLW past-three-year power-harassment victimization targets across three survey periods. The 2020 Power Harassment Prevention Law's staged enforcement (large enterprises 2020-06; SMEs 2022-04) coincides with the FY2020 → FY2023 decline. Predicted prevalence aligns most closely with the post-law FY2023 target (Standard SUCCESS; CI upper 31.52% narrowly above the 30% Strict threshold).</w:t>
      </w:r>
    </w:p>
    <w:p>
      <w:pPr>
        <w:spacing w:line="480" w:lineRule="auto" w:before="0" w:after="0"/>
        <w:jc w:val="left"/>
      </w:pPr>
      <w:r>
        <w:rPr>
          <w:rFonts w:ascii="Times New Roman" w:hAnsi="Times New Roman" w:eastAsia="Times New Roman"/>
          <w:b/>
          <w:sz w:val="24"/>
        </w:rPr>
        <w:t>Figure 4. OAT Sensitivity Tornado Plot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A tornado plot with parameter families on the y-axis and MAPE_FY2016 horizontal bars on the x-axis, ordered by sensitivity magnitude. The two sensitive families (binarization, cluster mass) appear at the top with wide bars; the two stable families (soft τ, EB scale) appear at the bottom with narrow bars. The locked main configuration is marked with a vertical reference line.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b/>
          <w:sz w:val="24"/>
        </w:rPr>
        <w:t>Caption.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i/>
          <w:sz w:val="24"/>
        </w:rPr>
        <w:t>One-at-a-time sensitivity sweep of FY2016 MAPE. Binarization threshold and cluster mass shift exhibit substantial sensitivity (range 29.6% to 56.5%), whereas soft-assignment τ and empirical Bayes shrinkage scale exhibit negligible sensitivity (range &lt; 0.5%). Vertical line at 45.51% marks the locked v2.0 main configuration.</w:t>
      </w:r>
    </w:p>
    <w:p>
      <w:pPr>
        <w:spacing w:line="480" w:lineRule="auto" w:before="0" w:after="0"/>
        <w:jc w:val="left"/>
      </w:pPr>
      <w:r>
        <w:rPr>
          <w:rFonts w:ascii="Times New Roman" w:hAnsi="Times New Roman" w:eastAsia="Times New Roman"/>
          <w:b/>
          <w:sz w:val="24"/>
        </w:rPr>
        <w:t>Figure 5. Counterfactual ΔP_x Forest Plot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A forest plot with three counterfactuals on the y-axis (A, B, C), point estimates with 95% CIs as horizontal whiskers, and a vertical reference line at ΔP = 0. Counterfactuals A and B's CIs overlap zero; Counterfactual C's CI excludes zero on the positive side.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b/>
          <w:sz w:val="24"/>
        </w:rPr>
        <w:t>Caption.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i/>
          <w:sz w:val="24"/>
        </w:rPr>
        <w:t>Counterfactual ΔP_x estimates and 95% CIs. Personality intervention (A; +0.3 SD on H/A/E for all individuals) and targeted personality intervention (B; +0.40 SD on HH restricted to individuals already in the low-prevalence Cluster {0, 4, 6} subgroup) yield null effects (CIs cross zero). Structural intervention (C; −20% propensity, calibrated against three meta-analyses and the MHLW FY2016–FY2023 Power Harassment Prevention Law natural experiment) yields a positive effect of +3.49 percentage points (CI excludes zero on the positive side). The H7 intersection-union test (Berger &amp; Hsu, 1996) classifies this configuration as REVERSAL.</w:t>
      </w:r>
    </w:p>
    <w:p>
      <w:pPr>
        <w:spacing w:line="480" w:lineRule="auto" w:before="0" w:after="0"/>
        <w:jc w:val="left"/>
      </w:pPr>
      <w:r>
        <w:rPr>
          <w:rFonts w:ascii="Times New Roman" w:hAnsi="Times New Roman" w:eastAsia="Times New Roman"/>
          <w:b/>
          <w:sz w:val="24"/>
        </w:rPr>
        <w:t>Figure 6. Transportability Robustness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A line plot with cultural attenuation factor F on the x-axis (0.3 to 1.0) and ΔP_x on the y-axis. Three lines for ΔP_A, ΔP_B, ΔP_C, with 95% CIs as shaded bands. The ΔP_C line remains above zero across the entire factor range; the ΔP_A and ΔP_B lines remain centered on zero.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b/>
          <w:sz w:val="24"/>
        </w:rPr>
        <w:t>Caption.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i/>
          <w:sz w:val="24"/>
        </w:rPr>
        <w:t>H7 IUT classification under cultural attenuation factors F ∈ {0.3, 0.5, 0.7, 1.0}. The REVERSAL classification (structural dominance) is preserved across all four factors, including the conservative cross-cultural worst-case anchor (F = 0.3) and the Nielsen et al. (2017) Asia/Oceania expected attenuation (F = 0.5).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right"/>
      </w:tabs>
      <w:jc w:val="left"/>
    </w:pPr>
    <w:r>
      <w:rPr>
        <w:rFonts w:ascii="Times New Roman" w:hAnsi="Times New Roman" w:eastAsia="Times New Roman"/>
        <w:b w:val="0"/>
        <w:sz w:val="24"/>
      </w:rPr>
      <w:t>HEXACO COUNTERFACTUAL MICROSIMULATION</w:t>
    </w:r>
    <w:r>
      <w:rPr>
        <w:rFonts w:ascii="Times New Roman" w:hAnsi="Times New Roman" w:eastAsia="Times New Roman"/>
        <w:sz w:val="24"/>
      </w:rPr>
      <w:tab/>
    </w:r>
    <w:r>
      <w:rPr>
        <w:rFonts w:ascii="Times New Roman" w:hAnsi="Times New Roman" w:eastAsia="Times New Roman"/>
        <w:sz w:val="24"/>
      </w:rPr>
      <w:fldChar w:fldCharType="begin"/>
      <w:instrText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