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28"/>
        </w:rPr>
        <w:t>Response to Reviewers</w:t>
      </w:r>
    </w:p>
    <w:p>
      <w:pPr>
        <w:spacing w:after="160"/>
      </w:pPr>
      <w:r>
        <w:rPr>
          <w:sz w:val="22"/>
        </w:rPr>
        <w:t>Manuscript title: Associations of HEXACO and Dark Traits with Power and Gender Harassment</w:t>
      </w:r>
    </w:p>
    <w:p>
      <w:pPr>
        <w:spacing w:after="160"/>
      </w:pPr>
      <w:r>
        <w:rPr>
          <w:sz w:val="22"/>
        </w:rPr>
        <w:t>Author: Eisuke Tokiwa</w:t>
      </w:r>
    </w:p>
    <w:p>
      <w:pPr>
        <w:spacing w:after="160"/>
      </w:pPr>
      <w:r>
        <w:rPr>
          <w:sz w:val="22"/>
        </w:rPr>
        <w:t>Journal: Frontiers in Psychology — Personality and Social Psychology</w:t>
      </w:r>
    </w:p>
    <w:p>
      <w:pPr>
        <w:spacing w:after="160"/>
      </w:pPr>
      <w:r>
        <w:rPr>
          <w:sz w:val="22"/>
        </w:rPr>
      </w:r>
    </w:p>
    <w:p>
      <w:pPr>
        <w:spacing w:after="160"/>
      </w:pPr>
      <w:r>
        <w:rPr>
          <w:sz w:val="22"/>
        </w:rPr>
        <w:t>I thank both reviewers for their careful evaluation and constructive feedback. Both recommended Minor Revision, and I have addressed each point as described below. The revised manuscript incorporates substantial improvements to the Discussion (comparative literature analysis), the interpretive framing (cautionary language throughout), the practical implications (reframed away from personality-based screening), and includes new sex-stratified analyses with coefficient-level detail. Page numbers below refer to the revised manuscript.</w:t>
      </w:r>
    </w:p>
    <w:p>
      <w:pPr>
        <w:spacing w:before="360" w:after="120"/>
      </w:pPr>
      <w:r>
        <w:rPr>
          <w:b/>
          <w:sz w:val="28"/>
        </w:rPr>
        <w:t>Response to Reviewer 1</w:t>
      </w:r>
    </w:p>
    <w:p>
      <w:pPr>
        <w:spacing w:after="160"/>
      </w:pPr>
      <w:r>
        <w:rPr>
          <w:sz w:val="22"/>
        </w:rPr>
        <w:t>Reviewer 1 recommended Minor Revision and noted that the study was "meticulously prepared" with comprehensive coverage of the conceptual framework, objectives, methods, limitations, and analyses.</w:t>
      </w:r>
    </w:p>
    <w:p>
      <w:pPr>
        <w:spacing w:before="240" w:after="80"/>
      </w:pPr>
      <w:r>
        <w:rPr>
          <w:b/>
          <w:sz w:val="24"/>
        </w:rPr>
        <w:t>Comment 1: Findings not interpreted within context of existing studies</w:t>
      </w:r>
    </w:p>
    <w:p>
      <w:pPr>
        <w:spacing w:after="80"/>
        <w:ind w:left="432"/>
      </w:pPr>
      <w:r>
        <w:rPr>
          <w:i/>
          <w:color w:val="444444"/>
          <w:sz w:val="22"/>
        </w:rPr>
        <w:t>"The findings are not interpreted within the context of existing studies in the literature. In other words, it is not explained comparatively which gaps in the literature have been identified and what contributions this study makes. The contribution of the model developed at the beginning of the research to the literature should be stated. It should be clarified whether there are any studies conducted in Japan or other countries. The results of this research should be compared with the results of other studies, and a conclusion should be drawn from this comparison."</w:t>
      </w:r>
    </w:p>
    <w:p>
      <w:pPr>
        <w:spacing w:after="160"/>
      </w:pPr>
      <w:r>
        <w:rPr>
          <w:sz w:val="22"/>
        </w:rPr>
        <w:t>We agree that the original Discussion lacked systematic comparative analysis with specific prior studies. This was the most significant substantive change in the revision. A new "Comparative Context" subsection has been added to the Theoretical Implications section. Specifically, the revised Discussion now includes the following point-by-point comparisons:</w:t>
      </w:r>
    </w:p>
    <w:p>
      <w:pPr>
        <w:spacing w:after="160"/>
      </w:pPr>
      <w:r>
        <w:rPr>
          <w:sz w:val="22"/>
        </w:rPr>
        <w:t>(a) Psychopathy–power-harassment association (β ≈ .32–.40): compared with O'Boyle et al. (2012) meta-analytic r̄ = .19 for CWB-organizational, noting that the stronger association in the present study likely reflects the more targeted construct (supervisor-centered power harassment vs. general CWB). The finding is also compared with LeBreton et al. (2018) and Boddy (2011), who reported psychopathy–abusive-supervision associations of comparable magnitude in Western samples.</w:t>
      </w:r>
    </w:p>
    <w:p>
      <w:pPr>
        <w:spacing w:after="160"/>
      </w:pPr>
      <w:r>
        <w:rPr>
          <w:sz w:val="22"/>
        </w:rPr>
        <w:t>(b) Honesty–Humility–harassment association (β ≈ −.14 to −.23): compared with Pletzer et al. (2019a) meta-analytic r̄ ≈ −.26 for H–H and CWB at the domain level, showing broad consistency. The incremental ΔR² values (.032 for power, .096 for gender) are compared with the range of HEXACO-over-Big-Five increments reported in Pletzer et al. (2019a; ΔR² ≈ .02–.08), noting comparable explanatory gain.</w:t>
      </w:r>
    </w:p>
    <w:p>
      <w:pPr>
        <w:spacing w:after="160"/>
      </w:pPr>
      <w:r>
        <w:rPr>
          <w:sz w:val="22"/>
        </w:rPr>
        <w:t>(c) The negative Machiavellianism coefficient in adjusted models: contextualized within the Vize et al. (2018) meta-analysis showing high inter-trait overlap among Dark Triad components, and the discussion explicitly notes that the negative bivariate correlation (ρ ≈ −.10) in the present sample may reflect Japanese cultural specificity (strategic restraint in gendered contexts) or a sampling artifact — a question that requires direct cross-cultural comparison.</w:t>
      </w:r>
    </w:p>
    <w:p>
      <w:pPr>
        <w:spacing w:after="160"/>
      </w:pPr>
      <w:r>
        <w:rPr>
          <w:sz w:val="22"/>
        </w:rPr>
        <w:t>(d) Sex-stratified predictor divergence (Openness dominant among men vs. H–H dominant among women for gender-harassment perpetration): explicitly flagged as a novel contribution with no direct precedent in the literature, since prior meta-analyses (Costa et al., 2001; Schmitt et al., 2008) examined mean-level sex differences rather than within-sex trait–outcome associations.</w:t>
      </w:r>
    </w:p>
    <w:p>
      <w:pPr>
        <w:spacing w:after="160"/>
      </w:pPr>
      <w:r>
        <w:rPr>
          <w:sz w:val="22"/>
        </w:rPr>
        <w:t>(e) Comparisons with prior Japanese Dark Triad research: explicitly references Shimotsukasa &amp; Oshio (2017, 2019), Koshinaka (2020), and Oda &amp; Matsumoto-Oda (2022), noting that the present study extends Japanese Dark Triad research from manipulative strategies, interpersonal aversion, and prosociality into workplace harassment perpetration specifically — a domain that had remained largely unexamined in Japanese samples (Tsuno &amp; Kawakami, 2015).</w:t>
      </w:r>
    </w:p>
    <w:p>
      <w:pPr>
        <w:spacing w:before="360" w:after="120"/>
      </w:pPr>
      <w:r>
        <w:rPr>
          <w:b/>
          <w:sz w:val="28"/>
        </w:rPr>
        <w:t>Response to Reviewer 3</w:t>
      </w:r>
    </w:p>
    <w:p>
      <w:pPr>
        <w:spacing w:after="160"/>
      </w:pPr>
      <w:r>
        <w:rPr>
          <w:sz w:val="22"/>
        </w:rPr>
        <w:t>Reviewer 3 recommended Minor Revision and described the manuscript as "meaningful and timely" with a "comprehensive theoretical background" and "generally appropriate and carefully reported" analyses.</w:t>
      </w:r>
    </w:p>
    <w:p>
      <w:pPr>
        <w:spacing w:before="240" w:after="80"/>
      </w:pPr>
      <w:r>
        <w:rPr>
          <w:b/>
          <w:sz w:val="24"/>
        </w:rPr>
        <w:t>Comment 1: Literature review too extensive and sometimes repetitive</w:t>
      </w:r>
    </w:p>
    <w:p>
      <w:pPr>
        <w:spacing w:after="80"/>
        <w:ind w:left="432"/>
      </w:pPr>
      <w:r>
        <w:rPr>
          <w:i/>
          <w:color w:val="444444"/>
          <w:sz w:val="22"/>
        </w:rPr>
        <w:t>"The manuscript would benefit from stronger conciseness and clearer organization in the literature review sections, which are currently very extensive and sometimes repetitive. Several theoretical paragraphs summarize many citations without sufficiently synthesizing the key arguments into a focused narrative."</w:t>
      </w:r>
    </w:p>
    <w:p>
      <w:pPr>
        <w:spacing w:after="160"/>
      </w:pPr>
      <w:r>
        <w:rPr>
          <w:sz w:val="22"/>
        </w:rPr>
        <w:t>We agree. The Introduction has been substantially condensed — reduced by approximately 11–15% in word count. Each of the five Introduction subsections (The Dark Triad; The Dark Triad and Harassment Perpetration Tendencies; HEXACO in Personality Research; HEXACO and Workplace Behaviors; Dark Triad Research in Japan) has been rewritten to emphasize synthesis rather than citation accumulation. Redundant passages have been removed while preserving the references and the substantive claims necessary for the hypotheses.</w:t>
      </w:r>
    </w:p>
    <w:p>
      <w:pPr>
        <w:spacing w:before="240" w:after="80"/>
      </w:pPr>
      <w:r>
        <w:rPr>
          <w:b/>
          <w:sz w:val="24"/>
        </w:rPr>
        <w:t>Comment 2: Self-report limitations and social desirability bias</w:t>
      </w:r>
    </w:p>
    <w:p>
      <w:pPr>
        <w:spacing w:after="80"/>
        <w:ind w:left="432"/>
      </w:pPr>
      <w:r>
        <w:rPr>
          <w:i/>
          <w:color w:val="444444"/>
          <w:sz w:val="22"/>
        </w:rPr>
        <w:t>"The discussion could more critically address the limitations of self-report harassment measures and the possibility of social desirability bias, especially given the sensitive nature of perpetration behaviors."</w:t>
      </w:r>
    </w:p>
    <w:p>
      <w:pPr>
        <w:spacing w:after="160"/>
      </w:pPr>
      <w:r>
        <w:rPr>
          <w:sz w:val="22"/>
        </w:rPr>
        <w:t>We agree. The Limitations section has been expanded to include explicit discussion of: (a) common method variance from single-source, single-occasion self-report; (b) social-desirability responding — particularly relevant given that harassment perpetration is socially sensitive and respondents may have underreported undesirable behaviors despite de-identification; and (c) a recommendation that future work incorporate multi-method approaches (peer reports, supervisor evaluations, behavioral indicators). Additionally, the sample–construct mismatch limitation (power-harassment items presuppose a supervisory relational context, but managerial status was not assessed at intake) is now disclosed explicitly in both the Methods (Participants) and Limitations sections.</w:t>
      </w:r>
    </w:p>
    <w:p>
      <w:pPr>
        <w:spacing w:before="240" w:after="80"/>
      </w:pPr>
      <w:r>
        <w:rPr>
          <w:b/>
          <w:sz w:val="24"/>
        </w:rPr>
        <w:t>Comment 3: Moderation findings (H–H interactions) weak — interpret cautiously</w:t>
      </w:r>
    </w:p>
    <w:p>
      <w:pPr>
        <w:spacing w:after="80"/>
        <w:ind w:left="432"/>
      </w:pPr>
      <w:r>
        <w:rPr>
          <w:i/>
          <w:color w:val="444444"/>
          <w:sz w:val="22"/>
        </w:rPr>
        <w:t>"The moderation findings involving Honesty-Humility interactions were relatively weak, so these results should be interpreted more cautiously and perhaps reframed as exploratory."</w:t>
      </w:r>
    </w:p>
    <w:p>
      <w:pPr>
        <w:spacing w:after="160"/>
      </w:pPr>
      <w:r>
        <w:rPr>
          <w:sz w:val="22"/>
        </w:rPr>
        <w:t>We agree. The interaction terms (Model C: H–H × Machiavellianism / Narcissism / Psychopathy) are now explicitly flagged in the Purpose of the Study section as "exploratory, not confirmatory," with the statement: "We do not preregister directional predictions for these interaction terms; we report them descriptively." The Sensitivity Analysis subsection reports only the incremental R² from Model C relative to Model B (which was small) without overinterpretation. The Theoretical Implications section does not develop a theoretical account that depends on the interaction terms.</w:t>
      </w:r>
    </w:p>
    <w:p>
      <w:pPr>
        <w:spacing w:before="240" w:after="80"/>
      </w:pPr>
      <w:r>
        <w:rPr>
          <w:b/>
          <w:sz w:val="24"/>
        </w:rPr>
        <w:t>Comment 4: Clearer practical framework</w:t>
      </w:r>
    </w:p>
    <w:p>
      <w:pPr>
        <w:spacing w:after="80"/>
        <w:ind w:left="432"/>
      </w:pPr>
      <w:r>
        <w:rPr>
          <w:i/>
          <w:color w:val="444444"/>
          <w:sz w:val="22"/>
        </w:rPr>
        <w:t>"Adding a clearer practical framework for how organizations might apply these findings in leadership development or harassment prevention programs would strengthen the manuscript's applied contribution and overall impact."</w:t>
      </w:r>
    </w:p>
    <w:p>
      <w:pPr>
        <w:spacing w:after="160"/>
      </w:pPr>
      <w:r>
        <w:rPr>
          <w:sz w:val="22"/>
        </w:rPr>
        <w:t>We have revised the Practical Implications section. Importantly, the revised version reframes the practical implications away from personality-based screening (which the original version had advocated). The new framing explicitly states: "We do not interpret these adjusted associations as evidence that personality scores can be used as direct selection or exclusion criteria." Instead, the practical implications are oriented toward: (a) training programs emphasizing ethical decision-making, perspective-taking, and respect in hierarchical relationships; (b) organizational reforms that reduce power asymmetries and improve reporting systems; and (c) personality assessment as a complement to, rather than a replacement for, systemic interventions. The revised version also explicitly notes the author's commercial affiliation with SUNBLAZE Co., Ltd. and its independence from the study instruments.</w:t>
      </w:r>
    </w:p>
    <w:p>
      <w:pPr>
        <w:spacing w:before="360" w:after="120"/>
      </w:pPr>
      <w:r>
        <w:rPr>
          <w:b/>
          <w:sz w:val="28"/>
        </w:rPr>
        <w:t>Additional Changes (not requested by reviewers but incorporated for scientific rigor)</w:t>
      </w:r>
    </w:p>
    <w:p>
      <w:pPr>
        <w:spacing w:after="160"/>
      </w:pPr>
      <w:r>
        <w:rPr>
          <w:sz w:val="22"/>
        </w:rPr>
        <w:t>The following changes were made to improve the manuscript's transparency and scientific rigor, in response to feedback received during the concurrent review process at another journal (the manuscript was under review at Scientific Reports before being submitted to Frontiers):</w:t>
      </w:r>
    </w:p>
    <w:p>
      <w:pPr>
        <w:spacing w:after="160"/>
      </w:pPr>
      <w:r>
        <w:rPr>
          <w:sz w:val="22"/>
        </w:rPr>
        <w:t>1. Title changed from "Predicting Power and Gender Harassment from HEXACO and Dark Traits" to "Associations of HEXACO and Dark Traits with Power and Gender Harassment" to more accurately reflect the cross-sectional, correlational design (the term "predicting" implies a directional/causal framework not supported by the design).</w:t>
      </w:r>
    </w:p>
    <w:p>
      <w:pPr>
        <w:spacing w:after="160"/>
      </w:pPr>
      <w:r>
        <w:rPr>
          <w:sz w:val="22"/>
        </w:rPr>
        <w:t>2. Hypotheses reformulated in falsifiable form (H1–H5), each with explicit conditions under which it would be disconfirmed, addressing the concern that "psychopathy predicts harassment" is tautological when psychopathy is partly defined by antisocial tendencies.</w:t>
      </w:r>
    </w:p>
    <w:p>
      <w:pPr>
        <w:spacing w:after="160"/>
      </w:pPr>
      <w:r>
        <w:rPr>
          <w:sz w:val="22"/>
        </w:rPr>
        <w:t>3. Sex-stratified analyses added to the Results (coefficient-level detail in a new Table 8, not just the R² table previously included). A new hypothesis (H5: Sex-conditional structure) tests whether the predictor structure differs by sex, with the finding that Openness dominates among men and H–H among women for gender-harassment perpetration tendencies.</w:t>
      </w:r>
    </w:p>
    <w:p>
      <w:pPr>
        <w:spacing w:after="160"/>
      </w:pPr>
      <w:r>
        <w:rPr>
          <w:sz w:val="22"/>
        </w:rPr>
        <w:t>4. The residual Honesty–Humility association after adjustment for the Dark Triad is now explicitly framed as an "adjusted association" rather than as evidence of a separable latent fairness/sincerity factor distinct from Dark-Triad antagonism — the latter would require a latent-variable framework (e.g., bifactor CFA) not estimated in the present study.</w:t>
      </w:r>
    </w:p>
    <w:p>
      <w:pPr>
        <w:spacing w:after="160"/>
      </w:pPr>
      <w:r>
        <w:rPr>
          <w:sz w:val="22"/>
        </w:rPr>
        <w:t>5. The Machiavellianism negative coefficient in adjusted gender-harassment models is now correctly described as consistent with the small negative bivariate correlation in this sample (ρ ≈ −.10; i.e., not a sign reversal under adjustment) and is explicitly NOT interpreted as a substantive "protective" effect.</w:t>
      </w:r>
    </w:p>
    <w:p>
      <w:pPr>
        <w:spacing w:after="160"/>
      </w:pPr>
      <w:r>
        <w:rPr>
          <w:sz w:val="22"/>
        </w:rPr>
        <w:t>6. Conflict of Interest declaration: fully discloses the author's commercial affiliation with SUNBLAZE Co., Ltd., clarifying that the proprietary instruments offered by SUNBLAZE do not include the HEXACO-60 or SD3-J used in this study.</w:t>
      </w:r>
    </w:p>
    <w:p>
      <w:pPr>
        <w:spacing w:after="160"/>
      </w:pPr>
      <w:r>
        <w:rPr>
          <w:sz w:val="22"/>
        </w:rPr>
        <w:t>7. Funding declaration: clarifies that the research is funded entirely from the author's personal resources, with no financial or in-kind support from SUNBLAZE Co., Ltd.</w:t>
      </w:r>
    </w:p>
    <w:p>
      <w:pPr>
        <w:spacing w:after="160"/>
      </w:pPr>
      <w:r>
        <w:rPr>
          <w:sz w:val="22"/>
        </w:rPr>
        <w:t>8. Data handling terminology: unified to "de-identified" (replacing inconsistent use of "anonymously collected" / "anonymized" / "de-identified" in the original submission). The de-identification chain (Lancers user identifiers collected solely for compensation, then permanently deleted) is now described consistently across Methods, Declarations, and Data Availability.</w:t>
      </w:r>
    </w:p>
    <w:p>
      <w:pPr>
        <w:spacing w:after="160"/>
      </w:pPr>
      <w:r>
        <w:rPr>
          <w:sz w:val="22"/>
        </w:rPr>
        <w:t>9. Geographic-area variable in the publicly released dataset: generalized from 11 Japanese regions to 3 categories (Kanto, Kinki, Other) to reduce re-identification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