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b/>
          <w:sz w:val="24"/>
        </w:rPr>
        <w:t>Scope statement (for SocArXiv moderators)</w:t>
      </w:r>
    </w:p>
    <w:p>
      <w:pPr>
        <w:spacing w:line="276" w:lineRule="auto" w:after="120"/>
      </w:pPr>
      <w:r>
        <w:rPr>
          <w:rFonts w:ascii="Times New Roman" w:hAnsi="Times New Roman" w:eastAsia="Times New Roman"/>
          <w:sz w:val="24"/>
        </w:rPr>
        <w:t>This is an academic, pre-registered counterfactual microsimulation study in occupational and personality psychology. It is not an evaluation of any commercial product, software, intervention, or service. The study tests three counterfactual interventions — universal personality shift, targeted personality shift on a low-prevalence subgroup, and a structural cell-level propensity reduction — operationalized through a microsimulation calibrated against three published meta-analyses of organizational anti-harassment interventions and against meta-analytic effect sizes from the personality-change literature. No commercial product, software, or service of the author's affiliated company is referenced, evaluated, marketed, or implied.</w:t>
      </w:r>
    </w:p>
    <w:p>
      <w:pPr>
        <w:spacing w:line="276" w:lineRule="auto" w:after="120"/>
      </w:pPr>
      <w:r>
        <w:rPr>
          <w:rFonts w:ascii="Times New Roman" w:hAnsi="Times New Roman" w:eastAsia="Times New Roman"/>
          <w:sz w:val="24"/>
        </w:rPr>
        <w:t>The author's postal correspondence is c/o SUNBLAZE Co., Ltd. (Tokyo, Japan) for routing convenience; the company did not commission, fund, sponsor, or otherwise direct the research, and has no commercial offering related to workplace harassment, HEXACO assessment, or the topic of the present analysis. The research was conducted independently and self-funded; no external grants supported the work. The author declares no competing interests.</w:t>
      </w:r>
    </w:p>
    <w:p>
      <w:pPr>
        <w:spacing w:line="276" w:lineRule="auto" w:after="120"/>
      </w:pPr>
      <w:r>
        <w:rPr>
          <w:rFonts w:ascii="Times New Roman" w:hAnsi="Times New Roman" w:eastAsia="Times New Roman"/>
          <w:b/>
          <w:sz w:val="24"/>
        </w:rPr>
        <w:t>Headline empirical content</w:t>
      </w:r>
    </w:p>
    <w:p>
      <w:pPr>
        <w:spacing w:line="276" w:lineRule="auto" w:after="120"/>
      </w:pPr>
      <w:r>
        <w:rPr>
          <w:rFonts w:ascii="Times New Roman" w:hAnsi="Times New Roman" w:eastAsia="Times New Roman"/>
          <w:sz w:val="24"/>
        </w:rPr>
        <w:t>Using N = 354 individual-level Japanese workplace observations partitioned into 14 cells (7 HEXACO clusters × 2 genders), and re-weighted with Statistics Bureau (MIC) Labor Force Survey 2022 marginals, the analysis tests three pre-registered counterfactuals: (A) +0.3 SD on Honesty-Humility, Agreeableness, and Emotionality (universal personality intervention); (B) +0.40 SD on Honesty-Humility restricted to individuals already in Cluster {0, 4, 6} (targeted personality intervention); (C) −20% cell-level propensity (structural intervention). The pre-registered intersection-union test (Berger &amp; Hsu, 1996) classifies the configuration as REVERSAL: the personality-pathway contrasts are statistically null, whereas the structural-pathway contrast is positive (ΔP_C = +3.49 percentage points; 95% CI [+2.64, +4.35]). The classification is robust across all four pre-registered cultural-attenuation factors (F = 0.3 to 1.0). The findings are interpreted conditional on the prior meta-analytic effect sizes used to calibrate each counterfactual.</w:t>
      </w:r>
    </w:p>
    <w:p>
      <w:pPr>
        <w:spacing w:line="276" w:lineRule="auto" w:after="120"/>
      </w:pPr>
      <w:r>
        <w:rPr>
          <w:rFonts w:ascii="Times New Roman" w:hAnsi="Times New Roman" w:eastAsia="Times New Roman"/>
          <w:b/>
          <w:sz w:val="24"/>
        </w:rPr>
        <w:t>Pre-registration adherence</w:t>
      </w:r>
    </w:p>
    <w:p>
      <w:pPr>
        <w:spacing w:line="276" w:lineRule="auto" w:after="120"/>
      </w:pPr>
      <w:r>
        <w:rPr>
          <w:rFonts w:ascii="Times New Roman" w:hAnsi="Times New Roman" w:eastAsia="Times New Roman"/>
          <w:sz w:val="24"/>
        </w:rPr>
        <w:t>All seven primary hypotheses (H1–H7) are evaluated against pre-registered classification rules; all sensitivity sweeps and diagnostic procedures specified in the v2.0 master are executed and reported. The Methods Clarifications Log accompanying the v2.0 registration documents 16 minor specification clarifications resolved during the Stage 1 protocol-development phase. No undocumented deviations occurred.</w:t>
      </w:r>
    </w:p>
    <w:p>
      <w:pPr>
        <w:spacing w:line="276" w:lineRule="auto" w:after="120"/>
      </w:pPr>
      <w:r>
        <w:rPr>
          <w:rFonts w:ascii="Times New Roman" w:hAnsi="Times New Roman" w:eastAsia="Times New Roman"/>
          <w:b/>
          <w:sz w:val="24"/>
        </w:rPr>
        <w:t>Why SocArXiv</w:t>
      </w:r>
    </w:p>
    <w:p>
      <w:pPr>
        <w:spacing w:line="276" w:lineRule="auto" w:after="120"/>
      </w:pPr>
      <w:r>
        <w:rPr>
          <w:rFonts w:ascii="Times New Roman" w:hAnsi="Times New Roman" w:eastAsia="Times New Roman"/>
          <w:sz w:val="24"/>
        </w:rPr>
        <w:t>SocArXiv hosts pre-registered social-science work and integrates with OSF, which already hosts the v2.0 pre-registration and supplementary artifacts for this study. The methodological contribution (counterfactual microsimulation as a comparison engine for two evidence bases that are otherwise non-comparable in scale) is positioned to engage social-science readerships in personality psychology, occupational health psychology, and policy-relevant counterfactual analysis.</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Six limitations are disclosed in the Discussion: (1) reduced-form framing of Counterfactual C (statistical translation rather than mechanistic deterrence model); (2) causal under-identification (selection, confounding, and reverse causation cannot be distinguished from direct causation, only the latter inconsistent with the data); (3) heterogeneity in counterfactual response (uniform −20% across cells; cell-specific response not estimated); (4) static framing (no temporal dynamics); (5) m8 limitation (cluster proportions M3-fixed at Tokiwa, 2026, IEEE Access values); (6) sample size (N = 354; cell-level CIs adequate but not extensively replicated).</w:t>
      </w:r>
    </w:p>
    <w:p>
      <w:pPr>
        <w:spacing w:line="276" w:lineRule="auto" w:after="120"/>
      </w:pPr>
      <w:r>
        <w:rPr>
          <w:rFonts w:ascii="Times New Roman" w:hAnsi="Times New Roman" w:eastAsia="Times New Roman"/>
          <w:sz w:val="24"/>
        </w:rPr>
        <w:t>---</w:t>
      </w:r>
    </w:p>
    <w:p>
      <w:pPr>
        <w:spacing w:line="276" w:lineRule="auto" w:after="120"/>
      </w:pPr>
      <w:r>
        <w:rPr>
          <w:rFonts w:ascii="Times New Roman" w:hAnsi="Times New Roman" w:eastAsia="Times New Roman"/>
          <w:sz w:val="24"/>
        </w:rPr>
        <w:t>Eisuke Tokiwa Independent researcher Correspondence: c/o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