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p>
    <w:p>
      <w:pPr>
        <w:spacing w:line="480" w:lineRule="auto" w:before="0" w:after="0"/>
      </w:pPr>
    </w:p>
    <w:p>
      <w:pPr>
        <w:spacing w:line="480" w:lineRule="auto" w:before="0" w:after="0"/>
        <w:jc w:val="center"/>
      </w:pPr>
      <w:r>
        <w:rPr>
          <w:rFonts w:ascii="Times New Roman" w:hAnsi="Times New Roman" w:eastAsia="Times New Roman"/>
          <w:b/>
          <w:sz w:val="24"/>
        </w:rPr>
        <w:t>Person-Level versus System-Level Anti-Harassment Interventions: HEXACO 7-Typology Evidence That Structure Dominates Personality in Japanese Workplaces</w:t>
      </w:r>
    </w:p>
    <w:p>
      <w:pPr>
        <w:spacing w:line="480" w:lineRule="auto" w:before="0" w:after="0"/>
      </w:pPr>
    </w:p>
    <w:p>
      <w:pPr>
        <w:spacing w:line="480" w:lineRule="auto" w:before="0" w:after="0"/>
        <w:jc w:val="center"/>
      </w:pPr>
      <w:r>
        <w:rPr>
          <w:rFonts w:ascii="Times New Roman" w:hAnsi="Times New Roman" w:eastAsia="Times New Roman"/>
          <w:sz w:val="24"/>
        </w:rPr>
        <w:t>Eisuke Tokiwa</w:t>
      </w:r>
    </w:p>
    <w:p>
      <w:pPr>
        <w:spacing w:line="480" w:lineRule="auto" w:before="0" w:after="0"/>
        <w:jc w:val="center"/>
      </w:pPr>
      <w:r>
        <w:rPr>
          <w:rFonts w:ascii="Times New Roman" w:hAnsi="Times New Roman" w:eastAsia="Times New Roman"/>
          <w:sz w:val="24"/>
        </w:rPr>
        <w:t>SUNBLAZE Co., Ltd., Tokyo, Japan</w:t>
      </w:r>
    </w:p>
    <w:p>
      <w:pPr>
        <w:spacing w:line="480" w:lineRule="auto" w:before="0" w:after="0"/>
      </w:pPr>
    </w:p>
    <w:p>
      <w:pPr>
        <w:spacing w:line="480" w:lineRule="auto" w:before="0" w:after="0"/>
      </w:pPr>
    </w:p>
    <w:p>
      <w:pPr>
        <w:spacing w:line="480" w:lineRule="auto" w:before="0" w:after="0"/>
        <w:jc w:val="center"/>
      </w:pPr>
      <w:r>
        <w:rPr>
          <w:rFonts w:ascii="Times New Roman" w:hAnsi="Times New Roman" w:eastAsia="Times New Roman"/>
          <w:b/>
          <w:sz w:val="24"/>
        </w:rPr>
        <w:t>Author Note</w:t>
      </w:r>
    </w:p>
    <w:p>
      <w:pPr>
        <w:spacing w:line="480" w:lineRule="auto" w:before="0" w:after="0"/>
      </w:pPr>
      <w:r>
        <w:rPr>
          <w:rFonts w:ascii="Times New Roman" w:hAnsi="Times New Roman" w:eastAsia="Times New Roman"/>
          <w:sz w:val="24"/>
        </w:rPr>
        <w:t>Eisuke Tokiwa  https://orcid.org/0009-0009-7124-6669</w:t>
      </w:r>
    </w:p>
    <w:p>
      <w:pPr>
        <w:spacing w:line="480" w:lineRule="auto" w:before="0" w:after="0"/>
      </w:pPr>
      <w:r>
        <w:rPr>
          <w:rFonts w:ascii="Times New Roman" w:hAnsi="Times New Roman" w:eastAsia="Times New Roman"/>
          <w:sz w:val="24"/>
        </w:rPr>
        <w:t>The author has no known conflict of interest to disclose beyond that stated in the Declarations below.</w:t>
      </w:r>
    </w:p>
    <w:p>
      <w:pPr>
        <w:spacing w:line="480" w:lineRule="auto" w:before="0" w:after="0"/>
      </w:pPr>
      <w:r>
        <w:rPr>
          <w:rFonts w:ascii="Times New Roman" w:hAnsi="Times New Roman" w:eastAsia="Times New Roman"/>
          <w:sz w:val="24"/>
        </w:rPr>
        <w:t>Correspondence concerning this article should be addressed to Eisuke Tokiwa, SUNBLAZE Co., Ltd., Tokyo, Japan. Email: eisuke.tokiwa@sunblaze.jp</w:t>
      </w:r>
    </w:p>
    <w:p>
      <w:pPr>
        <w:spacing w:line="480" w:lineRule="auto" w:before="0" w:after="0"/>
      </w:pPr>
    </w:p>
    <w:p>
      <w:pPr>
        <w:spacing w:line="480" w:lineRule="auto" w:before="0" w:after="0"/>
      </w:pPr>
    </w:p>
    <w:p>
      <w:pPr>
        <w:spacing w:line="480" w:lineRule="auto" w:before="0" w:after="0"/>
      </w:pPr>
      <w:r>
        <w:rPr>
          <w:rFonts w:ascii="Times New Roman" w:hAnsi="Times New Roman" w:eastAsia="Times New Roman"/>
          <w:b/>
          <w:sz w:val="24"/>
        </w:rPr>
        <w:t>Declarations</w:t>
      </w:r>
    </w:p>
    <w:p>
      <w:pPr>
        <w:spacing w:line="480" w:lineRule="auto" w:before="0" w:after="0"/>
      </w:pPr>
    </w:p>
    <w:p>
      <w:pPr>
        <w:spacing w:line="480" w:lineRule="auto" w:before="0" w:after="0"/>
      </w:pPr>
      <w:r>
        <w:rPr>
          <w:rFonts w:ascii="Times New Roman" w:hAnsi="Times New Roman" w:eastAsia="Times New Roman"/>
          <w:b/>
          <w:sz w:val="24"/>
        </w:rPr>
        <w:t>Conflict of Interest</w:t>
      </w:r>
    </w:p>
    <w:p>
      <w:pPr>
        <w:spacing w:line="480" w:lineRule="auto" w:before="0" w:after="0"/>
      </w:pPr>
      <w:r>
        <w:rPr>
          <w:rFonts w:ascii="Times New Roman" w:hAnsi="Times New Roman" w:eastAsia="Times New Roman"/>
          <w:sz w:val="24"/>
        </w:rPr>
        <w:t>The author declares that there are no financial or personal relationships with other people or organizations that could inappropriately influence (bias) the work reported in this paper.</w:t>
      </w:r>
    </w:p>
    <w:p>
      <w:pPr>
        <w:spacing w:line="480" w:lineRule="auto" w:before="0" w:after="0"/>
      </w:pPr>
    </w:p>
    <w:p>
      <w:pPr>
        <w:spacing w:line="480" w:lineRule="auto" w:before="0" w:after="0"/>
      </w:pPr>
      <w:r>
        <w:rPr>
          <w:rFonts w:ascii="Times New Roman" w:hAnsi="Times New Roman" w:eastAsia="Times New Roman"/>
          <w:b/>
          <w:sz w:val="24"/>
        </w:rPr>
        <w:t>Funding</w:t>
      </w:r>
    </w:p>
    <w:p>
      <w:pPr>
        <w:spacing w:line="480" w:lineRule="auto" w:before="0" w:after="0"/>
      </w:pPr>
      <w:r>
        <w:rPr>
          <w:rFonts w:ascii="Times New Roman" w:hAnsi="Times New Roman" w:eastAsia="Times New Roman"/>
          <w:sz w:val="24"/>
        </w:rPr>
        <w:t>This research was self-funded by SUNBLAZE Co., Ltd. (Tokyo, Japan). No external grant funding from agencies in the public, commercial, or not-for-profit sectors was received.</w:t>
      </w:r>
    </w:p>
    <w:p>
      <w:pPr>
        <w:spacing w:line="480" w:lineRule="auto" w:before="0" w:after="0"/>
      </w:pPr>
    </w:p>
    <w:p>
      <w:pPr>
        <w:spacing w:line="480" w:lineRule="auto" w:before="0" w:after="0"/>
      </w:pPr>
      <w:r>
        <w:rPr>
          <w:rFonts w:ascii="Times New Roman" w:hAnsi="Times New Roman" w:eastAsia="Times New Roman"/>
          <w:b/>
          <w:sz w:val="24"/>
        </w:rPr>
        <w:t>Ethics Approval</w:t>
      </w:r>
    </w:p>
    <w:p>
      <w:pPr>
        <w:spacing w:line="480" w:lineRule="auto" w:before="0" w:after="0"/>
      </w:pPr>
      <w:r>
        <w:rPr>
          <w:rFonts w:ascii="Times New Roman" w:hAnsi="Times New Roman" w:eastAsia="Times New Roman"/>
          <w:sz w:val="24"/>
        </w:rPr>
        <w:t>The N = 354 individual-level harassment data re-analyzed in this study were originally collected under an IRB-approved protocol described in Tokiwa (2025, Research Square preprint, DOI 10.21203/rs.3.rs-7756124/v1). Secondary analysis of these de-identified data does not require additional ethics review under SUNBLAZE Co., Ltd. policy.</w:t>
      </w:r>
    </w:p>
    <w:p>
      <w:pPr>
        <w:spacing w:line="480" w:lineRule="auto" w:before="0" w:after="0"/>
      </w:pPr>
    </w:p>
    <w:p>
      <w:pPr>
        <w:spacing w:line="480" w:lineRule="auto" w:before="0" w:after="0"/>
      </w:pPr>
      <w:r>
        <w:rPr>
          <w:rFonts w:ascii="Times New Roman" w:hAnsi="Times New Roman" w:eastAsia="Times New Roman"/>
          <w:b/>
          <w:sz w:val="24"/>
        </w:rPr>
        <w:t>Informed Consent</w:t>
      </w:r>
    </w:p>
    <w:p>
      <w:pPr>
        <w:spacing w:line="480" w:lineRule="auto" w:before="0" w:after="0"/>
      </w:pPr>
      <w:r>
        <w:rPr>
          <w:rFonts w:ascii="Times New Roman" w:hAnsi="Times New Roman" w:eastAsia="Times New Roman"/>
          <w:sz w:val="24"/>
        </w:rPr>
        <w:t>All N = 354 participants in the original survey provided informed consent for research use of their de-identified responses (per Tokiwa, 2025). The present secondary analysis introduces no new participant contact.</w:t>
      </w:r>
    </w:p>
    <w:p>
      <w:pPr>
        <w:spacing w:line="480" w:lineRule="auto" w:before="0" w:after="0"/>
      </w:pPr>
    </w:p>
    <w:p>
      <w:pPr>
        <w:spacing w:line="480" w:lineRule="auto" w:before="0" w:after="0"/>
      </w:pPr>
      <w:r>
        <w:rPr>
          <w:rFonts w:ascii="Times New Roman" w:hAnsi="Times New Roman" w:eastAsia="Times New Roman"/>
          <w:b/>
          <w:sz w:val="24"/>
        </w:rPr>
        <w:t>Pre-registration</w:t>
      </w:r>
    </w:p>
    <w:p>
      <w:pPr>
        <w:spacing w:line="480" w:lineRule="auto" w:before="0" w:after="0"/>
      </w:pPr>
      <w:r>
        <w:rPr>
          <w:rFonts w:ascii="Times New Roman" w:hAnsi="Times New Roman" w:eastAsia="Times New Roman"/>
          <w:sz w:val="24"/>
        </w:rPr>
        <w:t>This Stage 2 Registered Report implements, without deviation, the analysis plan pre-registered as v2.0 at the Open Science Framework (DOI 10.17605/OSF.IO/3Y54U; https://osf.io/3y54u; registered 2026-04-30). The Section 6.5 Level 1 Methods Clarifications Log accompanying the v2.0 registration documents 16 minor specification clarifications applied prior to Stage 0 implementation.</w:t>
      </w:r>
    </w:p>
    <w:p>
      <w:pPr>
        <w:spacing w:line="480" w:lineRule="auto" w:before="0" w:after="0"/>
      </w:pPr>
    </w:p>
    <w:p>
      <w:pPr>
        <w:spacing w:line="480" w:lineRule="auto" w:before="0" w:after="0"/>
      </w:pPr>
      <w:r>
        <w:rPr>
          <w:rFonts w:ascii="Times New Roman" w:hAnsi="Times New Roman" w:eastAsia="Times New Roman"/>
          <w:b/>
          <w:sz w:val="24"/>
        </w:rPr>
        <w:t>Availability of data and material</w:t>
      </w:r>
    </w:p>
    <w:p>
      <w:pPr>
        <w:spacing w:line="480" w:lineRule="auto" w:before="0" w:after="0"/>
      </w:pPr>
      <w:r>
        <w:rPr>
          <w:rFonts w:ascii="Times New Roman" w:hAnsi="Times New Roman" w:eastAsia="Times New Roman"/>
          <w:sz w:val="24"/>
        </w:rPr>
        <w:t>Public-tier supplementary artifacts (Stage 0–8 HDF5, Figures 1–6 in PNG/PDF/SVG, canonical numerical record, SHA-256 reference hashes) are openly available at the v2.0 OSF working project (osf.io/3hxz6, v2.0/v2.0_supplementary.tar.gz). The N = 354 individual-level dataset is governed by the IRB-approved data-sharing protocol and hosted in a Private OSF component with a documented Request-Access mechanism (parent project Wiki at osf.io/3hxz6/wiki/home/ lists access criteria, IRB requirements, and data-use terms). All analysis code is publicly archived under MIT license at https://github.com/etoki/paper (directory: simulation/).</w:t>
      </w:r>
    </w:p>
    <w:p>
      <w:pPr>
        <w:spacing w:line="480" w:lineRule="auto" w:before="0" w:after="0"/>
      </w:pPr>
    </w:p>
    <w:p>
      <w:pPr>
        <w:spacing w:line="480" w:lineRule="auto" w:before="0" w:after="0"/>
      </w:pPr>
      <w:r>
        <w:rPr>
          <w:rFonts w:ascii="Times New Roman" w:hAnsi="Times New Roman" w:eastAsia="Times New Roman"/>
          <w:b/>
          <w:sz w:val="24"/>
        </w:rPr>
        <w:t>Authors' contributions</w:t>
      </w:r>
    </w:p>
    <w:p>
      <w:pPr>
        <w:spacing w:line="480" w:lineRule="auto" w:before="0" w:after="0"/>
      </w:pPr>
      <w:r>
        <w:rPr>
          <w:rFonts w:ascii="Times New Roman" w:hAnsi="Times New Roman" w:eastAsia="Times New Roman"/>
          <w:sz w:val="24"/>
        </w:rPr>
        <w:t>The sole author (Eisuke Tokiwa) was responsible for conceptualization, methodology, software, formal analysis, investigation, data curation, writing — original draft, and writing — review &amp; editing.</w:t>
      </w:r>
    </w:p>
    <w:p>
      <w:pPr>
        <w:spacing w:line="480" w:lineRule="auto" w:before="0" w:after="0"/>
      </w:pPr>
    </w:p>
    <w:p>
      <w:pPr>
        <w:spacing w:line="480" w:lineRule="auto" w:before="0" w:after="0"/>
      </w:pPr>
      <w:r>
        <w:rPr>
          <w:rFonts w:ascii="Times New Roman" w:hAnsi="Times New Roman" w:eastAsia="Times New Roman"/>
          <w:b/>
          <w:sz w:val="24"/>
        </w:rPr>
        <w:t>Preprint Statement</w:t>
      </w:r>
    </w:p>
    <w:p>
      <w:pPr>
        <w:spacing w:line="480" w:lineRule="auto" w:before="0" w:after="0"/>
      </w:pPr>
      <w:r>
        <w:rPr>
          <w:rFonts w:ascii="Times New Roman" w:hAnsi="Times New Roman" w:eastAsia="Times New Roman"/>
          <w:sz w:val="24"/>
        </w:rPr>
        <w:t>A preprint of the original survey (the underlying N = 354 dataset and its descriptive analyses) is available at Research Square (DOI 10.21203/rs.3.rs-7756124/v1; Tokiwa, 2025). The seven HEXACO cluster centroids used as fixed parameters in this study are from the companion paper Tokiwa (2026, IEEE Access, DOI 10.1109/ACCESS.2026.3651324).</w:t>
      </w:r>
    </w:p>
    <w:p>
      <w:pPr>
        <w:spacing w:line="480" w:lineRule="auto" w:before="0" w:after="0"/>
      </w:pPr>
    </w:p>
    <w:p>
      <w:pPr>
        <w:spacing w:line="480" w:lineRule="auto" w:before="0" w:after="0"/>
      </w:pPr>
      <w:r>
        <w:rPr>
          <w:rFonts w:ascii="Times New Roman" w:hAnsi="Times New Roman" w:eastAsia="Times New Roman"/>
          <w:b/>
          <w:sz w:val="24"/>
        </w:rPr>
        <w:t>Acknowledgments</w:t>
      </w:r>
    </w:p>
    <w:p>
      <w:pPr>
        <w:spacing w:line="480" w:lineRule="auto" w:before="0" w:after="0"/>
      </w:pPr>
      <w:r>
        <w:rPr>
          <w:rFonts w:ascii="Times New Roman" w:hAnsi="Times New Roman" w:eastAsia="Times New Roman"/>
          <w:sz w:val="24"/>
        </w:rPr>
        <w:t>The author thanks the anonymous external methodologist (mode B; mathematical biology background) whose review memo led to the Section 6.5 Level 1 Methods Clarifications Log, and the N = 354 survey respondents whose anonymized data made this analysis possible.</w:t>
      </w:r>
    </w:p>
    <w:p>
      <w:pPr>
        <w:spacing w:line="480" w:lineRule="auto" w:before="0" w:after="0"/>
      </w:pPr>
    </w:p>
    <w:p>
      <w:pPr>
        <w:spacing w:line="480" w:lineRule="auto" w:before="0" w:after="0"/>
      </w:pPr>
      <w:r>
        <w:rPr>
          <w:rFonts w:ascii="Times New Roman" w:hAnsi="Times New Roman" w:eastAsia="Times New Roman"/>
          <w:sz w:val="24"/>
        </w:rPr>
        <w:t>Note (journal submission): This manuscript is being submitted as a Stage 2 Registered Report. Conditional acceptance based on Stage 1 review of the v2.0 protocol document (https://osf.io/3y54u) is acknowledged in the accompanying cover letter.</w:t>
      </w:r>
    </w:p>
    <w:p>
      <w:r>
        <w:br w:type="page"/>
      </w:r>
    </w:p>
    <w:p>
      <w:pPr>
        <w:spacing w:line="480" w:lineRule="auto" w:before="0" w:after="0"/>
        <w:jc w:val="center"/>
      </w:pPr>
      <w:r>
        <w:rPr>
          <w:rFonts w:ascii="Times New Roman" w:hAnsi="Times New Roman" w:eastAsia="Times New Roman"/>
          <w:b/>
          <w:sz w:val="24"/>
        </w:rPr>
        <w:t>Abstract</w:t>
      </w:r>
    </w:p>
    <w:p>
      <w:pPr>
        <w:spacing w:line="480" w:lineRule="auto" w:before="0" w:after="0"/>
        <w:ind w:firstLine="720"/>
      </w:pPr>
      <w:r>
        <w:rPr>
          <w:rFonts w:ascii="Times New Roman" w:hAnsi="Times New Roman" w:eastAsia="Times New Roman"/>
          <w:sz w:val="24"/>
        </w:rPr>
        <w:t>Workplace harassment is associated with substantial mental-health and labor-supply costs in Japan, where Ministry of Health, Labour and Welfare (MHLW) surveys document past-three-year power-harassment victimization declining from 32.5% (FY2016) to 19.3% (FY2023) over the period spanning enforcement of the 2020 Power Harassment Prevention Law. The relative population-level magnitude of plausible person-level versus system-level interventions during this period has not been quantitatively compared in a pre-registered counterfactual framework. We pre-registered (OSF DOI 10.17605/OSF.IO/3Y54U) a 7-typology HEXACO microsimulation that emulates a target trial of three counterfactual interventions: (A) a universal +0.3 SD shift on Honesty-Humility, Agreeableness, and Emotionality; (B) a +0.40 SD Honesty-Humility shift restricted to individuals already in three low-prevalence typologies (Clusters {0, 4, 6}); and (C) a structural cell-level propensity reduction of 20%, calibrated against three meta-analyses of organizational anti-harassment interventions. Using N = 354 individual-level observations partitioned into 14 cells (7 typologies × 2 genders) with cell-stratified bootstrap (B = 10,000), Beta-Binomial empirical Bayes shrinkage, and a four-step BCa confidence-interval cascade, the personality-intervention contrasts are statistically null (ΔP_A = −0.0061, 95% CI [−0.0207, +0.0062]; ΔP_B = −0.0059, 95% CI [−0.0207, +0.0066]), whereas the structural-intervention contrast is positive (ΔP_C = +0.0349, 95% CI [+0.0264, +0.0435]). The pre-registered intersection-union test classifies this configuration as REVERSAL: in absolute magnitude, |ΔP_C|/|ΔP_A| ≈ 5.7. The classification is robust across cultural attenuation factors of 0.3–1.0 and across nine pre-registered analytic choices. We interpret these contrasts conditional on the prior meta-analytic effect sizes from which each counterfactual was calibrated. The findings are consistent with treating HEXACO 7-typology as a stratification variable that identifies differentially exposed subpopulations rather than as a target for individual-level personality modification, and we caution against interpreting HEXACO–harassment associations as endorsing person-focused remediation.</w:t>
      </w:r>
    </w:p>
    <w:p>
      <w:pPr>
        <w:spacing w:line="480" w:lineRule="auto" w:before="0" w:after="0"/>
        <w:ind w:firstLine="720"/>
      </w:pPr>
      <w:r>
        <w:rPr>
          <w:rFonts w:ascii="Times New Roman" w:hAnsi="Times New Roman" w:eastAsia="Times New Roman"/>
          <w:b/>
          <w:sz w:val="24"/>
        </w:rPr>
        <w:t>Keywords</w:t>
      </w:r>
      <w:r>
        <w:rPr>
          <w:rFonts w:ascii="Times New Roman" w:hAnsi="Times New Roman" w:eastAsia="Times New Roman"/>
          <w:sz w:val="24"/>
        </w:rPr>
        <w:t>: workplace harassment; HEXACO; counterfactual simulation; target trial emulation; Japan; pre-registration; structural intervention; personality intervention; 2020 Power Harassment Prevention Law</w:t>
      </w:r>
    </w:p>
    <w:p>
      <w:pPr>
        <w:spacing w:line="480" w:lineRule="auto" w:before="0" w:after="0"/>
        <w:jc w:val="center"/>
      </w:pPr>
      <w:r>
        <w:rPr>
          <w:rFonts w:ascii="Times New Roman" w:hAnsi="Times New Roman" w:eastAsia="Times New Roman"/>
          <w:b/>
          <w:sz w:val="24"/>
        </w:rPr>
        <w:t>Introduction</w:t>
      </w:r>
    </w:p>
    <w:p>
      <w:pPr>
        <w:spacing w:line="480" w:lineRule="auto" w:before="0" w:after="0"/>
        <w:jc w:val="left"/>
      </w:pPr>
      <w:r>
        <w:rPr>
          <w:rFonts w:ascii="Times New Roman" w:hAnsi="Times New Roman" w:eastAsia="Times New Roman"/>
          <w:b/>
          <w:sz w:val="24"/>
        </w:rPr>
        <w:t>Workplace harassment as a public-health and policy problem</w:t>
      </w:r>
    </w:p>
    <w:p>
      <w:pPr>
        <w:spacing w:line="480" w:lineRule="auto" w:before="0" w:after="0"/>
        <w:ind w:firstLine="720"/>
      </w:pPr>
      <w:r>
        <w:rPr>
          <w:rFonts w:ascii="Times New Roman" w:hAnsi="Times New Roman" w:eastAsia="Times New Roman"/>
          <w:sz w:val="24"/>
        </w:rPr>
        <w:t>Workplace harassment has been associated with elevated risk of psychiatric morbidity, voluntary turnover, and reduced labor productivity in industrialized economies (Hershcovis &amp; Barling, 2010; Salin, 2003). In Japan, the Ministry of Health, Labour and Welfare (MHLW) has documented past-three-year power-harassment victimization rates of 32.5% in FY2016, 31.4% in FY2020, and 19.3% in FY2023 (MHLW, 2017, 2021, 2024). The 13.2 percentage-point decline between FY2016 and FY2023 coincides with the staged enforcement of the 2020 Power Harassment Prevention Law, which mandated formal anti-harassment policies, employee-accessible reporting channels, and prohibited retaliation against complainants — first for large enterprises in June 2020, and subsequently extended to small-and-medium enterprises in April 2022. This temporal coincidence has been treated in the policy literature as a natural-experiment-like setting; it provides a substantive backdrop for the present pre-registered analysis, although the present study is observational and not a formal causal inference about the law itself.</w:t>
      </w:r>
    </w:p>
    <w:p>
      <w:pPr>
        <w:spacing w:line="480" w:lineRule="auto" w:before="0" w:after="0"/>
        <w:ind w:firstLine="720"/>
      </w:pPr>
      <w:r>
        <w:rPr>
          <w:rFonts w:ascii="Times New Roman" w:hAnsi="Times New Roman" w:eastAsia="Times New Roman"/>
          <w:sz w:val="24"/>
        </w:rPr>
        <w:t>A long-standing theoretical question in workplace-psychology research concerns the relative explanatory weight of person-level factors — individual personality dispositions associated with harassment perpetration or victimization — versus system-level factors that involve organizational structure, accountability mechanisms, and power asymmetries (Mikkelsen et al., 2020; Salin, 2021). The former framing treats harassment as primarily driven by individual disposition; the latter treats it as primarily driven by environmental affordance. Despite extensive research linking personality traits to bullying and harassment (Nielsen et al., 2017; Pilch &amp; Turska, 2015), the relative population-level magnitude of plausible person-level and system-level intervention contrasts has not been quantitatively compared in a counterfactually formal framework calibrated against prior meta-analytic effect sizes.</w:t>
      </w:r>
    </w:p>
    <w:p>
      <w:pPr>
        <w:spacing w:line="480" w:lineRule="auto" w:before="0" w:after="0"/>
        <w:jc w:val="left"/>
      </w:pPr>
      <w:r>
        <w:rPr>
          <w:rFonts w:ascii="Times New Roman" w:hAnsi="Times New Roman" w:eastAsia="Times New Roman"/>
          <w:b/>
          <w:sz w:val="24"/>
        </w:rPr>
        <w:t>HEXACO 7-typology and its prior connection to workplace harassment</w:t>
      </w:r>
    </w:p>
    <w:p>
      <w:pPr>
        <w:spacing w:line="480" w:lineRule="auto" w:before="0" w:after="0"/>
        <w:ind w:firstLine="720"/>
      </w:pPr>
      <w:r>
        <w:rPr>
          <w:rFonts w:ascii="Times New Roman" w:hAnsi="Times New Roman" w:eastAsia="Times New Roman"/>
          <w:sz w:val="24"/>
        </w:rPr>
        <w:t>The HEXACO model of personality (Ashton &amp; Lee, 2007) extends the classical Big Five framework with an additional dimension, Honesty-Humility (HH), which captures fairness, modesty, sincerity, and resistance to exploiting others. Within the HEXACO literature, low Honesty-Humility, low Agreeableness, and high Emotionality have repeatedly been associated with workplace bullying perpetration and victimization (Glasø et al., 2007; Lee et al., 2013; Linton &amp; Power, 2013; Nielsen et al., 2017). However, the magnitude of these associations is generally modest (uncorrected r typically in the range 0.10–0.30; Nielsen et al., 2017), and recent meta-analyses suggest considerable cross-cultural heterogeneity in workplace bullying acceptability and effect sizes (Power et al., 2013, comparing six continents; Nielsen et al., 2017, reporting attenuated Asia/Oceania effects of r = .16 versus European r = .33 for Neuroticism–bullying associations).</w:t>
      </w:r>
    </w:p>
    <w:p>
      <w:pPr>
        <w:spacing w:line="480" w:lineRule="auto" w:before="0" w:after="0"/>
        <w:ind w:firstLine="720"/>
      </w:pPr>
      <w:r>
        <w:rPr>
          <w:rFonts w:ascii="Times New Roman" w:hAnsi="Times New Roman" w:eastAsia="Times New Roman"/>
          <w:sz w:val="24"/>
        </w:rPr>
        <w:t xml:space="preserve">In a companion study, our research group identified seven robust HEXACO clusters in a Japanese sample of N = 13,668 (Tokiwa, 2026, </w:t>
      </w:r>
      <w:r>
        <w:rPr>
          <w:rFonts w:ascii="Times New Roman" w:hAnsi="Times New Roman" w:eastAsia="Times New Roman"/>
          <w:i/>
          <w:sz w:val="24"/>
        </w:rPr>
        <w:t>IEEE Access</w:t>
      </w:r>
      <w:r>
        <w:rPr>
          <w:rFonts w:ascii="Times New Roman" w:hAnsi="Times New Roman" w:eastAsia="Times New Roman"/>
          <w:sz w:val="24"/>
        </w:rPr>
        <w:t xml:space="preserve">; herein "the centroid study"). The seven typologies — labeled here as types 0 through 6 — span the joint distribution of HEXACO domains and provide a parsimonious taxonomy for categorizing individuals according to their personality profile. The present study leverages these </w:t>
      </w:r>
      <w:r>
        <w:rPr>
          <w:rFonts w:ascii="Times New Roman" w:hAnsi="Times New Roman" w:eastAsia="Times New Roman"/>
          <w:i/>
          <w:sz w:val="24"/>
        </w:rPr>
        <w:t>IEEE Access</w:t>
      </w:r>
      <w:r>
        <w:rPr>
          <w:rFonts w:ascii="Times New Roman" w:hAnsi="Times New Roman" w:eastAsia="Times New Roman"/>
          <w:sz w:val="24"/>
        </w:rPr>
        <w:t>–published centroids as fixed parameters for stratifying a smaller harassment-focused subsample (N = 354; Tokiwa, 2025, Research Square preprint).</w:t>
      </w:r>
    </w:p>
    <w:p>
      <w:pPr>
        <w:spacing w:line="480" w:lineRule="auto" w:before="0" w:after="0"/>
        <w:ind w:firstLine="720"/>
      </w:pPr>
      <w:r>
        <w:rPr>
          <w:rFonts w:ascii="Times New Roman" w:hAnsi="Times New Roman" w:eastAsia="Times New Roman"/>
          <w:b/>
          <w:sz w:val="24"/>
        </w:rPr>
        <w:t>A critical reframing.</w:t>
      </w:r>
      <w:r>
        <w:rPr>
          <w:rFonts w:ascii="Times New Roman" w:hAnsi="Times New Roman" w:eastAsia="Times New Roman"/>
          <w:sz w:val="24"/>
        </w:rPr>
        <w:t xml:space="preserve"> The role of HEXACO in this study is </w:t>
      </w:r>
      <w:r>
        <w:rPr>
          <w:rFonts w:ascii="Times New Roman" w:hAnsi="Times New Roman" w:eastAsia="Times New Roman"/>
          <w:i/>
          <w:sz w:val="24"/>
        </w:rPr>
        <w:t>not</w:t>
      </w:r>
      <w:r>
        <w:rPr>
          <w:rFonts w:ascii="Times New Roman" w:hAnsi="Times New Roman" w:eastAsia="Times New Roman"/>
          <w:sz w:val="24"/>
        </w:rPr>
        <w:t xml:space="preserve"> to identify who should be subjected to personality interventions. Rather, HEXACO 7-typology serves as a </w:t>
      </w:r>
      <w:r>
        <w:rPr>
          <w:rFonts w:ascii="Times New Roman" w:hAnsi="Times New Roman" w:eastAsia="Times New Roman"/>
          <w:i/>
          <w:sz w:val="24"/>
        </w:rPr>
        <w:t>stratification variable</w:t>
      </w:r>
      <w:r>
        <w:rPr>
          <w:rFonts w:ascii="Times New Roman" w:hAnsi="Times New Roman" w:eastAsia="Times New Roman"/>
          <w:sz w:val="24"/>
        </w:rPr>
        <w:t xml:space="preserve"> that identifies which subgroups are differentially exposed to workplace harassment. Whether this differential exposure reflects direct personality causation (low-HH individuals harass or are harassed at higher rates), selection (low-HH individuals self-select into harassment-prone industries), confounding (shared socioeconomic factors elevate both low-HH and harassment risk), or reverse causation (harassment exposure depresses HH scores via cynicism) cannot be distinguished from observational data alone. Our counterfactual analysis is designed to identify which of these mechanisms is </w:t>
      </w:r>
      <w:r>
        <w:rPr>
          <w:rFonts w:ascii="Times New Roman" w:hAnsi="Times New Roman" w:eastAsia="Times New Roman"/>
          <w:i/>
          <w:sz w:val="24"/>
        </w:rPr>
        <w:t>not</w:t>
      </w:r>
      <w:r>
        <w:rPr>
          <w:rFonts w:ascii="Times New Roman" w:hAnsi="Times New Roman" w:eastAsia="Times New Roman"/>
          <w:sz w:val="24"/>
        </w:rPr>
        <w:t xml:space="preserve"> the dominant one — namely, by testing whether shifting individuals' HEXACO scores reduces aggregate prevalence — but is not designed to adjudicate among the remaining alternatives.</w:t>
      </w:r>
    </w:p>
    <w:p>
      <w:pPr>
        <w:spacing w:line="480" w:lineRule="auto" w:before="0" w:after="0"/>
        <w:jc w:val="left"/>
      </w:pPr>
      <w:r>
        <w:rPr>
          <w:rFonts w:ascii="Times New Roman" w:hAnsi="Times New Roman" w:eastAsia="Times New Roman"/>
          <w:b/>
          <w:sz w:val="24"/>
        </w:rPr>
        <w:t>Microsimulation as a methodological bridge</w:t>
      </w:r>
    </w:p>
    <w:p>
      <w:pPr>
        <w:spacing w:line="480" w:lineRule="auto" w:before="0" w:after="0"/>
        <w:ind w:firstLine="720"/>
      </w:pPr>
      <w:r>
        <w:rPr>
          <w:rFonts w:ascii="Times New Roman" w:hAnsi="Times New Roman" w:eastAsia="Times New Roman"/>
          <w:sz w:val="24"/>
        </w:rPr>
        <w:t>Microsimulation methods, originating in demographic and economic policy analysis (Spielauer, 2011) and extended into epidemiology and public health (Rutter et al., 2011), allow researchers to project individual-level data into population-level prevalence estimates under counterfactual scenarios. The methodological strength of microsimulation lies in its ability to combine (a) detailed individual-level inputs, (b) population-level reweighting via official census or labor-force statistics, and (c) explicit counterfactual interventions with causal interpretation. In contrast to purely statistical adjustment or survey reweighting, microsimulation makes the implementation of "what-if" interventions explicit and falsifiable.</w:t>
      </w:r>
    </w:p>
    <w:p>
      <w:pPr>
        <w:spacing w:line="480" w:lineRule="auto" w:before="0" w:after="0"/>
        <w:ind w:firstLine="720"/>
      </w:pPr>
      <w:r>
        <w:rPr>
          <w:rFonts w:ascii="Times New Roman" w:hAnsi="Times New Roman" w:eastAsia="Times New Roman"/>
          <w:sz w:val="24"/>
        </w:rPr>
        <w:t xml:space="preserve">The present study adopts the framework of </w:t>
      </w:r>
      <w:r>
        <w:rPr>
          <w:rFonts w:ascii="Times New Roman" w:hAnsi="Times New Roman" w:eastAsia="Times New Roman"/>
          <w:i/>
          <w:sz w:val="24"/>
        </w:rPr>
        <w:t>target trial emulation</w:t>
      </w:r>
      <w:r>
        <w:rPr>
          <w:rFonts w:ascii="Times New Roman" w:hAnsi="Times New Roman" w:eastAsia="Times New Roman"/>
          <w:sz w:val="24"/>
        </w:rPr>
        <w:t xml:space="preserve"> (Hernán &amp; Robins, 2016, 2020) to formalize the counterfactual interventions of interest. Target trial emulation requires four identifying assumptions: (i) consistency between observed and counterfactual treatments, (ii) exchangeability conditional on measured covariates, (iii) positivity of treatment assignment, and (iv) absence of interference between units (SUTVA; Hudgens &amp; Halloran, 2008). We address each assumption explicitly in the Methods and Discussion.</w:t>
      </w:r>
    </w:p>
    <w:p>
      <w:pPr>
        <w:spacing w:line="480" w:lineRule="auto" w:before="0" w:after="0"/>
        <w:ind w:firstLine="720"/>
      </w:pPr>
      <w:r>
        <w:rPr>
          <w:rFonts w:ascii="Times New Roman" w:hAnsi="Times New Roman" w:eastAsia="Times New Roman"/>
          <w:sz w:val="24"/>
        </w:rPr>
        <w:t>Counterfactual contrasts are formulated using the Pearl (2009) do-operator. Specifically, we define three pre-registered interventions:</w:t>
      </w:r>
    </w:p>
    <w:p>
      <w:pPr>
        <w:pStyle w:val="ListBullet"/>
        <w:spacing w:line="480" w:lineRule="auto" w:before="0" w:after="0"/>
      </w:pPr>
      <w:r>
        <w:rPr>
          <w:rFonts w:ascii="Times New Roman" w:hAnsi="Times New Roman" w:eastAsia="Times New Roman"/>
          <w:sz w:val="24"/>
        </w:rPr>
        <w:t>Counterfactual A (personality intervention): do(HH ← HH + 0.3 σ_HH; A ← A + 0.3 σ_A; E ← E + 0.3 σ_E). The +0.3 SD calibration is derived from the upper bound of effect sizes reported in personality-training meta-analyses (Hudson &amp; Fraley, 2015; Roberts et al., 2017).</w:t>
      </w:r>
    </w:p>
    <w:p>
      <w:pPr>
        <w:pStyle w:val="ListBullet"/>
        <w:spacing w:line="480" w:lineRule="auto" w:before="0" w:after="0"/>
      </w:pPr>
      <w:r>
        <w:rPr>
          <w:rFonts w:ascii="Times New Roman" w:hAnsi="Times New Roman" w:eastAsia="Times New Roman"/>
          <w:sz w:val="24"/>
        </w:rPr>
        <w:t>Counterfactual B (targeted personality intervention on low-prevalence subgroup): do(HH := HH + 0.40 σ_HH) restricted to individuals whose baseline cluster is already in the pre-registered low-prevalence target set {0, 4, 6}; HEXACO scores of all other individuals are unchanged. After the targeted shift, all individuals are re-classified by nearest-centroid on the post-intervention HEXACO matrix and per-cell propensities are re-computed. This intervention represents a subgroup-targeted personality-amplification scenario rather than a forced reassignment of the full sample, and serves as a falsification benchmark for any person-level intervention focused on the lowest-prevalence typologies.</w:t>
      </w:r>
    </w:p>
    <w:p>
      <w:pPr>
        <w:pStyle w:val="ListBullet"/>
        <w:spacing w:line="480" w:lineRule="auto" w:before="0" w:after="0"/>
      </w:pPr>
      <w:r>
        <w:rPr>
          <w:rFonts w:ascii="Times New Roman" w:hAnsi="Times New Roman" w:eastAsia="Times New Roman"/>
          <w:sz w:val="24"/>
        </w:rPr>
        <w:t>Counterfactual C (structural reform): do(P_{c, x = power} ← 0.8 × P_{c, x = power}). Cell-level propensity is reduced by 20% uniformly across all cluster × gender cells, calibrated against three meta-analyses of organizational anti-harassment interventions (Escartín, 2016; Hodgins et al., 2014; Salin, 2021), as well as the empirical −13.2 percentage-point reduction observed in the MHLW survey series between FY2016 and FY2023, spanning the 2020 Power Harassment Prevention Law's staged enforcement.</w:t>
      </w:r>
    </w:p>
    <w:p>
      <w:pPr>
        <w:spacing w:line="480" w:lineRule="auto" w:before="0" w:after="0"/>
        <w:ind w:firstLine="720"/>
      </w:pPr>
      <w:r>
        <w:rPr>
          <w:rFonts w:ascii="Times New Roman" w:hAnsi="Times New Roman" w:eastAsia="Times New Roman"/>
          <w:sz w:val="24"/>
        </w:rPr>
        <w:t xml:space="preserve">The asymmetry between A/B and C — namely, that A and B intervene on personality while C intervenes on the propensity-environment pathway — operationalizes the question: </w:t>
      </w:r>
      <w:r>
        <w:rPr>
          <w:rFonts w:ascii="Times New Roman" w:hAnsi="Times New Roman" w:eastAsia="Times New Roman"/>
          <w:i/>
          <w:sz w:val="24"/>
        </w:rPr>
        <w:t>given comparable effect sizes drawn from prior literature on each intervention type, which produces a larger population-level prevalence reduction?</w:t>
      </w:r>
    </w:p>
    <w:p>
      <w:pPr>
        <w:spacing w:line="480" w:lineRule="auto" w:before="0" w:after="0"/>
        <w:jc w:val="left"/>
      </w:pPr>
      <w:r>
        <w:rPr>
          <w:rFonts w:ascii="Times New Roman" w:hAnsi="Times New Roman" w:eastAsia="Times New Roman"/>
          <w:b/>
          <w:sz w:val="24"/>
        </w:rPr>
        <w:t>Hypotheses</w:t>
      </w:r>
    </w:p>
    <w:p>
      <w:pPr>
        <w:spacing w:line="480" w:lineRule="auto" w:before="0" w:after="0"/>
        <w:ind w:firstLine="720"/>
      </w:pPr>
      <w:r>
        <w:rPr>
          <w:rFonts w:ascii="Times New Roman" w:hAnsi="Times New Roman" w:eastAsia="Times New Roman"/>
          <w:sz w:val="24"/>
        </w:rPr>
        <w:t>The pre-registration v2.0 (OSF DOI 10.17605/OSF.IO/3Y54U) specifies seven primary hypotheses:</w:t>
      </w:r>
    </w:p>
    <w:p>
      <w:pPr>
        <w:pStyle w:val="ListBullet"/>
        <w:spacing w:line="480" w:lineRule="auto" w:before="0" w:after="0"/>
      </w:pPr>
      <w:r>
        <w:rPr>
          <w:rFonts w:ascii="Times New Roman" w:hAnsi="Times New Roman" w:eastAsia="Times New Roman"/>
          <w:sz w:val="24"/>
        </w:rPr>
        <w:t>H1 (latent prevalence prediction): The 14-cell HEXACO 7-typology × gender model, when re-weighted using Statistics Bureau (Ministry of Internal Affairs and Communications) Labor Force Survey 2022 marginals, predicts national past-three-year power-harassment prevalence with mean absolute percentage error (MAPE) ≤ 30% relative to MHLW survey targets across FY2016, FY2020, and FY2023 (4-tier judgment hierarchy: Strict SUCCESS, Standard SUCCESS, PARTIAL SUCCESS, FAILURE).</w:t>
      </w:r>
    </w:p>
    <w:p>
      <w:pPr>
        <w:pStyle w:val="ListBullet"/>
        <w:spacing w:line="480" w:lineRule="auto" w:before="0" w:after="0"/>
      </w:pPr>
      <w:r>
        <w:rPr>
          <w:rFonts w:ascii="Times New Roman" w:hAnsi="Times New Roman" w:eastAsia="Times New Roman"/>
          <w:sz w:val="24"/>
        </w:rPr>
        <w:t>H2 (baseline ordinal hierarchy): The progression of model sophistication from B0 (uniform = MHLW grand mean) through B4 (extended with age and age × cluster interactions) shows monotonically improving MAPE_FY2016, tested via Bonferroni-Holm pairwise inequalities and Page's L (1963) trend test.</w:t>
      </w:r>
    </w:p>
    <w:p>
      <w:pPr>
        <w:pStyle w:val="ListBullet"/>
        <w:spacing w:line="480" w:lineRule="auto" w:before="0" w:after="0"/>
      </w:pPr>
      <w:r>
        <w:rPr>
          <w:rFonts w:ascii="Times New Roman" w:hAnsi="Times New Roman" w:eastAsia="Times New Roman"/>
          <w:sz w:val="24"/>
        </w:rPr>
        <w:t>H3 (centroid concordance): The IEEE Access–published centroids (Tokiwa, 2026) fitted in the N = 13,668 sample are reproduced within sampling error in the N = 354 subsample (Tokiwa, 2025).</w:t>
      </w:r>
    </w:p>
    <w:p>
      <w:pPr>
        <w:pStyle w:val="ListBullet"/>
        <w:spacing w:line="480" w:lineRule="auto" w:before="0" w:after="0"/>
      </w:pPr>
      <w:r>
        <w:rPr>
          <w:rFonts w:ascii="Times New Roman" w:hAnsi="Times New Roman" w:eastAsia="Times New Roman"/>
          <w:sz w:val="24"/>
        </w:rPr>
        <w:t>H4 (cell-stratified internal consistency): Per-cell propensity estimates p̂_c are stable across alternative bootstrap procedures within each cell.</w:t>
      </w:r>
    </w:p>
    <w:p>
      <w:pPr>
        <w:pStyle w:val="ListBullet"/>
        <w:spacing w:line="480" w:lineRule="auto" w:before="0" w:after="0"/>
      </w:pPr>
      <w:r>
        <w:rPr>
          <w:rFonts w:ascii="Times New Roman" w:hAnsi="Times New Roman" w:eastAsia="Times New Roman"/>
          <w:sz w:val="24"/>
        </w:rPr>
        <w:t>H5 (gender invariance): The HEXACO-harassment association is qualitatively similar across genders (verified via 14-cell vs 28-cell sensitivity).</w:t>
      </w:r>
    </w:p>
    <w:p>
      <w:pPr>
        <w:pStyle w:val="ListBullet"/>
        <w:spacing w:line="480" w:lineRule="auto" w:before="0" w:after="0"/>
      </w:pPr>
      <w:r>
        <w:rPr>
          <w:rFonts w:ascii="Times New Roman" w:hAnsi="Times New Roman" w:eastAsia="Times New Roman"/>
          <w:sz w:val="24"/>
        </w:rPr>
        <w:t>H6 (cross-domain triangulation): Power and gender harassment scales (Tou et al., 2017; Kobayashi &amp; Tanaka, 2010) yield concordant cluster-level rankings.</w:t>
      </w:r>
    </w:p>
    <w:p>
      <w:pPr>
        <w:pStyle w:val="ListBullet"/>
        <w:spacing w:line="480" w:lineRule="auto" w:before="0" w:after="0"/>
      </w:pPr>
      <w:r>
        <w:rPr>
          <w:rFonts w:ascii="Times New Roman" w:hAnsi="Times New Roman" w:eastAsia="Times New Roman"/>
          <w:sz w:val="24"/>
        </w:rPr>
        <w:t>H7 (counterfactual ordering): The pre-registered ordering Δ_BA = ΔP_B − ΔP_A and Δ_BC = ΔP_B − ΔP_C is tested via the Berger and Hsu (1996) intersection-union test (IUT) at one-sided α = .05; the configuration is classified as REVERSAL, CONFIRMED, PARTIAL, or AMBIGUOUS.</w:t>
      </w:r>
    </w:p>
    <w:p>
      <w:pPr>
        <w:spacing w:line="480" w:lineRule="auto" w:before="0" w:after="0"/>
        <w:jc w:val="left"/>
      </w:pPr>
      <w:r>
        <w:rPr>
          <w:rFonts w:ascii="Times New Roman" w:hAnsi="Times New Roman" w:eastAsia="Times New Roman"/>
          <w:b/>
          <w:sz w:val="24"/>
        </w:rPr>
        <w:t>Contribution and roadmap</w:t>
      </w:r>
    </w:p>
    <w:p>
      <w:pPr>
        <w:spacing w:line="480" w:lineRule="auto" w:before="0" w:after="0"/>
        <w:ind w:firstLine="720"/>
      </w:pPr>
      <w:r>
        <w:rPr>
          <w:rFonts w:ascii="Times New Roman" w:hAnsi="Times New Roman" w:eastAsia="Times New Roman"/>
          <w:sz w:val="24"/>
        </w:rPr>
        <w:t>This study makes four scientific contributions:</w:t>
      </w:r>
    </w:p>
    <w:p>
      <w:pPr>
        <w:spacing w:line="480" w:lineRule="auto" w:before="0" w:after="0"/>
        <w:ind w:firstLine="720"/>
      </w:pPr>
      <w:r>
        <w:rPr>
          <w:rFonts w:ascii="Times New Roman" w:hAnsi="Times New Roman" w:eastAsia="Times New Roman"/>
          <w:sz w:val="24"/>
        </w:rPr>
        <w:t xml:space="preserve">1. </w:t>
      </w:r>
      <w:r>
        <w:rPr>
          <w:rFonts w:ascii="Times New Roman" w:hAnsi="Times New Roman" w:eastAsia="Times New Roman"/>
          <w:b/>
          <w:sz w:val="24"/>
        </w:rPr>
        <w:t>Methodological</w:t>
      </w:r>
      <w:r>
        <w:rPr>
          <w:rFonts w:ascii="Times New Roman" w:hAnsi="Times New Roman" w:eastAsia="Times New Roman"/>
          <w:sz w:val="24"/>
        </w:rPr>
        <w:t xml:space="preserve">: It demonstrates an end-to-end pre-registered counterfactual microsimulation pipeline applicable to workplace-harassment research, with full reproducibility (HDF5 artifacts, fixed seed = 20260429, Docker container, MIT-licensed code; public supplementary archive at OSF DOI 10.17605/OSF.IO/3Y54U), open aggregate data (Stage 0–8 HDF5 artifacts, figures, and a canonical numerical record, freely downloadable from OSF), and IRB-restricted individual-level access (the N = 354 raw dataset is hosted in a Private OSF component with a documented access-request mechanism; methodology described in Tokiwa, 2025, Research Square preprint; centroids retrieved from the </w:t>
      </w:r>
      <w:r>
        <w:rPr>
          <w:rFonts w:ascii="Times New Roman" w:hAnsi="Times New Roman" w:eastAsia="Times New Roman"/>
          <w:i/>
          <w:sz w:val="24"/>
        </w:rPr>
        <w:t>IEEE Access</w:t>
      </w:r>
      <w:r>
        <w:rPr>
          <w:rFonts w:ascii="Times New Roman" w:hAnsi="Times New Roman" w:eastAsia="Times New Roman"/>
          <w:sz w:val="24"/>
        </w:rPr>
        <w:t xml:space="preserve"> clustering paper, Tokiwa, 2026). 2. </w:t>
      </w:r>
      <w:r>
        <w:rPr>
          <w:rFonts w:ascii="Times New Roman" w:hAnsi="Times New Roman" w:eastAsia="Times New Roman"/>
          <w:b/>
          <w:sz w:val="24"/>
        </w:rPr>
        <w:t>Empirical</w:t>
      </w:r>
      <w:r>
        <w:rPr>
          <w:rFonts w:ascii="Times New Roman" w:hAnsi="Times New Roman" w:eastAsia="Times New Roman"/>
          <w:sz w:val="24"/>
        </w:rPr>
        <w:t xml:space="preserve">: It provides a quantitative apples-to-apples comparison of person-level and system-level intervention contrasts on Japanese workplace-harassment prevalence, with each counterfactual calibrated to effect sizes drawn from prior meta-analyses. 3. </w:t>
      </w:r>
      <w:r>
        <w:rPr>
          <w:rFonts w:ascii="Times New Roman" w:hAnsi="Times New Roman" w:eastAsia="Times New Roman"/>
          <w:b/>
          <w:sz w:val="24"/>
        </w:rPr>
        <w:t>Theoretical</w:t>
      </w:r>
      <w:r>
        <w:rPr>
          <w:rFonts w:ascii="Times New Roman" w:hAnsi="Times New Roman" w:eastAsia="Times New Roman"/>
          <w:sz w:val="24"/>
        </w:rPr>
        <w:t xml:space="preserve">: It tests the implication of treating HEXACO 7-typology as an intervention target versus as a stratification lens, and reports that the data are consistent with the latter reading. This contributes to ongoing discussions in personality and occupational-health psychology about the conditions under which trait-based prediction translates into trait-based intervention. 4. </w:t>
      </w:r>
      <w:r>
        <w:rPr>
          <w:rFonts w:ascii="Times New Roman" w:hAnsi="Times New Roman" w:eastAsia="Times New Roman"/>
          <w:b/>
          <w:sz w:val="24"/>
        </w:rPr>
        <w:t>Substantive</w:t>
      </w:r>
      <w:r>
        <w:rPr>
          <w:rFonts w:ascii="Times New Roman" w:hAnsi="Times New Roman" w:eastAsia="Times New Roman"/>
          <w:sz w:val="24"/>
        </w:rPr>
        <w:t>: It documents a quantitative ordering — the absolute magnitude of the structural-intervention contrast is approximately five-fold larger than that of the personality-intervention contrast — under realistic prior calibrations of each, and traces the robustness of that ordering across nine pre-registered analytic axes and four cultural-attenuation factors.</w:t>
      </w:r>
    </w:p>
    <w:p>
      <w:pPr>
        <w:spacing w:line="480" w:lineRule="auto" w:before="0" w:after="0"/>
        <w:ind w:firstLine="720"/>
      </w:pPr>
      <w:r>
        <w:rPr>
          <w:rFonts w:ascii="Times New Roman" w:hAnsi="Times New Roman" w:eastAsia="Times New Roman"/>
          <w:sz w:val="24"/>
        </w:rPr>
        <w:t>The remainder of this manuscript is organized as follows. Section 2 details the data sources, sample, and pre-registered analytic procedures. Section 3 reports the 14-cell propensities, national prevalence aggregation, four-tier H1 classification, baseline comparison, sensitivity sweep, and counterfactual contrasts. Section 4 discusses methodological limitations (reduced-form framing, causal under-identification, heterogeneity neglect, static framing), sketches future agent-based extensions, and develops the research implications of the integrated findings. All code, data, and intermediate artifacts are publicly archived at OSF (DOI 10.17605/OSF.IO/3Y54U) and GitHub (https://github.com/etoki/paper).</w:t>
      </w:r>
    </w:p>
    <w:p>
      <w:r>
        <w:br w:type="page"/>
      </w:r>
    </w:p>
    <w:p>
      <w:pPr>
        <w:spacing w:line="480" w:lineRule="auto" w:before="0" w:after="0"/>
        <w:ind w:firstLine="720"/>
      </w:pPr>
      <w:r>
        <w:rPr>
          <w:rFonts w:ascii="Times New Roman" w:hAnsi="Times New Roman" w:eastAsia="Times New Roman"/>
          <w:sz w:val="24"/>
        </w:rPr>
        <w:t xml:space="preserve">All procedures were pre-registered at OSF prior to data analysis (DOI 10.17605/OSF.IO/3Y54U; v2.0 registered/locked 2026-04-30). Code, intermediate artifacts (HDF5), random seeds, and Docker containerization are publicly archived at &lt;https://github.com/etoki/paper&gt;. The analysis is fully reproducible via </w:t>
      </w:r>
      <w:r>
        <w:rPr>
          <w:rFonts w:ascii="Times New Roman" w:hAnsi="Times New Roman" w:eastAsia="Times New Roman"/>
          <w:sz w:val="24"/>
        </w:rPr>
        <w:t>make reproduce</w:t>
      </w:r>
      <w:r>
        <w:rPr>
          <w:rFonts w:ascii="Times New Roman" w:hAnsi="Times New Roman" w:eastAsia="Times New Roman"/>
          <w:sz w:val="24"/>
        </w:rPr>
        <w:t xml:space="preserve"> (~30 minutes on a single core). All stochastic operations use the locked seed 20260429.</w:t>
      </w:r>
    </w:p>
    <w:p>
      <w:pPr>
        <w:spacing w:line="480" w:lineRule="auto" w:before="0" w:after="0"/>
        <w:jc w:val="center"/>
      </w:pPr>
      <w:r>
        <w:rPr>
          <w:rFonts w:ascii="Times New Roman" w:hAnsi="Times New Roman" w:eastAsia="Times New Roman"/>
          <w:b/>
          <w:sz w:val="24"/>
        </w:rPr>
        <w:t>Data sources</w:t>
      </w:r>
    </w:p>
    <w:p>
      <w:pPr>
        <w:spacing w:line="480" w:lineRule="auto" w:before="0" w:after="0"/>
        <w:jc w:val="left"/>
      </w:pPr>
      <w:r>
        <w:rPr>
          <w:rFonts w:ascii="Times New Roman" w:hAnsi="Times New Roman" w:eastAsia="Times New Roman"/>
          <w:b/>
          <w:sz w:val="24"/>
        </w:rPr>
        <w:t>Individual-level harassment data (N = 354)</w:t>
      </w:r>
    </w:p>
    <w:p>
      <w:pPr>
        <w:spacing w:line="480" w:lineRule="auto" w:before="0" w:after="0"/>
        <w:ind w:firstLine="720"/>
      </w:pPr>
      <w:r>
        <w:rPr>
          <w:rFonts w:ascii="Times New Roman" w:hAnsi="Times New Roman" w:eastAsia="Times New Roman"/>
          <w:sz w:val="24"/>
        </w:rPr>
        <w:t>We use the Tokiwa harassment preprint dataset (Tokiwa, 2025, Research Square preprint, DOI 10.21203/rs.3.rs-7756124/v1; IRB-approved), comprising N = 354 Japanese workplace participants who completed the following self-report measures:</w:t>
      </w:r>
    </w:p>
    <w:p>
      <w:pPr>
        <w:pStyle w:val="ListBullet"/>
        <w:spacing w:line="480" w:lineRule="auto" w:before="0" w:after="0"/>
      </w:pPr>
      <w:r>
        <w:rPr>
          <w:rFonts w:ascii="Times New Roman" w:hAnsi="Times New Roman" w:eastAsia="Times New Roman"/>
          <w:sz w:val="24"/>
        </w:rPr>
        <w:t>HEXACO-60 (Wakabayashi, 2014; Japanese adaptation of Ashton &amp; Lee, 2009): 60-item Likert 1-5 scale yielding six domain scores (H, E, X, A, C, O).</w:t>
      </w:r>
    </w:p>
    <w:p>
      <w:pPr>
        <w:pStyle w:val="ListBullet"/>
        <w:spacing w:line="480" w:lineRule="auto" w:before="0" w:after="0"/>
      </w:pPr>
      <w:r>
        <w:rPr>
          <w:rFonts w:ascii="Times New Roman" w:hAnsi="Times New Roman" w:eastAsia="Times New Roman"/>
          <w:sz w:val="24"/>
        </w:rPr>
        <w:t>Dark Triad scales (Machiavellianism, Narcissism, Psychopathy): used in the common-method-variance diagnostic (Stage 5, below) but not in the primary analysis.</w:t>
      </w:r>
    </w:p>
    <w:p>
      <w:pPr>
        <w:pStyle w:val="ListBullet"/>
        <w:spacing w:line="480" w:lineRule="auto" w:before="0" w:after="0"/>
      </w:pPr>
      <w:r>
        <w:rPr>
          <w:rFonts w:ascii="Times New Roman" w:hAnsi="Times New Roman" w:eastAsia="Times New Roman"/>
          <w:sz w:val="24"/>
        </w:rPr>
        <w:t>Workplace Power Harassment Scale (Tou et al., 2017): continuous severity scale measuring past-three-year power-harassment victimization frequency in the participant's workplace.</w:t>
      </w:r>
    </w:p>
    <w:p>
      <w:pPr>
        <w:pStyle w:val="ListBullet"/>
        <w:spacing w:line="480" w:lineRule="auto" w:before="0" w:after="0"/>
      </w:pPr>
      <w:r>
        <w:rPr>
          <w:rFonts w:ascii="Times New Roman" w:hAnsi="Times New Roman" w:eastAsia="Times New Roman"/>
          <w:sz w:val="24"/>
        </w:rPr>
        <w:t>Gender Harassment Scale (Kobayashi &amp; Tanaka, 2010): continuous severity scale; used as triangulation outcome (H6).</w:t>
      </w:r>
    </w:p>
    <w:p>
      <w:pPr>
        <w:pStyle w:val="ListBullet"/>
        <w:spacing w:line="480" w:lineRule="auto" w:before="0" w:after="0"/>
      </w:pPr>
      <w:r>
        <w:rPr>
          <w:rFonts w:ascii="Times New Roman" w:hAnsi="Times New Roman" w:eastAsia="Times New Roman"/>
          <w:sz w:val="24"/>
        </w:rPr>
        <w:t>Demographics: binary self-reported gender (0 = female, 1 = male), age (continuous), prefecture-level region (categorical).</w:t>
      </w:r>
    </w:p>
    <w:p>
      <w:pPr>
        <w:spacing w:line="480" w:lineRule="auto" w:before="0" w:after="0"/>
        <w:jc w:val="left"/>
      </w:pPr>
      <w:r>
        <w:rPr>
          <w:rFonts w:ascii="Times New Roman" w:hAnsi="Times New Roman" w:eastAsia="Times New Roman"/>
          <w:b/>
          <w:sz w:val="24"/>
        </w:rPr>
        <w:t>Cluster centroids (N = 13,668; Tokiwa 2026 IEEE Access, M3-fixed)</w:t>
      </w:r>
    </w:p>
    <w:p>
      <w:pPr>
        <w:spacing w:line="480" w:lineRule="auto" w:before="0" w:after="0"/>
        <w:ind w:firstLine="720"/>
      </w:pPr>
      <w:r>
        <w:rPr>
          <w:rFonts w:ascii="Times New Roman" w:hAnsi="Times New Roman" w:eastAsia="Times New Roman"/>
          <w:sz w:val="24"/>
        </w:rPr>
        <w:t xml:space="preserve">Seven HEXACO cluster centroids were taken from the previously published Tokiwa (2026, </w:t>
      </w:r>
      <w:r>
        <w:rPr>
          <w:rFonts w:ascii="Times New Roman" w:hAnsi="Times New Roman" w:eastAsia="Times New Roman"/>
          <w:i/>
          <w:sz w:val="24"/>
        </w:rPr>
        <w:t>IEEE Access</w:t>
      </w:r>
      <w:r>
        <w:rPr>
          <w:rFonts w:ascii="Times New Roman" w:hAnsi="Times New Roman" w:eastAsia="Times New Roman"/>
          <w:sz w:val="24"/>
        </w:rPr>
        <w:t xml:space="preserve">; DOI 10.1109/ACCESS.2026.3651324) clustering of N = 13,668 Japanese respondents. Per pre-registration v2.0 Methods Clarification M3, these centroids are treated as </w:t>
      </w:r>
      <w:r>
        <w:rPr>
          <w:rFonts w:ascii="Times New Roman" w:hAnsi="Times New Roman" w:eastAsia="Times New Roman"/>
          <w:i/>
          <w:sz w:val="24"/>
        </w:rPr>
        <w:t>fixed parameters</w:t>
      </w:r>
      <w:r>
        <w:rPr>
          <w:rFonts w:ascii="Times New Roman" w:hAnsi="Times New Roman" w:eastAsia="Times New Roman"/>
          <w:sz w:val="24"/>
        </w:rPr>
        <w:t>; bootstrap confidence intervals are computed conditional on the centroids and do not propagate centroid-estimation uncertainty. This decision aligns with the inferential target of the present study (causal contrasts within a fixed taxonomy) rather than the joint estimation of the taxonomy itself.</w:t>
      </w:r>
    </w:p>
    <w:p>
      <w:pPr>
        <w:spacing w:line="480" w:lineRule="auto" w:before="0" w:after="0"/>
        <w:jc w:val="left"/>
      </w:pPr>
      <w:r>
        <w:rPr>
          <w:rFonts w:ascii="Times New Roman" w:hAnsi="Times New Roman" w:eastAsia="Times New Roman"/>
          <w:b/>
          <w:sz w:val="24"/>
        </w:rPr>
        <w:t>Population reweighting (Statistics Bureau Labor Force Survey 2022)</w:t>
      </w:r>
    </w:p>
    <w:p>
      <w:pPr>
        <w:spacing w:line="480" w:lineRule="auto" w:before="0" w:after="0"/>
        <w:ind w:firstLine="720"/>
      </w:pPr>
      <w:r>
        <w:rPr>
          <w:rFonts w:ascii="Times New Roman" w:hAnsi="Times New Roman" w:eastAsia="Times New Roman"/>
          <w:sz w:val="24"/>
        </w:rPr>
        <w:t xml:space="preserve">Marginal gender-by-age proportions for the Japanese working population were obtained from the Labor Force Survey Basic Tabulation 2022 Annual Average, published by the Statistics Bureau, Ministry of Internal Affairs and Communications (Statistics Bureau, 2023; PDF retrieved from e-Stat on 2026-04-30 by the investigator and archived at </w:t>
      </w:r>
      <w:r>
        <w:rPr>
          <w:rFonts w:ascii="Times New Roman" w:hAnsi="Times New Roman" w:eastAsia="Times New Roman"/>
          <w:sz w:val="24"/>
        </w:rPr>
        <w:t>simulation/data/</w:t>
      </w:r>
      <w:r>
        <w:rPr>
          <w:rFonts w:ascii="Times New Roman" w:hAnsi="Times New Roman" w:eastAsia="Times New Roman"/>
          <w:sz w:val="24"/>
        </w:rPr>
        <w:t>). We use Table 3 (employed persons by age group) restricted to the employed-persons category, yielding a total of 67.23 million persons with age × gender breakdown {15–64, 65+} × {male, female}. The resulting marginals (F = 0.4498, M = 0.5502) replace the v2.0 Stage 1 placeholder (F = 0.5, M = 0.5).</w:t>
      </w:r>
    </w:p>
    <w:p>
      <w:pPr>
        <w:spacing w:line="480" w:lineRule="auto" w:before="0" w:after="0"/>
        <w:jc w:val="left"/>
      </w:pPr>
      <w:r>
        <w:rPr>
          <w:rFonts w:ascii="Times New Roman" w:hAnsi="Times New Roman" w:eastAsia="Times New Roman"/>
          <w:b/>
          <w:sz w:val="24"/>
        </w:rPr>
        <w:t>MHLW power-harassment victimization targets</w:t>
      </w:r>
    </w:p>
    <w:p>
      <w:pPr>
        <w:spacing w:line="480" w:lineRule="auto" w:before="0" w:after="0"/>
        <w:ind w:firstLine="720"/>
      </w:pPr>
      <w:r>
        <w:rPr>
          <w:rFonts w:ascii="Times New Roman" w:hAnsi="Times New Roman" w:eastAsia="Times New Roman"/>
          <w:sz w:val="24"/>
        </w:rPr>
        <w:t>Past-three-year power-harassment victimization rates from three MHLW Workplace Harassment Surveys (MHLW, 2017, 2021, 2024) serve as external validation targets for H1:</w:t>
      </w:r>
    </w:p>
    <w:p>
      <w:pPr>
        <w:pStyle w:val="ListBullet"/>
        <w:spacing w:line="480" w:lineRule="auto" w:before="0" w:after="0"/>
      </w:pPr>
      <w:r>
        <w:rPr>
          <w:rFonts w:ascii="Times New Roman" w:hAnsi="Times New Roman" w:eastAsia="Times New Roman"/>
          <w:sz w:val="24"/>
        </w:rPr>
        <w:t>FY2016 (32.5%) — pre-law, primary target;</w:t>
      </w:r>
    </w:p>
    <w:p>
      <w:pPr>
        <w:pStyle w:val="ListBullet"/>
        <w:spacing w:line="480" w:lineRule="auto" w:before="0" w:after="0"/>
      </w:pPr>
      <w:r>
        <w:rPr>
          <w:rFonts w:ascii="Times New Roman" w:hAnsi="Times New Roman" w:eastAsia="Times New Roman"/>
          <w:sz w:val="24"/>
        </w:rPr>
        <w:t>FY2020 (31.4%) — transition period, secondary target;</w:t>
      </w:r>
    </w:p>
    <w:p>
      <w:pPr>
        <w:pStyle w:val="ListBullet"/>
        <w:spacing w:line="480" w:lineRule="auto" w:before="0" w:after="0"/>
      </w:pPr>
      <w:r>
        <w:rPr>
          <w:rFonts w:ascii="Times New Roman" w:hAnsi="Times New Roman" w:eastAsia="Times New Roman"/>
          <w:sz w:val="24"/>
        </w:rPr>
        <w:t>FY2023 (19.3%) — post-law, secondary target.</w:t>
      </w:r>
    </w:p>
    <w:p>
      <w:pPr>
        <w:spacing w:line="480" w:lineRule="auto" w:before="0" w:after="0"/>
        <w:jc w:val="center"/>
      </w:pPr>
      <w:r>
        <w:rPr>
          <w:rFonts w:ascii="Times New Roman" w:hAnsi="Times New Roman" w:eastAsia="Times New Roman"/>
          <w:b/>
          <w:sz w:val="24"/>
        </w:rPr>
        <w:t>Pre-registered analytic pipeline</w:t>
      </w:r>
    </w:p>
    <w:p>
      <w:pPr>
        <w:spacing w:line="480" w:lineRule="auto" w:before="0" w:after="0"/>
        <w:ind w:firstLine="720"/>
      </w:pPr>
      <w:r>
        <w:rPr>
          <w:rFonts w:ascii="Times New Roman" w:hAnsi="Times New Roman" w:eastAsia="Times New Roman"/>
          <w:sz w:val="24"/>
        </w:rPr>
        <w:t xml:space="preserve">The pipeline comprises nine stages (0 through 8), each producing a versioned HDF5 artifact under </w:t>
      </w:r>
      <w:r>
        <w:rPr>
          <w:rFonts w:ascii="Times New Roman" w:hAnsi="Times New Roman" w:eastAsia="Times New Roman"/>
          <w:sz w:val="24"/>
        </w:rPr>
        <w:t>output/supplementary/</w:t>
      </w:r>
      <w:r>
        <w:rPr>
          <w:rFonts w:ascii="Times New Roman" w:hAnsi="Times New Roman" w:eastAsia="Times New Roman"/>
          <w:sz w:val="24"/>
        </w:rPr>
        <w:t xml:space="preserve">. Stages 0–2 implement the H1 confirmatory chain; Stages 3–6 implement sensitivity analyses, baseline comparisons, common-method-variance diagnostics, and target trial documentation; Stages 7–8 implement the H7 counterfactual contrasts and transportability sensitivity. Random number streams across stages are isolated via additive seed offsets to ensure independence (see </w:t>
      </w:r>
      <w:r>
        <w:rPr>
          <w:rFonts w:ascii="Times New Roman" w:hAnsi="Times New Roman" w:eastAsia="Times New Roman"/>
          <w:sz w:val="24"/>
        </w:rPr>
        <w:t>code/utils_io.py:make_rng</w:t>
      </w:r>
      <w:r>
        <w:rPr>
          <w:rFonts w:ascii="Times New Roman" w:hAnsi="Times New Roman" w:eastAsia="Times New Roman"/>
          <w:sz w:val="24"/>
        </w:rPr>
        <w:t>).</w:t>
      </w:r>
    </w:p>
    <w:p>
      <w:pPr>
        <w:spacing w:line="480" w:lineRule="auto" w:before="0" w:after="0"/>
        <w:jc w:val="left"/>
      </w:pPr>
      <w:r>
        <w:rPr>
          <w:rFonts w:ascii="Times New Roman" w:hAnsi="Times New Roman" w:eastAsia="Times New Roman"/>
          <w:b/>
          <w:sz w:val="24"/>
        </w:rPr>
        <w:t>Stage 0: Type assignment, cell propensity, and 28-cell empirical Bayes</w:t>
      </w:r>
    </w:p>
    <w:p>
      <w:pPr>
        <w:spacing w:line="480" w:lineRule="auto" w:before="0" w:after="0"/>
        <w:ind w:firstLine="720"/>
      </w:pPr>
      <w:r>
        <w:rPr>
          <w:rFonts w:ascii="Times New Roman" w:hAnsi="Times New Roman" w:eastAsia="Times New Roman"/>
          <w:sz w:val="24"/>
        </w:rPr>
        <w:t>Each individual is assigned to the closest cluster (Euclidean nearest-centroid, primary; Methods Clarification M2 also computed soft-assignment with τ ∈ {0.5, 1.0, 2.0} × median nearest-neighbor distance for sensitivity). Outcomes are binarized at the participant-level mean + 0.5 SD (main; sensitivity at + 0.25 and + 1.0 SD).</w:t>
      </w:r>
    </w:p>
    <w:p>
      <w:pPr>
        <w:spacing w:line="480" w:lineRule="auto" w:before="0" w:after="0"/>
        <w:ind w:firstLine="720"/>
      </w:pPr>
      <w:r>
        <w:rPr>
          <w:rFonts w:ascii="Times New Roman" w:hAnsi="Times New Roman" w:eastAsia="Times New Roman"/>
          <w:sz w:val="24"/>
        </w:rPr>
        <w:t>Per-cell propensity p̂_c = X_c / N_c is computed for each of the 14 cells (7 clusters × 2 genders) for the main analysis, and 28 cells (× 2 roles, classified via the literature-based top 15% on the C + 0.5 × X composite) for the empirical Bayes sensitivity. Per-cell 95% confidence intervals follow the four-step priority cascade (Methods Clarification M4):</w:t>
      </w:r>
    </w:p>
    <w:p>
      <w:pPr>
        <w:spacing w:line="480" w:lineRule="auto" w:before="0" w:after="0"/>
        <w:ind w:firstLine="720"/>
      </w:pPr>
      <w:r>
        <w:rPr>
          <w:rFonts w:ascii="Times New Roman" w:hAnsi="Times New Roman" w:eastAsia="Times New Roman"/>
          <w:sz w:val="24"/>
        </w:rPr>
        <w:t xml:space="preserve">1. </w:t>
      </w:r>
      <w:r>
        <w:rPr>
          <w:rFonts w:ascii="Times New Roman" w:hAnsi="Times New Roman" w:eastAsia="Times New Roman"/>
          <w:b/>
          <w:sz w:val="24"/>
        </w:rPr>
        <w:t>Clopper-Pearson</w:t>
      </w:r>
      <w:r>
        <w:rPr>
          <w:rFonts w:ascii="Times New Roman" w:hAnsi="Times New Roman" w:eastAsia="Times New Roman"/>
          <w:sz w:val="24"/>
        </w:rPr>
        <w:t xml:space="preserve"> exact binomial interval for degenerate cells (X_c ∈ {0, N_c}); 2. </w:t>
      </w:r>
      <w:r>
        <w:rPr>
          <w:rFonts w:ascii="Times New Roman" w:hAnsi="Times New Roman" w:eastAsia="Times New Roman"/>
          <w:b/>
          <w:sz w:val="24"/>
        </w:rPr>
        <w:t>BCa</w:t>
      </w:r>
      <w:r>
        <w:rPr>
          <w:rFonts w:ascii="Times New Roman" w:hAnsi="Times New Roman" w:eastAsia="Times New Roman"/>
          <w:sz w:val="24"/>
        </w:rPr>
        <w:t xml:space="preserve"> (Bias-Corrected accelerated; Efron, 1987) with jackknife acceleration parameter â (Methods Clarification m4) when |a| ≤ 10; 3. </w:t>
      </w:r>
      <w:r>
        <w:rPr>
          <w:rFonts w:ascii="Times New Roman" w:hAnsi="Times New Roman" w:eastAsia="Times New Roman"/>
          <w:b/>
          <w:sz w:val="24"/>
        </w:rPr>
        <w:t>BC</w:t>
      </w:r>
      <w:r>
        <w:rPr>
          <w:rFonts w:ascii="Times New Roman" w:hAnsi="Times New Roman" w:eastAsia="Times New Roman"/>
          <w:sz w:val="24"/>
        </w:rPr>
        <w:t xml:space="preserve"> (bias-corrected only) when BCa fails or |a| &gt; 10; 4. </w:t>
      </w:r>
      <w:r>
        <w:rPr>
          <w:rFonts w:ascii="Times New Roman" w:hAnsi="Times New Roman" w:eastAsia="Times New Roman"/>
          <w:b/>
          <w:sz w:val="24"/>
        </w:rPr>
        <w:t>Percentile</w:t>
      </w:r>
      <w:r>
        <w:rPr>
          <w:rFonts w:ascii="Times New Roman" w:hAnsi="Times New Roman" w:eastAsia="Times New Roman"/>
          <w:sz w:val="24"/>
        </w:rPr>
        <w:t xml:space="preserve"> as a final fallback.</w:t>
      </w:r>
    </w:p>
    <w:p>
      <w:pPr>
        <w:spacing w:line="480" w:lineRule="auto" w:before="0" w:after="0"/>
        <w:ind w:firstLine="720"/>
      </w:pPr>
      <w:r>
        <w:rPr>
          <w:rFonts w:ascii="Times New Roman" w:hAnsi="Times New Roman" w:eastAsia="Times New Roman"/>
          <w:sz w:val="24"/>
        </w:rPr>
        <w:t>Empirical Bayes shrinkage on 28 cells uses the method-of-moments hyperprior (μ̂, σ̂², α̂, β̂) with three rejection triggers: (i) bootstrap-stabilized variance ratio σ̂² / [μ̂(1 − μ̂)] &lt; 0.05 (Methods Clarification m1); (ii) max(α̂, β̂) &gt; 100 (v2.0 master); (iii) (α̂ + β̂) / median(N_k) &gt; 5 (Methods Clarification m2). Per-iteration (α̂, β̂) re-estimation in bootstrap follows Carlin and Louis (2000; Methods Clarification M1).</w:t>
      </w:r>
    </w:p>
    <w:p>
      <w:pPr>
        <w:spacing w:line="480" w:lineRule="auto" w:before="0" w:after="0"/>
        <w:jc w:val="left"/>
      </w:pPr>
      <w:r>
        <w:rPr>
          <w:rFonts w:ascii="Times New Roman" w:hAnsi="Times New Roman" w:eastAsia="Times New Roman"/>
          <w:b/>
          <w:sz w:val="24"/>
        </w:rPr>
        <w:t>Stage 1: National prevalence aggregation</w:t>
      </w:r>
    </w:p>
    <w:p>
      <w:pPr>
        <w:spacing w:line="480" w:lineRule="auto" w:before="0" w:after="0"/>
        <w:ind w:firstLine="720"/>
      </w:pPr>
      <w:r>
        <w:rPr>
          <w:rFonts w:ascii="Times New Roman" w:hAnsi="Times New Roman" w:eastAsia="Times New Roman"/>
          <w:sz w:val="24"/>
        </w:rPr>
        <w:t xml:space="preserve">The national prevalence is computed as the weighted sum P̂_t = Σ_c (p̂_c × W_c) / Σ_c W_c, where W_c is the cluster × gender population weight. Cluster proportions remain at the Tokiwa (2026, </w:t>
      </w:r>
      <w:r>
        <w:rPr>
          <w:rFonts w:ascii="Times New Roman" w:hAnsi="Times New Roman" w:eastAsia="Times New Roman"/>
          <w:i/>
          <w:sz w:val="24"/>
        </w:rPr>
        <w:t>IEEE Access</w:t>
      </w:r>
      <w:r>
        <w:rPr>
          <w:rFonts w:ascii="Times New Roman" w:hAnsi="Times New Roman" w:eastAsia="Times New Roman"/>
          <w:sz w:val="24"/>
        </w:rPr>
        <w:t>) values (M3-fixed; m8 limitation: cluster membership is not in the MHLW data); only the gender marginal is updated to the 2022 working-population value.</w:t>
      </w:r>
    </w:p>
    <w:p>
      <w:pPr>
        <w:spacing w:line="480" w:lineRule="auto" w:before="0" w:after="0"/>
        <w:jc w:val="left"/>
      </w:pPr>
      <w:r>
        <w:rPr>
          <w:rFonts w:ascii="Times New Roman" w:hAnsi="Times New Roman" w:eastAsia="Times New Roman"/>
          <w:b/>
          <w:sz w:val="24"/>
        </w:rPr>
        <w:t>Stage 2: H1 four-tier classification</w:t>
      </w:r>
    </w:p>
    <w:p>
      <w:pPr>
        <w:spacing w:line="480" w:lineRule="auto" w:before="0" w:after="0"/>
        <w:ind w:firstLine="720"/>
      </w:pPr>
      <w:r>
        <w:rPr>
          <w:rFonts w:ascii="Times New Roman" w:hAnsi="Times New Roman" w:eastAsia="Times New Roman"/>
          <w:sz w:val="24"/>
        </w:rPr>
        <w:t>Per the v2.0 master Section 5.4, the four-tier H1 hierarchy is:</w:t>
      </w:r>
    </w:p>
    <w:p>
      <w:pPr>
        <w:pStyle w:val="ListBullet"/>
        <w:spacing w:line="480" w:lineRule="auto" w:before="0" w:after="0"/>
      </w:pPr>
      <w:r>
        <w:rPr>
          <w:rFonts w:ascii="Times New Roman" w:hAnsi="Times New Roman" w:eastAsia="Times New Roman"/>
          <w:sz w:val="24"/>
        </w:rPr>
        <w:t>Strict SUCCESS: point MAPE_FY2016 ≤ 30% AND CI upper bound ≤ 30%</w:t>
      </w:r>
    </w:p>
    <w:p>
      <w:pPr>
        <w:pStyle w:val="ListBullet"/>
        <w:spacing w:line="480" w:lineRule="auto" w:before="0" w:after="0"/>
      </w:pPr>
      <w:r>
        <w:rPr>
          <w:rFonts w:ascii="Times New Roman" w:hAnsi="Times New Roman" w:eastAsia="Times New Roman"/>
          <w:sz w:val="24"/>
        </w:rPr>
        <w:t>Standard SUCCESS: point MAPE ≤ 30% (CI upper bound &gt; 30% permitted)</w:t>
      </w:r>
    </w:p>
    <w:p>
      <w:pPr>
        <w:pStyle w:val="ListBullet"/>
        <w:spacing w:line="480" w:lineRule="auto" w:before="0" w:after="0"/>
      </w:pPr>
      <w:r>
        <w:rPr>
          <w:rFonts w:ascii="Times New Roman" w:hAnsi="Times New Roman" w:eastAsia="Times New Roman"/>
          <w:sz w:val="24"/>
        </w:rPr>
        <w:t>PARTIAL SUCCESS: 30% &lt; point MAPE ≤ 60%</w:t>
      </w:r>
    </w:p>
    <w:p>
      <w:pPr>
        <w:pStyle w:val="ListBullet"/>
        <w:spacing w:line="480" w:lineRule="auto" w:before="0" w:after="0"/>
      </w:pPr>
      <w:r>
        <w:rPr>
          <w:rFonts w:ascii="Times New Roman" w:hAnsi="Times New Roman" w:eastAsia="Times New Roman"/>
          <w:sz w:val="24"/>
        </w:rPr>
        <w:t>FAILURE: point MAPE &gt; 60%</w:t>
      </w:r>
    </w:p>
    <w:p>
      <w:pPr>
        <w:spacing w:line="480" w:lineRule="auto" w:before="0" w:after="0"/>
        <w:ind w:firstLine="720"/>
      </w:pPr>
      <w:r>
        <w:rPr>
          <w:rFonts w:ascii="Times New Roman" w:hAnsi="Times New Roman" w:eastAsia="Times New Roman"/>
          <w:sz w:val="24"/>
        </w:rPr>
        <w:t>Per Methods Clarification m3, the headline national MAPE bootstrap uses B = 10,000; per-cell bootstrap remains at B = 2,000.</w:t>
      </w:r>
    </w:p>
    <w:p>
      <w:pPr>
        <w:spacing w:line="480" w:lineRule="auto" w:before="0" w:after="0"/>
        <w:jc w:val="left"/>
      </w:pPr>
      <w:r>
        <w:rPr>
          <w:rFonts w:ascii="Times New Roman" w:hAnsi="Times New Roman" w:eastAsia="Times New Roman"/>
          <w:b/>
          <w:sz w:val="24"/>
        </w:rPr>
        <w:t>Stage 3: Sensitivity sweep</w:t>
      </w:r>
    </w:p>
    <w:p>
      <w:pPr>
        <w:spacing w:line="480" w:lineRule="auto" w:before="0" w:after="0"/>
        <w:ind w:firstLine="720"/>
      </w:pPr>
      <w:r>
        <w:rPr>
          <w:rFonts w:ascii="Times New Roman" w:hAnsi="Times New Roman" w:eastAsia="Times New Roman"/>
          <w:sz w:val="24"/>
        </w:rPr>
        <w:t>A one-at-a-time (OAT) sensitivity sweep around the locked main configuration is computed over four parameter families with B = 2,000 per row:</w:t>
      </w:r>
    </w:p>
    <w:p>
      <w:pPr>
        <w:spacing w:line="480" w:lineRule="auto" w:before="0" w:after="0"/>
        <w:ind w:firstLine="720"/>
      </w:pPr>
      <w:r>
        <w:rPr>
          <w:rFonts w:ascii="Times New Roman" w:hAnsi="Times New Roman" w:eastAsia="Times New Roman"/>
          <w:sz w:val="24"/>
        </w:rPr>
        <w:t>1. Binarization threshold ∈ {mean + 0.25 SD, mean + 0.5 SD (main), mean + 1.0 SD}; 2. Soft-assignment τ factor ∈ {0.5, 1.0, 2.0} × median NN distance (Methods Clarification M2); 3. Empirical Bayes shrinkage scale ∈ {0.5×, 1.0× (main), 2.0×} prior pseudocount; 4. Cluster-proportion mass shift ∈ {−0.10, 0.0 (main), +0.10} (proxy for V/f1/f2 uncertainty per v2.0 Section 6.4; full Cartesian sweep deferred to follow-up work due to combinatorial cost).</w:t>
      </w:r>
    </w:p>
    <w:p>
      <w:pPr>
        <w:spacing w:line="480" w:lineRule="auto" w:before="0" w:after="0"/>
        <w:jc w:val="left"/>
      </w:pPr>
      <w:r>
        <w:rPr>
          <w:rFonts w:ascii="Times New Roman" w:hAnsi="Times New Roman" w:eastAsia="Times New Roman"/>
          <w:b/>
          <w:sz w:val="24"/>
        </w:rPr>
        <w:t>Stage 4: Baseline comparison and H2 ordinal trend</w:t>
      </w:r>
    </w:p>
    <w:p>
      <w:pPr>
        <w:spacing w:line="480" w:lineRule="auto" w:before="0" w:after="0"/>
        <w:ind w:firstLine="720"/>
      </w:pPr>
      <w:r>
        <w:rPr>
          <w:rFonts w:ascii="Times New Roman" w:hAnsi="Times New Roman" w:eastAsia="Times New Roman"/>
          <w:sz w:val="24"/>
        </w:rPr>
        <w:t>Five baselines (B0–B4) of increasing sophistication are compared via cell-stratified bootstrap MAPE_FY2016:</w:t>
      </w:r>
    </w:p>
    <w:p>
      <w:pPr>
        <w:pStyle w:val="ListBullet"/>
        <w:spacing w:line="480" w:lineRule="auto" w:before="0" w:after="0"/>
      </w:pPr>
      <w:r>
        <w:rPr>
          <w:rFonts w:ascii="Times New Roman" w:hAnsi="Times New Roman" w:eastAsia="Times New Roman"/>
          <w:sz w:val="24"/>
        </w:rPr>
        <w:t>B0: predicts MHLW grand mean (uniform);</w:t>
      </w:r>
    </w:p>
    <w:p>
      <w:pPr>
        <w:pStyle w:val="ListBullet"/>
        <w:spacing w:line="480" w:lineRule="auto" w:before="0" w:after="0"/>
      </w:pPr>
      <w:r>
        <w:rPr>
          <w:rFonts w:ascii="Times New Roman" w:hAnsi="Times New Roman" w:eastAsia="Times New Roman"/>
          <w:sz w:val="24"/>
        </w:rPr>
        <w:t>B1: gender-only logistic regression;</w:t>
      </w:r>
    </w:p>
    <w:p>
      <w:pPr>
        <w:pStyle w:val="ListBullet"/>
        <w:spacing w:line="480" w:lineRule="auto" w:before="0" w:after="0"/>
      </w:pPr>
      <w:r>
        <w:rPr>
          <w:rFonts w:ascii="Times New Roman" w:hAnsi="Times New Roman" w:eastAsia="Times New Roman"/>
          <w:sz w:val="24"/>
        </w:rPr>
        <w:t>B2: HEXACO 6-domain logistic regression;</w:t>
      </w:r>
    </w:p>
    <w:p>
      <w:pPr>
        <w:pStyle w:val="ListBullet"/>
        <w:spacing w:line="480" w:lineRule="auto" w:before="0" w:after="0"/>
      </w:pPr>
      <w:r>
        <w:rPr>
          <w:rFonts w:ascii="Times New Roman" w:hAnsi="Times New Roman" w:eastAsia="Times New Roman"/>
          <w:sz w:val="24"/>
        </w:rPr>
        <w:t>B3: 14-cell conditional propensity (the main pipeline);</w:t>
      </w:r>
    </w:p>
    <w:p>
      <w:pPr>
        <w:pStyle w:val="ListBullet"/>
        <w:spacing w:line="480" w:lineRule="auto" w:before="0" w:after="0"/>
      </w:pPr>
      <w:r>
        <w:rPr>
          <w:rFonts w:ascii="Times New Roman" w:hAnsi="Times New Roman" w:eastAsia="Times New Roman"/>
          <w:sz w:val="24"/>
        </w:rPr>
        <w:t>B4: extended with age and age × cluster interactions (industry breakdown deferred to follow-up; m8 limitation).</w:t>
      </w:r>
    </w:p>
    <w:p>
      <w:pPr>
        <w:spacing w:line="480" w:lineRule="auto" w:before="0" w:after="0"/>
        <w:ind w:firstLine="720"/>
      </w:pPr>
      <w:r>
        <w:rPr>
          <w:rFonts w:ascii="Times New Roman" w:hAnsi="Times New Roman" w:eastAsia="Times New Roman"/>
          <w:sz w:val="24"/>
        </w:rPr>
        <w:t>H2 is tested via the Bonferroni-Holm-corrected family of pairwise inequalities (B0–B1, B1–B2, B2–B3, B3–B4) with a one-sided α = 0.05; Page's L (1963) ordinal trend test is reported as auxiliary (Methods Clarification n4).</w:t>
      </w:r>
    </w:p>
    <w:p>
      <w:pPr>
        <w:spacing w:line="480" w:lineRule="auto" w:before="0" w:after="0"/>
        <w:jc w:val="left"/>
      </w:pPr>
      <w:r>
        <w:rPr>
          <w:rFonts w:ascii="Times New Roman" w:hAnsi="Times New Roman" w:eastAsia="Times New Roman"/>
          <w:b/>
          <w:sz w:val="24"/>
        </w:rPr>
        <w:t>Stage 5: Common-method-variance diagnostic</w:t>
      </w:r>
    </w:p>
    <w:p>
      <w:pPr>
        <w:spacing w:line="480" w:lineRule="auto" w:before="0" w:after="0"/>
        <w:ind w:firstLine="720"/>
      </w:pPr>
      <w:r>
        <w:rPr>
          <w:rFonts w:ascii="Times New Roman" w:hAnsi="Times New Roman" w:eastAsia="Times New Roman"/>
          <w:sz w:val="24"/>
        </w:rPr>
        <w:t>CMV is assessed via Harman's single-factor test (Podsakoff et al., 2003) on 11 standardized variables (6 HEXACO domains + 3 Dark Triad + 2 harassment continuous scales) using PCA on standardized inputs after listwise deletion. The 50% first-factor variance threshold (Methods Clarifications m8) demarcates "limited concern" from "concern present." The Lindell and Whitney (2001) marker-variable correction uses HEXACO Openness as the theoretical marker, given its weak theoretical link to harassment outcomes relative to HH/A/E.</w:t>
      </w:r>
    </w:p>
    <w:p>
      <w:pPr>
        <w:spacing w:line="480" w:lineRule="auto" w:before="0" w:after="0"/>
        <w:jc w:val="left"/>
      </w:pPr>
      <w:r>
        <w:rPr>
          <w:rFonts w:ascii="Times New Roman" w:hAnsi="Times New Roman" w:eastAsia="Times New Roman"/>
          <w:b/>
          <w:sz w:val="24"/>
        </w:rPr>
        <w:t>Stage 6: Target trial PICO documentation</w:t>
      </w:r>
    </w:p>
    <w:p>
      <w:pPr>
        <w:spacing w:line="480" w:lineRule="auto" w:before="0" w:after="0"/>
        <w:ind w:firstLine="720"/>
      </w:pPr>
      <w:r>
        <w:rPr>
          <w:rFonts w:ascii="Times New Roman" w:hAnsi="Times New Roman" w:eastAsia="Times New Roman"/>
          <w:sz w:val="24"/>
        </w:rPr>
        <w:t>Stage 6 produces a metadata-only artifact documenting the target trial (Hernán &amp; Robins, 2016, 2020) PICO and four identifying assumptions: consistency, exchangeability, positivity, and SUTVA (strengthened with Hudgens &amp; Halloran, 2008 peer-effect framework per Methods Clarification m6).</w:t>
      </w:r>
    </w:p>
    <w:p>
      <w:pPr>
        <w:spacing w:line="480" w:lineRule="auto" w:before="0" w:after="0"/>
        <w:jc w:val="left"/>
      </w:pPr>
      <w:r>
        <w:rPr>
          <w:rFonts w:ascii="Times New Roman" w:hAnsi="Times New Roman" w:eastAsia="Times New Roman"/>
          <w:b/>
          <w:sz w:val="24"/>
        </w:rPr>
        <w:t>Stage 7: Counterfactual ΔP_A, ΔP_B, ΔP_C and H7 IUT</w:t>
      </w:r>
    </w:p>
    <w:p>
      <w:pPr>
        <w:spacing w:line="480" w:lineRule="auto" w:before="0" w:after="0"/>
        <w:ind w:firstLine="720"/>
      </w:pPr>
      <w:r>
        <w:rPr>
          <w:rFonts w:ascii="Times New Roman" w:hAnsi="Times New Roman" w:eastAsia="Times New Roman"/>
          <w:sz w:val="24"/>
        </w:rPr>
        <w:t>Counterfactual A applies a +0.3 SD shift to HEXACO H, A, and E for every individual, recomputes nearest-centroid cluster membership, recomputes per-cell propensity, re-aggregates via Stage 1 weights, and produces ΔP_A as the per-bootstrap difference between counterfactual and baseline national prevalence. Per Methods Clarification m5, positivity is quantitatively diagnosed via the cell-level ratio ρ_{c, x = A} = (counterfactual cell N) / (observed cell N); cells with ρ &lt; 0.10 are flagged, and intervention is downgraded from confirmatory to exploratory if flagged_weight ≥ 20%.</w:t>
      </w:r>
    </w:p>
    <w:p>
      <w:pPr>
        <w:spacing w:line="480" w:lineRule="auto" w:before="0" w:after="0"/>
        <w:ind w:firstLine="720"/>
      </w:pPr>
      <w:r>
        <w:rPr>
          <w:rFonts w:ascii="Times New Roman" w:hAnsi="Times New Roman" w:eastAsia="Times New Roman"/>
          <w:sz w:val="24"/>
        </w:rPr>
        <w:t>Counterfactual B applies a +0.40 SD shift in Honesty-Humility (</w:t>
      </w:r>
      <w:r>
        <w:rPr>
          <w:rFonts w:ascii="Times New Roman" w:hAnsi="Times New Roman" w:eastAsia="Times New Roman"/>
          <w:sz w:val="24"/>
        </w:rPr>
        <w:t>code/stage7_counterfactual.py:DELTA_B_MAIN_SD</w:t>
      </w:r>
      <w:r>
        <w:rPr>
          <w:rFonts w:ascii="Times New Roman" w:hAnsi="Times New Roman" w:eastAsia="Times New Roman"/>
          <w:sz w:val="24"/>
        </w:rPr>
        <w:t xml:space="preserve">) </w:t>
      </w:r>
      <w:r>
        <w:rPr>
          <w:rFonts w:ascii="Times New Roman" w:hAnsi="Times New Roman" w:eastAsia="Times New Roman"/>
          <w:b/>
          <w:sz w:val="24"/>
        </w:rPr>
        <w:t>only to individuals whose baseline nearest-centroid cluster is already in the pre-registered low-prevalence target set {0, 4, 6}</w:t>
      </w:r>
      <w:r>
        <w:rPr>
          <w:rFonts w:ascii="Times New Roman" w:hAnsi="Times New Roman" w:eastAsia="Times New Roman"/>
          <w:sz w:val="24"/>
        </w:rPr>
        <w:t>, leaving all other individuals' HEXACO scores unchanged. Following the targeted shift, all individuals are re-classified by nearest-centroid on the post-intervention HEXACO matrix, per-cell propensities are re-computed from the realized binary outcomes within the new cell assignments, and ΔP_B is reported per-bootstrap as the difference between counterfactual and baseline national prevalence. This operationalization matches pre-registration v2.0 Section 5.7 ("HH := HH + δ_B × SD(HH) for individuals in Cluster ∈ {0, 4, 6}") and Methods Clarifications Log n3 (Pearl 2009 do-operator notation form, which formalizes the targeted indicator "if i ∈ Cluster {0, 4, 6}; HH_i otherwise"). Positivity is computed via ρ_{c, B} = (count of individuals reassigned into target Cluster c after the shift) / (count of individuals in target Cluster c at baseline) and is downgraded by the same m5 rule as Counterfactual A.</w:t>
      </w:r>
    </w:p>
    <w:p>
      <w:pPr>
        <w:spacing w:line="480" w:lineRule="auto" w:before="0" w:after="0"/>
        <w:ind w:firstLine="720"/>
      </w:pPr>
      <w:r>
        <w:rPr>
          <w:rFonts w:ascii="Times New Roman" w:hAnsi="Times New Roman" w:eastAsia="Times New Roman"/>
          <w:sz w:val="24"/>
        </w:rPr>
        <w:t>Counterfactual C multiplies cell-level propensity by 0.80 uniformly across all cells while leaving HEXACO scores unchanged. The 20% reduction is calibrated against three meta-analyses (Escartín, 2016; Hodgins et al., 2014; Salin, 2021) and the MHLW FY2016–FY2023 natural experiment (32.5% → 19.3%; −13.2pp ≈ −40.6% relative). Positivity for C is trivially preserved (ρ ≡ 1) per pre-registration v2.0 Section 5.7.</w:t>
      </w:r>
    </w:p>
    <w:p>
      <w:pPr>
        <w:spacing w:line="480" w:lineRule="auto" w:before="0" w:after="0"/>
        <w:ind w:firstLine="720"/>
      </w:pPr>
      <w:r>
        <w:rPr>
          <w:rFonts w:ascii="Times New Roman" w:hAnsi="Times New Roman" w:eastAsia="Times New Roman"/>
          <w:sz w:val="24"/>
        </w:rPr>
        <w:t xml:space="preserve">The H7 intersection-union test (Berger &amp; Hsu, 1996; Methods Clarification m7) computes one-sided 95% lower bounds L_BA and L_BC for ΔP_B − ΔP_A and ΔP_B − ΔP_C, respectively, with bootstrap-resampled cell data (B = 2,000). The configuration is classified per the m7 priority cascade implemented in </w:t>
      </w:r>
      <w:r>
        <w:rPr>
          <w:rFonts w:ascii="Times New Roman" w:hAnsi="Times New Roman" w:eastAsia="Times New Roman"/>
          <w:sz w:val="24"/>
        </w:rPr>
        <w:t>code/stage7_counterfactual.py:h7_iut</w:t>
      </w:r>
      <w:r>
        <w:rPr>
          <w:rFonts w:ascii="Times New Roman" w:hAnsi="Times New Roman" w:eastAsia="Times New Roman"/>
          <w:sz w:val="24"/>
        </w:rPr>
        <w:t>:</w:t>
      </w:r>
    </w:p>
    <w:p>
      <w:pPr>
        <w:pStyle w:val="ListBullet"/>
        <w:spacing w:line="480" w:lineRule="auto" w:before="0" w:after="0"/>
      </w:pPr>
      <w:r>
        <w:rPr>
          <w:rFonts w:ascii="Times New Roman" w:hAnsi="Times New Roman" w:eastAsia="Times New Roman"/>
          <w:sz w:val="24"/>
        </w:rPr>
        <w:t>REVERSAL (priority 1): point ΔP_B &lt; point ΔP_A OR point ΔP_B &lt; point ΔP_C (B is dominated by A or C in point estimate, indicating that the pre-registered hypothesis ordering ΔP_B &gt; {ΔP_A, ΔP_C} is reversed);</w:t>
      </w:r>
    </w:p>
    <w:p>
      <w:pPr>
        <w:pStyle w:val="ListBullet"/>
        <w:spacing w:line="480" w:lineRule="auto" w:before="0" w:after="0"/>
      </w:pPr>
      <w:r>
        <w:rPr>
          <w:rFonts w:ascii="Times New Roman" w:hAnsi="Times New Roman" w:eastAsia="Times New Roman"/>
          <w:sz w:val="24"/>
        </w:rPr>
        <w:t>CONFIRMED: L_BA &gt; 0 AND L_BC &gt; 0 (B dominates both A and C in CI lower bound);</w:t>
      </w:r>
    </w:p>
    <w:p>
      <w:pPr>
        <w:pStyle w:val="ListBullet"/>
        <w:spacing w:line="480" w:lineRule="auto" w:before="0" w:after="0"/>
      </w:pPr>
      <w:r>
        <w:rPr>
          <w:rFonts w:ascii="Times New Roman" w:hAnsi="Times New Roman" w:eastAsia="Times New Roman"/>
          <w:sz w:val="24"/>
        </w:rPr>
        <w:t>PARTIAL: exactly one of L_BA, L_BC &gt; 0;</w:t>
      </w:r>
    </w:p>
    <w:p>
      <w:pPr>
        <w:pStyle w:val="ListBullet"/>
        <w:spacing w:line="480" w:lineRule="auto" w:before="0" w:after="0"/>
      </w:pPr>
      <w:r>
        <w:rPr>
          <w:rFonts w:ascii="Times New Roman" w:hAnsi="Times New Roman" w:eastAsia="Times New Roman"/>
          <w:sz w:val="24"/>
        </w:rPr>
        <w:t>AMBIGUOUS: neither lower bound &gt; 0 (CIs allow zero or reversal).</w:t>
      </w:r>
    </w:p>
    <w:p>
      <w:pPr>
        <w:spacing w:line="480" w:lineRule="auto" w:before="0" w:after="0"/>
        <w:jc w:val="left"/>
      </w:pPr>
      <w:r>
        <w:rPr>
          <w:rFonts w:ascii="Times New Roman" w:hAnsi="Times New Roman" w:eastAsia="Times New Roman"/>
          <w:b/>
          <w:sz w:val="24"/>
        </w:rPr>
        <w:t>Stage 8: Transportability factor sweep</w:t>
      </w:r>
    </w:p>
    <w:p>
      <w:pPr>
        <w:spacing w:line="480" w:lineRule="auto" w:before="0" w:after="0"/>
        <w:ind w:firstLine="720"/>
      </w:pPr>
      <w:r>
        <w:rPr>
          <w:rFonts w:ascii="Times New Roman" w:hAnsi="Times New Roman" w:eastAsia="Times New Roman"/>
          <w:sz w:val="24"/>
        </w:rPr>
        <w:t>Per v2.0 Section 5.8 (cultural attenuation), the bootstrap distribution of each ΔP_x is multiplied by a transportability factor F ∈ {0.3, 0.5, 0.7, 1.0}, anchored as:</w:t>
      </w:r>
    </w:p>
    <w:p>
      <w:pPr>
        <w:pStyle w:val="ListBullet"/>
        <w:spacing w:line="480" w:lineRule="auto" w:before="0" w:after="0"/>
      </w:pPr>
      <w:r>
        <w:rPr>
          <w:rFonts w:ascii="Times New Roman" w:hAnsi="Times New Roman" w:eastAsia="Times New Roman"/>
          <w:sz w:val="24"/>
        </w:rPr>
        <w:t>F = 0.3: Conservative cross-cultural attenuation (worst-case anchor; supported by Power et al. 2013 cross-continent variability findings);</w:t>
      </w:r>
    </w:p>
    <w:p>
      <w:pPr>
        <w:pStyle w:val="ListBullet"/>
        <w:spacing w:line="480" w:lineRule="auto" w:before="0" w:after="0"/>
      </w:pPr>
      <w:r>
        <w:rPr>
          <w:rFonts w:ascii="Times New Roman" w:hAnsi="Times New Roman" w:eastAsia="Times New Roman"/>
          <w:sz w:val="24"/>
        </w:rPr>
        <w:t>F = 0.5: Nielsen et al. (2017) Asia/Oceania attenuation expected (r = .16 vs European r = .33);</w:t>
      </w:r>
    </w:p>
    <w:p>
      <w:pPr>
        <w:pStyle w:val="ListBullet"/>
        <w:spacing w:line="480" w:lineRule="auto" w:before="0" w:after="0"/>
      </w:pPr>
      <w:r>
        <w:rPr>
          <w:rFonts w:ascii="Times New Roman" w:hAnsi="Times New Roman" w:eastAsia="Times New Roman"/>
          <w:sz w:val="24"/>
        </w:rPr>
        <w:t>F = 0.7: Mild attenuation (intermediate);</w:t>
      </w:r>
    </w:p>
    <w:p>
      <w:pPr>
        <w:pStyle w:val="ListBullet"/>
        <w:spacing w:line="480" w:lineRule="auto" w:before="0" w:after="0"/>
      </w:pPr>
      <w:r>
        <w:rPr>
          <w:rFonts w:ascii="Times New Roman" w:hAnsi="Times New Roman" w:eastAsia="Times New Roman"/>
          <w:sz w:val="24"/>
        </w:rPr>
        <w:t>F = 1.0: Reference (no attenuation).</w:t>
      </w:r>
    </w:p>
    <w:p>
      <w:pPr>
        <w:spacing w:line="480" w:lineRule="auto" w:before="0" w:after="0"/>
        <w:ind w:firstLine="720"/>
      </w:pPr>
      <w:r>
        <w:rPr>
          <w:rFonts w:ascii="Times New Roman" w:hAnsi="Times New Roman" w:eastAsia="Times New Roman"/>
          <w:sz w:val="24"/>
        </w:rPr>
        <w:t>H7 is re-classified per attenuated factor to verify robustness.</w:t>
      </w:r>
    </w:p>
    <w:p>
      <w:pPr>
        <w:spacing w:line="480" w:lineRule="auto" w:before="0" w:after="0"/>
        <w:jc w:val="center"/>
      </w:pPr>
      <w:r>
        <w:rPr>
          <w:rFonts w:ascii="Times New Roman" w:hAnsi="Times New Roman" w:eastAsia="Times New Roman"/>
          <w:b/>
          <w:sz w:val="24"/>
        </w:rPr>
        <w:t>Reproducibility</w:t>
      </w:r>
    </w:p>
    <w:p>
      <w:pPr>
        <w:spacing w:line="480" w:lineRule="auto" w:before="0" w:after="0"/>
        <w:ind w:firstLine="720"/>
      </w:pPr>
      <w:r>
        <w:rPr>
          <w:rFonts w:ascii="Times New Roman" w:hAnsi="Times New Roman" w:eastAsia="Times New Roman"/>
          <w:sz w:val="24"/>
        </w:rPr>
        <w:t xml:space="preserve">All stochastic operations use seed 20260429 (Methods Clarification M3). HDF5 artifacts at each stage include the seed, version, OSF DOI, and stage-specific provenance metadata as root-level attributes, enabling full audit-trail reconstruction. Verification hashes for all artifacts are computed via </w:t>
      </w:r>
      <w:r>
        <w:rPr>
          <w:rFonts w:ascii="Times New Roman" w:hAnsi="Times New Roman" w:eastAsia="Times New Roman"/>
          <w:sz w:val="24"/>
        </w:rPr>
        <w:t>simulation/code/verify_reproduction.py</w:t>
      </w:r>
      <w:r>
        <w:rPr>
          <w:rFonts w:ascii="Times New Roman" w:hAnsi="Times New Roman" w:eastAsia="Times New Roman"/>
          <w:sz w:val="24"/>
        </w:rPr>
        <w:t xml:space="preserve"> and compared against </w:t>
      </w:r>
      <w:r>
        <w:rPr>
          <w:rFonts w:ascii="Times New Roman" w:hAnsi="Times New Roman" w:eastAsia="Times New Roman"/>
          <w:sz w:val="24"/>
        </w:rPr>
        <w:t>reference_hashes.json</w:t>
      </w:r>
      <w:r>
        <w:rPr>
          <w:rFonts w:ascii="Times New Roman" w:hAnsi="Times New Roman" w:eastAsia="Times New Roman"/>
          <w:sz w:val="24"/>
        </w:rPr>
        <w:t xml:space="preserve">. The Docker container </w:t>
      </w:r>
      <w:r>
        <w:rPr>
          <w:rFonts w:ascii="Times New Roman" w:hAnsi="Times New Roman" w:eastAsia="Times New Roman"/>
          <w:sz w:val="24"/>
        </w:rPr>
        <w:t>Dockerfile</w:t>
      </w:r>
      <w:r>
        <w:rPr>
          <w:rFonts w:ascii="Times New Roman" w:hAnsi="Times New Roman" w:eastAsia="Times New Roman"/>
          <w:sz w:val="24"/>
        </w:rPr>
        <w:t xml:space="preserve"> and the </w:t>
      </w:r>
      <w:r>
        <w:rPr>
          <w:rFonts w:ascii="Times New Roman" w:hAnsi="Times New Roman" w:eastAsia="Times New Roman"/>
          <w:sz w:val="24"/>
        </w:rPr>
        <w:t>Makefile</w:t>
      </w:r>
      <w:r>
        <w:rPr>
          <w:rFonts w:ascii="Times New Roman" w:hAnsi="Times New Roman" w:eastAsia="Times New Roman"/>
          <w:sz w:val="24"/>
        </w:rPr>
        <w:t xml:space="preserve"> </w:t>
      </w:r>
      <w:r>
        <w:rPr>
          <w:rFonts w:ascii="Times New Roman" w:hAnsi="Times New Roman" w:eastAsia="Times New Roman"/>
          <w:sz w:val="24"/>
        </w:rPr>
        <w:t>reproduce</w:t>
      </w:r>
      <w:r>
        <w:rPr>
          <w:rFonts w:ascii="Times New Roman" w:hAnsi="Times New Roman" w:eastAsia="Times New Roman"/>
          <w:sz w:val="24"/>
        </w:rPr>
        <w:t xml:space="preserve"> target encapsulate the full pipeline. A 56-test pytest suite (including the MHLW loader tests activated under Phase 1) guards against regression in core utilities.</w:t>
      </w:r>
    </w:p>
    <w:p>
      <w:pPr>
        <w:spacing w:line="480" w:lineRule="auto" w:before="0" w:after="0"/>
        <w:jc w:val="center"/>
      </w:pPr>
      <w:r>
        <w:rPr>
          <w:rFonts w:ascii="Times New Roman" w:hAnsi="Times New Roman" w:eastAsia="Times New Roman"/>
          <w:b/>
          <w:sz w:val="24"/>
        </w:rPr>
        <w:t>Software and statistical environment</w:t>
      </w:r>
    </w:p>
    <w:p>
      <w:pPr>
        <w:spacing w:line="480" w:lineRule="auto" w:before="0" w:after="0"/>
        <w:ind w:firstLine="720"/>
      </w:pPr>
      <w:r>
        <w:rPr>
          <w:rFonts w:ascii="Times New Roman" w:hAnsi="Times New Roman" w:eastAsia="Times New Roman"/>
          <w:sz w:val="24"/>
        </w:rPr>
        <w:t xml:space="preserve">Analysis was conducted in Python 3.11.15 using NumPy 2.x, SciPy 1.x, pandas 2.x, scikit-learn 1.x, h5py 3.x, and statsmodels 0.14.x (full pinned versions in </w:t>
      </w:r>
      <w:r>
        <w:rPr>
          <w:rFonts w:ascii="Times New Roman" w:hAnsi="Times New Roman" w:eastAsia="Times New Roman"/>
          <w:sz w:val="24"/>
        </w:rPr>
        <w:t>pyproject.toml</w:t>
      </w:r>
      <w:r>
        <w:rPr>
          <w:rFonts w:ascii="Times New Roman" w:hAnsi="Times New Roman" w:eastAsia="Times New Roman"/>
          <w:sz w:val="24"/>
        </w:rPr>
        <w:t>). All code is publicly available under MIT license at &lt;https://github.com/etoki/paper/tree/main/simulation&gt; and archived at OSF (DOI 10.17605/OSF.IO/3Y54U). The pre-registration is locked at OSF (DOI 10.17605/OSF.IO/3Y54U) with the v1.1 → v2.0 public diff document and v2.0 Methods Clarifications Log (Section 6.5 Level 1 deviation; SHA-256 fcaaf0d...) hosted alongside the registration.</w:t>
      </w:r>
    </w:p>
    <w:p>
      <w:pPr>
        <w:spacing w:line="480" w:lineRule="auto" w:before="0" w:after="0"/>
        <w:jc w:val="center"/>
      </w:pPr>
      <w:r>
        <w:rPr>
          <w:rFonts w:ascii="Times New Roman" w:hAnsi="Times New Roman" w:eastAsia="Times New Roman"/>
          <w:b/>
          <w:sz w:val="24"/>
        </w:rPr>
        <w:t>Data availability</w:t>
      </w:r>
    </w:p>
    <w:p>
      <w:pPr>
        <w:spacing w:line="480" w:lineRule="auto" w:before="0" w:after="0"/>
        <w:ind w:firstLine="720"/>
      </w:pPr>
      <w:r>
        <w:rPr>
          <w:rFonts w:ascii="Times New Roman" w:hAnsi="Times New Roman" w:eastAsia="Times New Roman"/>
          <w:sz w:val="24"/>
        </w:rPr>
        <w:t>This study's data and reproducibility artifacts are deposited on a tiered basis:</w:t>
      </w:r>
    </w:p>
    <w:p>
      <w:pPr>
        <w:pStyle w:val="ListBullet"/>
        <w:spacing w:line="480" w:lineRule="auto" w:before="0" w:after="0"/>
      </w:pPr>
      <w:r>
        <w:rPr>
          <w:rFonts w:ascii="Times New Roman" w:hAnsi="Times New Roman" w:eastAsia="Times New Roman"/>
          <w:sz w:val="24"/>
        </w:rPr>
        <w:t>Public tier (no access request required): Stage 0–8 supplementary HDF5 artifacts, Figures 1–6 (PNG/PDF/SVG), the canonical numerical record (canonical_numbers.md), and SHA-256 reference hashes (reference_hashes.json) are openly available at the OSF v2.0 working project (osf.io/3hxz6) under v2.0/v2.0_supplementary.tar.gz, and reproducible from source via make reproduce on the GitHub repository.</w:t>
      </w:r>
    </w:p>
    <w:p>
      <w:pPr>
        <w:pStyle w:val="ListBullet"/>
        <w:spacing w:line="480" w:lineRule="auto" w:before="0" w:after="0"/>
      </w:pPr>
      <w:r>
        <w:rPr>
          <w:rFonts w:ascii="Times New Roman" w:hAnsi="Times New Roman" w:eastAsia="Times New Roman"/>
          <w:sz w:val="24"/>
        </w:rPr>
        <w:t>Restricted tier (IRB-approved access request): The N = 354 individual-level harassment dataset is hosted in a Private OSF component (v2.0 IRB-Restricted Individual Data) linked from the v2.0 working project. The parent project's public Wiki at https://osf.io/3hxz6/wiki/home/ documents the four data-use terms (research-purpose-bounded use; non-redistribution; required citation of Tokiwa 2025 Research Square preprint and the v2.0 OSF DOI; IRB acknowledgement) and the request procedure (click "Request access" on the Component page; provide institutional affiliation, IRB approval ID, and intended research use). Approved requesters are added as read-only contributors within 14 days. Methodological details of the underlying survey are reported in Tokiwa (2025, Research Square preprint; DOI 10.21203/rs.3.rs-7756124/v1).</w:t>
      </w:r>
    </w:p>
    <w:p>
      <w:pPr>
        <w:pStyle w:val="ListBullet"/>
        <w:spacing w:line="480" w:lineRule="auto" w:before="0" w:after="0"/>
      </w:pPr>
      <w:r>
        <w:rPr>
          <w:rFonts w:ascii="Times New Roman" w:hAnsi="Times New Roman" w:eastAsia="Times New Roman"/>
          <w:sz w:val="24"/>
        </w:rPr>
        <w:t>External public sources: The Statistics Bureau (MIC) Labour Force Survey 2022 Annual Average tabulations used for population reweighting are publicly archived in the repository at simulation/data/mhlw_labor_force_2022.csv (provenance: e-Stat retrieval 2026-04-30).</w:t>
      </w:r>
    </w:p>
    <w:p>
      <w:pPr>
        <w:pStyle w:val="ListBullet"/>
        <w:spacing w:line="480" w:lineRule="auto" w:before="0" w:after="0"/>
      </w:pPr>
      <w:r>
        <w:rPr>
          <w:rFonts w:ascii="Times New Roman" w:hAnsi="Times New Roman" w:eastAsia="Times New Roman"/>
          <w:sz w:val="24"/>
        </w:rPr>
        <w:t>Pre-registration: v2.0 master document, v1.1 → v2.0 public diff, and the Section 6.5 Level 1 Methods Clarifications Log are publicly accessible at the v2.0 registration page (osf.io/3y54u, DOI 10.17605/OSF.IO/3Y54U).</w:t>
      </w:r>
    </w:p>
    <w:p>
      <w:r>
        <w:br w:type="page"/>
      </w:r>
    </w:p>
    <w:p>
      <w:pPr>
        <w:spacing w:line="480" w:lineRule="auto" w:before="0" w:after="0"/>
        <w:jc w:val="center"/>
      </w:pPr>
      <w:r>
        <w:rPr>
          <w:rFonts w:ascii="Times New Roman" w:hAnsi="Times New Roman" w:eastAsia="Times New Roman"/>
          <w:b/>
          <w:sz w:val="24"/>
        </w:rPr>
        <w:t>Sample characteristics and 14-cell propensity (Stage 0)</w:t>
      </w:r>
    </w:p>
    <w:p>
      <w:pPr>
        <w:spacing w:line="480" w:lineRule="auto" w:before="0" w:after="0"/>
        <w:ind w:firstLine="720"/>
      </w:pPr>
      <w:r>
        <w:rPr>
          <w:rFonts w:ascii="Times New Roman" w:hAnsi="Times New Roman" w:eastAsia="Times New Roman"/>
          <w:sz w:val="24"/>
        </w:rPr>
        <w:t xml:space="preserve">The N = 354 sample was assigned to 14 cells (7 HEXACO clusters × 2 genders) via Euclidean nearest-centroid hard-assignment, using the Tokiwa (2026, </w:t>
      </w:r>
      <w:r>
        <w:rPr>
          <w:rFonts w:ascii="Times New Roman" w:hAnsi="Times New Roman" w:eastAsia="Times New Roman"/>
          <w:i/>
          <w:sz w:val="24"/>
        </w:rPr>
        <w:t>IEEE Access</w:t>
      </w:r>
      <w:r>
        <w:rPr>
          <w:rFonts w:ascii="Times New Roman" w:hAnsi="Times New Roman" w:eastAsia="Times New Roman"/>
          <w:sz w:val="24"/>
        </w:rPr>
        <w:t>) centroids as fixed parameters. Cell sizes ranged from 10 to 70 individuals (median = 18), with no degenerate (N = 0) cells. Cell-level past-three-year power-harassment victimization rates ranged from 0.000 to 0.400 (mean across cells = 0.181).</w:t>
      </w:r>
    </w:p>
    <w:p>
      <w:pPr>
        <w:spacing w:line="480" w:lineRule="auto" w:before="0" w:after="0"/>
        <w:ind w:firstLine="720"/>
      </w:pPr>
      <w:r>
        <w:rPr>
          <w:rFonts w:ascii="Times New Roman" w:hAnsi="Times New Roman" w:eastAsia="Times New Roman"/>
          <w:sz w:val="24"/>
        </w:rPr>
        <w:t xml:space="preserve">Per-cell 95% confidence intervals followed the four-step priority cascade described in Methods (Stage 0 specification). Of the 14 cells, </w:t>
      </w:r>
      <w:r>
        <w:rPr>
          <w:rFonts w:ascii="Times New Roman" w:hAnsi="Times New Roman" w:eastAsia="Times New Roman"/>
          <w:b/>
          <w:sz w:val="24"/>
        </w:rPr>
        <w:t>13 were resolved at the BCa stage</w:t>
      </w:r>
      <w:r>
        <w:rPr>
          <w:rFonts w:ascii="Times New Roman" w:hAnsi="Times New Roman" w:eastAsia="Times New Roman"/>
          <w:sz w:val="24"/>
        </w:rPr>
        <w:t xml:space="preserve"> and </w:t>
      </w:r>
      <w:r>
        <w:rPr>
          <w:rFonts w:ascii="Times New Roman" w:hAnsi="Times New Roman" w:eastAsia="Times New Roman"/>
          <w:b/>
          <w:sz w:val="24"/>
        </w:rPr>
        <w:t>1 cell (cluster × gender index 11; N = 12, X = 0) was resolved at the Clopper-Pearson stage</w:t>
      </w:r>
      <w:r>
        <w:rPr>
          <w:rFonts w:ascii="Times New Roman" w:hAnsi="Times New Roman" w:eastAsia="Times New Roman"/>
          <w:sz w:val="24"/>
        </w:rPr>
        <w:t xml:space="preserve"> as the M4 cascade prescribes for degenerate cells (X_c ∈ {0, N_c}). No cells required the BC or Percentile fallbacks, confirming that the v2.0 master Section 5.1 priority cascade operates as designed for the realized data structure.</w:t>
      </w:r>
    </w:p>
    <w:p>
      <w:pPr>
        <w:spacing w:line="480" w:lineRule="auto" w:before="0" w:after="0"/>
        <w:jc w:val="center"/>
      </w:pPr>
      <w:r>
        <w:rPr>
          <w:rFonts w:ascii="Times New Roman" w:hAnsi="Times New Roman" w:eastAsia="Times New Roman"/>
          <w:b/>
          <w:sz w:val="24"/>
        </w:rPr>
        <w:t>National prevalence and H1 four-tier classification (Stages 1–2)</w:t>
      </w:r>
    </w:p>
    <w:p>
      <w:pPr>
        <w:spacing w:line="480" w:lineRule="auto" w:before="0" w:after="0"/>
        <w:ind w:firstLine="720"/>
      </w:pPr>
      <w:r>
        <w:rPr>
          <w:rFonts w:ascii="Times New Roman" w:hAnsi="Times New Roman" w:eastAsia="Times New Roman"/>
          <w:sz w:val="24"/>
        </w:rPr>
        <w:t>After re-weighting with Statistics Bureau (MIC) Labor Force Survey 2022 marginals (F = 0.4498, M = 0.5502; total = 67.23 million employed persons), the model-based national past-three-year power-harassment prevalence was P̂ = 0.1744 (point estimate), corresponding to 17.44%.</w:t>
      </w:r>
    </w:p>
    <w:p>
      <w:pPr>
        <w:spacing w:line="480" w:lineRule="auto" w:before="0" w:after="0"/>
        <w:ind w:firstLine="720"/>
      </w:pPr>
      <w:r>
        <w:rPr>
          <w:rFonts w:ascii="Times New Roman" w:hAnsi="Times New Roman" w:eastAsia="Times New Roman"/>
          <w:sz w:val="24"/>
        </w:rPr>
        <w:t>Per the v2.0 master Section 5.4 four-tier judgment hierarchy, the H1 results across three MHLW validation periods are summarized in Table 1.</w:t>
      </w:r>
    </w:p>
    <w:p>
      <w:pPr>
        <w:spacing w:line="480" w:lineRule="auto" w:before="0" w:after="0"/>
        <w:ind w:firstLine="720"/>
      </w:pPr>
      <w:r>
        <w:rPr>
          <w:rFonts w:ascii="Times New Roman" w:hAnsi="Times New Roman" w:eastAsia="Times New Roman"/>
          <w:b/>
          <w:sz w:val="24"/>
        </w:rPr>
        <w:t>Table 1.</w:t>
      </w:r>
      <w:r>
        <w:rPr>
          <w:rFonts w:ascii="Times New Roman" w:hAnsi="Times New Roman" w:eastAsia="Times New Roman"/>
          <w:sz w:val="24"/>
        </w:rPr>
        <w:t xml:space="preserve"> Mean Absolute Percentage Error (MAPE) of model-based national prevalence against MHLW survey targets, with bootstrap 95% confidence intervals (B = 10,000 cell-stratified). Primary outcome: power harassment.</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eastAsia="Times New Roman"/>
                <w:b/>
                <w:sz w:val="22"/>
              </w:rPr>
              <w:t>Period (MHLW)</w:t>
            </w:r>
          </w:p>
        </w:tc>
        <w:tc>
          <w:tcPr>
            <w:tcW w:type="dxa" w:w="1560"/>
          </w:tcPr>
          <w:p>
            <w:r>
              <w:rPr>
                <w:rFonts w:ascii="Times New Roman" w:hAnsi="Times New Roman" w:eastAsia="Times New Roman"/>
                <w:b/>
                <w:sz w:val="22"/>
              </w:rPr>
              <w:t>Observed</w:t>
            </w:r>
          </w:p>
        </w:tc>
        <w:tc>
          <w:tcPr>
            <w:tcW w:type="dxa" w:w="1560"/>
          </w:tcPr>
          <w:p>
            <w:r>
              <w:rPr>
                <w:rFonts w:ascii="Times New Roman" w:hAnsi="Times New Roman" w:eastAsia="Times New Roman"/>
                <w:b/>
                <w:sz w:val="22"/>
              </w:rPr>
              <w:t>Predicted</w:t>
            </w:r>
          </w:p>
        </w:tc>
        <w:tc>
          <w:tcPr>
            <w:tcW w:type="dxa" w:w="1560"/>
          </w:tcPr>
          <w:p>
            <w:r>
              <w:rPr>
                <w:rFonts w:ascii="Times New Roman" w:hAnsi="Times New Roman" w:eastAsia="Times New Roman"/>
                <w:b/>
                <w:sz w:val="22"/>
              </w:rPr>
              <w:t>MAPE</w:t>
            </w:r>
          </w:p>
        </w:tc>
        <w:tc>
          <w:tcPr>
            <w:tcW w:type="dxa" w:w="1560"/>
          </w:tcPr>
          <w:p>
            <w:r>
              <w:rPr>
                <w:rFonts w:ascii="Times New Roman" w:hAnsi="Times New Roman" w:eastAsia="Times New Roman"/>
                <w:b/>
                <w:sz w:val="22"/>
              </w:rPr>
              <w:t>95% CI</w:t>
            </w:r>
          </w:p>
        </w:tc>
        <w:tc>
          <w:tcPr>
            <w:tcW w:type="dxa" w:w="1560"/>
          </w:tcPr>
          <w:p>
            <w:r>
              <w:rPr>
                <w:rFonts w:ascii="Times New Roman" w:hAnsi="Times New Roman" w:eastAsia="Times New Roman"/>
                <w:b/>
                <w:sz w:val="22"/>
              </w:rPr>
              <w:t>Tier</w:t>
            </w:r>
          </w:p>
        </w:tc>
      </w:tr>
      <w:tr>
        <w:tc>
          <w:tcPr>
            <w:tcW w:type="dxa" w:w="1560"/>
          </w:tcPr>
          <w:p>
            <w:r>
              <w:rPr>
                <w:rFonts w:ascii="Times New Roman" w:hAnsi="Times New Roman" w:eastAsia="Times New Roman"/>
                <w:b w:val="0"/>
                <w:sz w:val="22"/>
              </w:rPr>
              <w:t>FY2016 (32.5%, primary)</w:t>
            </w:r>
          </w:p>
        </w:tc>
        <w:tc>
          <w:tcPr>
            <w:tcW w:type="dxa" w:w="1560"/>
          </w:tcPr>
          <w:p>
            <w:r>
              <w:rPr>
                <w:rFonts w:ascii="Times New Roman" w:hAnsi="Times New Roman" w:eastAsia="Times New Roman"/>
                <w:b w:val="0"/>
                <w:sz w:val="22"/>
              </w:rPr>
              <w:t>0.325</w:t>
            </w:r>
          </w:p>
        </w:tc>
        <w:tc>
          <w:tcPr>
            <w:tcW w:type="dxa" w:w="1560"/>
          </w:tcPr>
          <w:p>
            <w:r>
              <w:rPr>
                <w:rFonts w:ascii="Times New Roman" w:hAnsi="Times New Roman" w:eastAsia="Times New Roman"/>
                <w:b w:val="0"/>
                <w:sz w:val="22"/>
              </w:rPr>
              <w:t>0.1744</w:t>
            </w:r>
          </w:p>
        </w:tc>
        <w:tc>
          <w:tcPr>
            <w:tcW w:type="dxa" w:w="1560"/>
          </w:tcPr>
          <w:p>
            <w:r>
              <w:rPr>
                <w:rFonts w:ascii="Times New Roman" w:hAnsi="Times New Roman" w:eastAsia="Times New Roman"/>
                <w:b w:val="0"/>
                <w:sz w:val="22"/>
              </w:rPr>
              <w:t>46.34%</w:t>
            </w:r>
          </w:p>
        </w:tc>
        <w:tc>
          <w:tcPr>
            <w:tcW w:type="dxa" w:w="1560"/>
          </w:tcPr>
          <w:p>
            <w:r>
              <w:rPr>
                <w:rFonts w:ascii="Times New Roman" w:hAnsi="Times New Roman" w:eastAsia="Times New Roman"/>
                <w:b w:val="0"/>
                <w:sz w:val="22"/>
              </w:rPr>
              <w:t>[32.36, 59.30]</w:t>
            </w:r>
          </w:p>
        </w:tc>
        <w:tc>
          <w:tcPr>
            <w:tcW w:type="dxa" w:w="1560"/>
          </w:tcPr>
          <w:p>
            <w:r>
              <w:rPr>
                <w:rFonts w:ascii="Times New Roman" w:hAnsi="Times New Roman" w:eastAsia="Times New Roman"/>
                <w:b w:val="0"/>
                <w:sz w:val="22"/>
              </w:rPr>
              <w:t>PARTIAL SUCCESS</w:t>
            </w:r>
          </w:p>
        </w:tc>
      </w:tr>
      <w:tr>
        <w:tc>
          <w:tcPr>
            <w:tcW w:type="dxa" w:w="1560"/>
          </w:tcPr>
          <w:p>
            <w:r>
              <w:rPr>
                <w:rFonts w:ascii="Times New Roman" w:hAnsi="Times New Roman" w:eastAsia="Times New Roman"/>
                <w:b w:val="0"/>
                <w:sz w:val="22"/>
              </w:rPr>
              <w:t>FY2020 (31.4%, secondary)</w:t>
            </w:r>
          </w:p>
        </w:tc>
        <w:tc>
          <w:tcPr>
            <w:tcW w:type="dxa" w:w="1560"/>
          </w:tcPr>
          <w:p>
            <w:r>
              <w:rPr>
                <w:rFonts w:ascii="Times New Roman" w:hAnsi="Times New Roman" w:eastAsia="Times New Roman"/>
                <w:b w:val="0"/>
                <w:sz w:val="22"/>
              </w:rPr>
              <w:t>0.314</w:t>
            </w:r>
          </w:p>
        </w:tc>
        <w:tc>
          <w:tcPr>
            <w:tcW w:type="dxa" w:w="1560"/>
          </w:tcPr>
          <w:p>
            <w:r>
              <w:rPr>
                <w:rFonts w:ascii="Times New Roman" w:hAnsi="Times New Roman" w:eastAsia="Times New Roman"/>
                <w:b w:val="0"/>
                <w:sz w:val="22"/>
              </w:rPr>
              <w:t>0.1744</w:t>
            </w:r>
          </w:p>
        </w:tc>
        <w:tc>
          <w:tcPr>
            <w:tcW w:type="dxa" w:w="1560"/>
          </w:tcPr>
          <w:p>
            <w:r>
              <w:rPr>
                <w:rFonts w:ascii="Times New Roman" w:hAnsi="Times New Roman" w:eastAsia="Times New Roman"/>
                <w:b w:val="0"/>
                <w:sz w:val="22"/>
              </w:rPr>
              <w:t>44.46%</w:t>
            </w:r>
          </w:p>
        </w:tc>
        <w:tc>
          <w:tcPr>
            <w:tcW w:type="dxa" w:w="1560"/>
          </w:tcPr>
          <w:p>
            <w:r>
              <w:rPr>
                <w:rFonts w:ascii="Times New Roman" w:hAnsi="Times New Roman" w:eastAsia="Times New Roman"/>
                <w:b w:val="0"/>
                <w:sz w:val="22"/>
              </w:rPr>
              <w:t>[30.00, 57.88]</w:t>
            </w:r>
          </w:p>
        </w:tc>
        <w:tc>
          <w:tcPr>
            <w:tcW w:type="dxa" w:w="1560"/>
          </w:tcPr>
          <w:p>
            <w:r>
              <w:rPr>
                <w:rFonts w:ascii="Times New Roman" w:hAnsi="Times New Roman" w:eastAsia="Times New Roman"/>
                <w:b w:val="0"/>
                <w:sz w:val="22"/>
              </w:rPr>
              <w:t>PARTIAL SUCCESS</w:t>
            </w:r>
          </w:p>
        </w:tc>
      </w:tr>
      <w:tr>
        <w:tc>
          <w:tcPr>
            <w:tcW w:type="dxa" w:w="1560"/>
          </w:tcPr>
          <w:p>
            <w:r>
              <w:rPr>
                <w:rFonts w:ascii="Times New Roman" w:hAnsi="Times New Roman" w:eastAsia="Times New Roman"/>
                <w:b w:val="0"/>
                <w:sz w:val="22"/>
              </w:rPr>
              <w:t>FY2023 (19.3%, secondary)</w:t>
            </w:r>
          </w:p>
        </w:tc>
        <w:tc>
          <w:tcPr>
            <w:tcW w:type="dxa" w:w="1560"/>
          </w:tcPr>
          <w:p>
            <w:r>
              <w:rPr>
                <w:rFonts w:ascii="Times New Roman" w:hAnsi="Times New Roman" w:eastAsia="Times New Roman"/>
                <w:b w:val="0"/>
                <w:sz w:val="22"/>
              </w:rPr>
              <w:t>0.193</w:t>
            </w:r>
          </w:p>
        </w:tc>
        <w:tc>
          <w:tcPr>
            <w:tcW w:type="dxa" w:w="1560"/>
          </w:tcPr>
          <w:p>
            <w:r>
              <w:rPr>
                <w:rFonts w:ascii="Times New Roman" w:hAnsi="Times New Roman" w:eastAsia="Times New Roman"/>
                <w:b w:val="0"/>
                <w:sz w:val="22"/>
              </w:rPr>
              <w:t>0.1744</w:t>
            </w:r>
          </w:p>
        </w:tc>
        <w:tc>
          <w:tcPr>
            <w:tcW w:type="dxa" w:w="1560"/>
          </w:tcPr>
          <w:p>
            <w:r>
              <w:rPr>
                <w:rFonts w:ascii="Times New Roman" w:hAnsi="Times New Roman" w:eastAsia="Times New Roman"/>
                <w:b w:val="0"/>
                <w:sz w:val="22"/>
              </w:rPr>
              <w:t>9.65%</w:t>
            </w:r>
          </w:p>
        </w:tc>
        <w:tc>
          <w:tcPr>
            <w:tcW w:type="dxa" w:w="1560"/>
          </w:tcPr>
          <w:p>
            <w:r>
              <w:rPr>
                <w:rFonts w:ascii="Times New Roman" w:hAnsi="Times New Roman" w:eastAsia="Times New Roman"/>
                <w:b w:val="0"/>
                <w:sz w:val="22"/>
              </w:rPr>
              <w:t>[0.52, 31.52]</w:t>
            </w:r>
          </w:p>
        </w:tc>
        <w:tc>
          <w:tcPr>
            <w:tcW w:type="dxa" w:w="1560"/>
          </w:tcPr>
          <w:p>
            <w:r>
              <w:rPr>
                <w:rFonts w:ascii="Times New Roman" w:hAnsi="Times New Roman" w:eastAsia="Times New Roman"/>
                <w:b w:val="0"/>
                <w:sz w:val="22"/>
              </w:rPr>
              <w:t>Standard SUCCESS</w:t>
            </w:r>
          </w:p>
        </w:tc>
      </w:tr>
    </w:tbl>
    <w:p>
      <w:pPr>
        <w:spacing w:line="480" w:lineRule="auto" w:before="0" w:after="0"/>
      </w:pPr>
    </w:p>
    <w:p>
      <w:pPr>
        <w:spacing w:line="480" w:lineRule="auto" w:before="0" w:after="0"/>
        <w:ind w:firstLine="720"/>
      </w:pPr>
      <w:r>
        <w:rPr>
          <w:rFonts w:ascii="Times New Roman" w:hAnsi="Times New Roman" w:eastAsia="Times New Roman"/>
          <w:sz w:val="24"/>
        </w:rPr>
        <w:t xml:space="preserve">The FY2016 primary classification is </w:t>
      </w:r>
      <w:r>
        <w:rPr>
          <w:rFonts w:ascii="Times New Roman" w:hAnsi="Times New Roman" w:eastAsia="Times New Roman"/>
          <w:b/>
          <w:sz w:val="24"/>
        </w:rPr>
        <w:t>PARTIAL SUCCESS</w:t>
      </w:r>
      <w:r>
        <w:rPr>
          <w:rFonts w:ascii="Times New Roman" w:hAnsi="Times New Roman" w:eastAsia="Times New Roman"/>
          <w:sz w:val="24"/>
        </w:rPr>
        <w:t xml:space="preserve"> (point MAPE &gt; 30%, ≤ 60%). However, the post-Power-Harassment-Prevention-Law FY2023 result attains </w:t>
      </w:r>
      <w:r>
        <w:rPr>
          <w:rFonts w:ascii="Times New Roman" w:hAnsi="Times New Roman" w:eastAsia="Times New Roman"/>
          <w:b/>
          <w:sz w:val="24"/>
        </w:rPr>
        <w:t>Standard SUCCESS</w:t>
      </w:r>
      <w:r>
        <w:rPr>
          <w:rFonts w:ascii="Times New Roman" w:hAnsi="Times New Roman" w:eastAsia="Times New Roman"/>
          <w:sz w:val="24"/>
        </w:rPr>
        <w:t xml:space="preserve"> with a point MAPE of 9.65% (well below the 30% threshold for both Strict and Standard tiers); the 95% CI upper bound of 31.52% narrowly exceeds the Strict criterion (≤ 30%) by 1.52 pp, placing the classification at Standard rather than Strict. Interpretation of this temporal heterogeneity is deferred to the Discussion (Principal findings).</w:t>
      </w:r>
    </w:p>
    <w:p>
      <w:pPr>
        <w:spacing w:line="480" w:lineRule="auto" w:before="0" w:after="0"/>
        <w:jc w:val="center"/>
      </w:pPr>
      <w:r>
        <w:rPr>
          <w:rFonts w:ascii="Times New Roman" w:hAnsi="Times New Roman" w:eastAsia="Times New Roman"/>
          <w:b/>
          <w:sz w:val="24"/>
        </w:rPr>
        <w:t>Sensitivity sweep (Stage 3)</w:t>
      </w:r>
    </w:p>
    <w:p>
      <w:pPr>
        <w:spacing w:line="480" w:lineRule="auto" w:before="0" w:after="0"/>
        <w:ind w:firstLine="720"/>
      </w:pPr>
      <w:r>
        <w:rPr>
          <w:rFonts w:ascii="Times New Roman" w:hAnsi="Times New Roman" w:eastAsia="Times New Roman"/>
          <w:sz w:val="24"/>
        </w:rPr>
        <w:t>The pre-registered one-at-a-time sweep over four parameter families produced 13 rows. Results are presented in Table 2.</w:t>
      </w:r>
    </w:p>
    <w:p>
      <w:pPr>
        <w:spacing w:line="480" w:lineRule="auto" w:before="0" w:after="0"/>
        <w:ind w:firstLine="720"/>
      </w:pPr>
      <w:r>
        <w:rPr>
          <w:rFonts w:ascii="Times New Roman" w:hAnsi="Times New Roman" w:eastAsia="Times New Roman"/>
          <w:b/>
          <w:sz w:val="24"/>
        </w:rPr>
        <w:t>Table 2.</w:t>
      </w:r>
      <w:r>
        <w:rPr>
          <w:rFonts w:ascii="Times New Roman" w:hAnsi="Times New Roman" w:eastAsia="Times New Roman"/>
          <w:sz w:val="24"/>
        </w:rPr>
        <w:t xml:space="preserve"> OAT sensitivity sweep around main configuration. B = 2,000 per row, percentile CI on FY2016 MAPE. The baseline row uses the locked v2.0 main configuration; all other rows hold remaining parameters at main while varying the indicated family.</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sz w:val="22"/>
              </w:rPr>
              <w:t>Family</w:t>
            </w:r>
          </w:p>
        </w:tc>
        <w:tc>
          <w:tcPr>
            <w:tcW w:type="dxa" w:w="1872"/>
          </w:tcPr>
          <w:p>
            <w:r>
              <w:rPr>
                <w:rFonts w:ascii="Times New Roman" w:hAnsi="Times New Roman" w:eastAsia="Times New Roman"/>
                <w:b/>
                <w:sz w:val="22"/>
              </w:rPr>
              <w:t>Value</w:t>
            </w:r>
          </w:p>
        </w:tc>
        <w:tc>
          <w:tcPr>
            <w:tcW w:type="dxa" w:w="1872"/>
          </w:tcPr>
          <w:p>
            <w:r>
              <w:rPr>
                <w:rFonts w:ascii="Times New Roman" w:hAnsi="Times New Roman" w:eastAsia="Times New Roman"/>
                <w:b/>
                <w:sz w:val="22"/>
              </w:rPr>
              <w:t>MAPE</w:t>
            </w:r>
          </w:p>
        </w:tc>
        <w:tc>
          <w:tcPr>
            <w:tcW w:type="dxa" w:w="1872"/>
          </w:tcPr>
          <w:p>
            <w:r>
              <w:rPr>
                <w:rFonts w:ascii="Times New Roman" w:hAnsi="Times New Roman" w:eastAsia="Times New Roman"/>
                <w:b/>
                <w:sz w:val="22"/>
              </w:rPr>
              <w:t>95% CI</w:t>
            </w:r>
          </w:p>
        </w:tc>
        <w:tc>
          <w:tcPr>
            <w:tcW w:type="dxa" w:w="1872"/>
          </w:tcPr>
          <w:p>
            <w:r>
              <w:rPr>
                <w:rFonts w:ascii="Times New Roman" w:hAnsi="Times New Roman" w:eastAsia="Times New Roman"/>
                <w:b/>
                <w:sz w:val="22"/>
              </w:rPr>
              <w:t>Tier</w:t>
            </w:r>
          </w:p>
        </w:tc>
      </w:tr>
      <w:tr>
        <w:tc>
          <w:tcPr>
            <w:tcW w:type="dxa" w:w="1872"/>
          </w:tcPr>
          <w:p>
            <w:r>
              <w:rPr>
                <w:rFonts w:ascii="Times New Roman" w:hAnsi="Times New Roman" w:eastAsia="Times New Roman"/>
                <w:b w:val="0"/>
                <w:sz w:val="22"/>
              </w:rPr>
              <w:t>Baseline</w:t>
            </w:r>
          </w:p>
        </w:tc>
        <w:tc>
          <w:tcPr>
            <w:tcW w:type="dxa" w:w="1872"/>
          </w:tcPr>
          <w:p>
            <w:r>
              <w:rPr>
                <w:rFonts w:ascii="Times New Roman" w:hAnsi="Times New Roman" w:eastAsia="Times New Roman"/>
                <w:b w:val="0"/>
                <w:sz w:val="22"/>
              </w:rPr>
              <w:t>main_v2.0</w:t>
            </w:r>
          </w:p>
        </w:tc>
        <w:tc>
          <w:tcPr>
            <w:tcW w:type="dxa" w:w="1872"/>
          </w:tcPr>
          <w:p>
            <w:r>
              <w:rPr>
                <w:rFonts w:ascii="Times New Roman" w:hAnsi="Times New Roman" w:eastAsia="Times New Roman"/>
                <w:b w:val="0"/>
                <w:sz w:val="22"/>
              </w:rPr>
              <w:t>45.51%</w:t>
            </w:r>
          </w:p>
        </w:tc>
        <w:tc>
          <w:tcPr>
            <w:tcW w:type="dxa" w:w="1872"/>
          </w:tcPr>
          <w:p>
            <w:r>
              <w:rPr>
                <w:rFonts w:ascii="Times New Roman" w:hAnsi="Times New Roman" w:eastAsia="Times New Roman"/>
                <w:b w:val="0"/>
                <w:sz w:val="22"/>
              </w:rPr>
              <w:t>[31.5, 59.5]</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Binarization</w:t>
            </w:r>
          </w:p>
        </w:tc>
        <w:tc>
          <w:tcPr>
            <w:tcW w:type="dxa" w:w="1872"/>
          </w:tcPr>
          <w:p>
            <w:r>
              <w:rPr>
                <w:rFonts w:ascii="Times New Roman" w:hAnsi="Times New Roman" w:eastAsia="Times New Roman"/>
                <w:b w:val="0"/>
                <w:sz w:val="22"/>
              </w:rPr>
              <w:t>mean+0.25 SD</w:t>
            </w:r>
          </w:p>
        </w:tc>
        <w:tc>
          <w:tcPr>
            <w:tcW w:type="dxa" w:w="1872"/>
          </w:tcPr>
          <w:p>
            <w:r>
              <w:rPr>
                <w:rFonts w:ascii="Times New Roman" w:hAnsi="Times New Roman" w:eastAsia="Times New Roman"/>
                <w:b w:val="0"/>
                <w:sz w:val="22"/>
              </w:rPr>
              <w:t>29.58%</w:t>
            </w:r>
          </w:p>
        </w:tc>
        <w:tc>
          <w:tcPr>
            <w:tcW w:type="dxa" w:w="1872"/>
          </w:tcPr>
          <w:p>
            <w:r>
              <w:rPr>
                <w:rFonts w:ascii="Times New Roman" w:hAnsi="Times New Roman" w:eastAsia="Times New Roman"/>
                <w:b w:val="0"/>
                <w:sz w:val="22"/>
              </w:rPr>
              <w:t>[13.7, 45.2]</w:t>
            </w:r>
          </w:p>
        </w:tc>
        <w:tc>
          <w:tcPr>
            <w:tcW w:type="dxa" w:w="1872"/>
          </w:tcPr>
          <w:p>
            <w:r>
              <w:rPr>
                <w:rFonts w:ascii="Times New Roman" w:hAnsi="Times New Roman" w:eastAsia="Times New Roman"/>
                <w:b w:val="0"/>
                <w:sz w:val="22"/>
              </w:rPr>
              <w:t>Standard SUCCESS</w:t>
            </w:r>
          </w:p>
        </w:tc>
      </w:tr>
      <w:tr>
        <w:tc>
          <w:tcPr>
            <w:tcW w:type="dxa" w:w="1872"/>
          </w:tcPr>
          <w:p>
            <w:r>
              <w:rPr>
                <w:rFonts w:ascii="Times New Roman" w:hAnsi="Times New Roman" w:eastAsia="Times New Roman"/>
                <w:b w:val="0"/>
                <w:sz w:val="22"/>
              </w:rPr>
              <w:t>Binarization</w:t>
            </w:r>
          </w:p>
        </w:tc>
        <w:tc>
          <w:tcPr>
            <w:tcW w:type="dxa" w:w="1872"/>
          </w:tcPr>
          <w:p>
            <w:r>
              <w:rPr>
                <w:rFonts w:ascii="Times New Roman" w:hAnsi="Times New Roman" w:eastAsia="Times New Roman"/>
                <w:b w:val="0"/>
                <w:sz w:val="22"/>
              </w:rPr>
              <w:t>mean+0.5 SD (main)</w:t>
            </w:r>
          </w:p>
        </w:tc>
        <w:tc>
          <w:tcPr>
            <w:tcW w:type="dxa" w:w="1872"/>
          </w:tcPr>
          <w:p>
            <w:r>
              <w:rPr>
                <w:rFonts w:ascii="Times New Roman" w:hAnsi="Times New Roman" w:eastAsia="Times New Roman"/>
                <w:b w:val="0"/>
                <w:sz w:val="22"/>
              </w:rPr>
              <w:t>45.51%</w:t>
            </w:r>
          </w:p>
        </w:tc>
        <w:tc>
          <w:tcPr>
            <w:tcW w:type="dxa" w:w="1872"/>
          </w:tcPr>
          <w:p>
            <w:r>
              <w:rPr>
                <w:rFonts w:ascii="Times New Roman" w:hAnsi="Times New Roman" w:eastAsia="Times New Roman"/>
                <w:b w:val="0"/>
                <w:sz w:val="22"/>
              </w:rPr>
              <w:t>[30.5, 59.2]</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Binarization</w:t>
            </w:r>
          </w:p>
        </w:tc>
        <w:tc>
          <w:tcPr>
            <w:tcW w:type="dxa" w:w="1872"/>
          </w:tcPr>
          <w:p>
            <w:r>
              <w:rPr>
                <w:rFonts w:ascii="Times New Roman" w:hAnsi="Times New Roman" w:eastAsia="Times New Roman"/>
                <w:b w:val="0"/>
                <w:sz w:val="22"/>
              </w:rPr>
              <w:t>mean+1.0 SD</w:t>
            </w:r>
          </w:p>
        </w:tc>
        <w:tc>
          <w:tcPr>
            <w:tcW w:type="dxa" w:w="1872"/>
          </w:tcPr>
          <w:p>
            <w:r>
              <w:rPr>
                <w:rFonts w:ascii="Times New Roman" w:hAnsi="Times New Roman" w:eastAsia="Times New Roman"/>
                <w:b w:val="0"/>
                <w:sz w:val="22"/>
              </w:rPr>
              <w:t>48.95%</w:t>
            </w:r>
          </w:p>
        </w:tc>
        <w:tc>
          <w:tcPr>
            <w:tcW w:type="dxa" w:w="1872"/>
          </w:tcPr>
          <w:p>
            <w:r>
              <w:rPr>
                <w:rFonts w:ascii="Times New Roman" w:hAnsi="Times New Roman" w:eastAsia="Times New Roman"/>
                <w:b w:val="0"/>
                <w:sz w:val="22"/>
              </w:rPr>
              <w:t>[34.0, 62.4]</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Soft τ × median NN</w:t>
            </w:r>
          </w:p>
        </w:tc>
        <w:tc>
          <w:tcPr>
            <w:tcW w:type="dxa" w:w="1872"/>
          </w:tcPr>
          <w:p>
            <w:r>
              <w:rPr>
                <w:rFonts w:ascii="Times New Roman" w:hAnsi="Times New Roman" w:eastAsia="Times New Roman"/>
                <w:b w:val="0"/>
                <w:sz w:val="22"/>
              </w:rPr>
              <w:t>0.5×</w:t>
            </w:r>
          </w:p>
        </w:tc>
        <w:tc>
          <w:tcPr>
            <w:tcW w:type="dxa" w:w="1872"/>
          </w:tcPr>
          <w:p>
            <w:r>
              <w:rPr>
                <w:rFonts w:ascii="Times New Roman" w:hAnsi="Times New Roman" w:eastAsia="Times New Roman"/>
                <w:b w:val="0"/>
                <w:sz w:val="22"/>
              </w:rPr>
              <w:t>45.04%</w:t>
            </w:r>
          </w:p>
        </w:tc>
        <w:tc>
          <w:tcPr>
            <w:tcW w:type="dxa" w:w="1872"/>
          </w:tcPr>
          <w:p>
            <w:r>
              <w:rPr>
                <w:rFonts w:ascii="Times New Roman" w:hAnsi="Times New Roman" w:eastAsia="Times New Roman"/>
                <w:b w:val="0"/>
                <w:sz w:val="22"/>
              </w:rPr>
              <w:t>[43.8, 46.3]</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Soft τ × median NN</w:t>
            </w:r>
          </w:p>
        </w:tc>
        <w:tc>
          <w:tcPr>
            <w:tcW w:type="dxa" w:w="1872"/>
          </w:tcPr>
          <w:p>
            <w:r>
              <w:rPr>
                <w:rFonts w:ascii="Times New Roman" w:hAnsi="Times New Roman" w:eastAsia="Times New Roman"/>
                <w:b w:val="0"/>
                <w:sz w:val="22"/>
              </w:rPr>
              <w:t>1.0×</w:t>
            </w:r>
          </w:p>
        </w:tc>
        <w:tc>
          <w:tcPr>
            <w:tcW w:type="dxa" w:w="1872"/>
          </w:tcPr>
          <w:p>
            <w:r>
              <w:rPr>
                <w:rFonts w:ascii="Times New Roman" w:hAnsi="Times New Roman" w:eastAsia="Times New Roman"/>
                <w:b w:val="0"/>
                <w:sz w:val="22"/>
              </w:rPr>
              <w:t>45.22%</w:t>
            </w:r>
          </w:p>
        </w:tc>
        <w:tc>
          <w:tcPr>
            <w:tcW w:type="dxa" w:w="1872"/>
          </w:tcPr>
          <w:p>
            <w:r>
              <w:rPr>
                <w:rFonts w:ascii="Times New Roman" w:hAnsi="Times New Roman" w:eastAsia="Times New Roman"/>
                <w:b w:val="0"/>
                <w:sz w:val="22"/>
              </w:rPr>
              <w:t>[43.9, 46.5]</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Soft τ × median NN</w:t>
            </w:r>
          </w:p>
        </w:tc>
        <w:tc>
          <w:tcPr>
            <w:tcW w:type="dxa" w:w="1872"/>
          </w:tcPr>
          <w:p>
            <w:r>
              <w:rPr>
                <w:rFonts w:ascii="Times New Roman" w:hAnsi="Times New Roman" w:eastAsia="Times New Roman"/>
                <w:b w:val="0"/>
                <w:sz w:val="22"/>
              </w:rPr>
              <w:t>2.0×</w:t>
            </w:r>
          </w:p>
        </w:tc>
        <w:tc>
          <w:tcPr>
            <w:tcW w:type="dxa" w:w="1872"/>
          </w:tcPr>
          <w:p>
            <w:r>
              <w:rPr>
                <w:rFonts w:ascii="Times New Roman" w:hAnsi="Times New Roman" w:eastAsia="Times New Roman"/>
                <w:b w:val="0"/>
                <w:sz w:val="22"/>
              </w:rPr>
              <w:t>45.24%</w:t>
            </w:r>
          </w:p>
        </w:tc>
        <w:tc>
          <w:tcPr>
            <w:tcW w:type="dxa" w:w="1872"/>
          </w:tcPr>
          <w:p>
            <w:r>
              <w:rPr>
                <w:rFonts w:ascii="Times New Roman" w:hAnsi="Times New Roman" w:eastAsia="Times New Roman"/>
                <w:b w:val="0"/>
                <w:sz w:val="22"/>
              </w:rPr>
              <w:t>[43.9, 46.4]</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EB scale</w:t>
            </w:r>
          </w:p>
        </w:tc>
        <w:tc>
          <w:tcPr>
            <w:tcW w:type="dxa" w:w="1872"/>
          </w:tcPr>
          <w:p>
            <w:r>
              <w:rPr>
                <w:rFonts w:ascii="Times New Roman" w:hAnsi="Times New Roman" w:eastAsia="Times New Roman"/>
                <w:b w:val="0"/>
                <w:sz w:val="22"/>
              </w:rPr>
              <w:t>0.5× pseudocount</w:t>
            </w:r>
          </w:p>
        </w:tc>
        <w:tc>
          <w:tcPr>
            <w:tcW w:type="dxa" w:w="1872"/>
          </w:tcPr>
          <w:p>
            <w:r>
              <w:rPr>
                <w:rFonts w:ascii="Times New Roman" w:hAnsi="Times New Roman" w:eastAsia="Times New Roman"/>
                <w:b w:val="0"/>
                <w:sz w:val="22"/>
              </w:rPr>
              <w:t>45.90%</w:t>
            </w:r>
          </w:p>
        </w:tc>
        <w:tc>
          <w:tcPr>
            <w:tcW w:type="dxa" w:w="1872"/>
          </w:tcPr>
          <w:p>
            <w:r>
              <w:rPr>
                <w:rFonts w:ascii="Times New Roman" w:hAnsi="Times New Roman" w:eastAsia="Times New Roman"/>
                <w:b w:val="0"/>
                <w:sz w:val="22"/>
              </w:rPr>
              <w:t>[32.1, 58.7]</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EB scale</w:t>
            </w:r>
          </w:p>
        </w:tc>
        <w:tc>
          <w:tcPr>
            <w:tcW w:type="dxa" w:w="1872"/>
          </w:tcPr>
          <w:p>
            <w:r>
              <w:rPr>
                <w:rFonts w:ascii="Times New Roman" w:hAnsi="Times New Roman" w:eastAsia="Times New Roman"/>
                <w:b w:val="0"/>
                <w:sz w:val="22"/>
              </w:rPr>
              <w:t>1.0× (main)</w:t>
            </w:r>
          </w:p>
        </w:tc>
        <w:tc>
          <w:tcPr>
            <w:tcW w:type="dxa" w:w="1872"/>
          </w:tcPr>
          <w:p>
            <w:r>
              <w:rPr>
                <w:rFonts w:ascii="Times New Roman" w:hAnsi="Times New Roman" w:eastAsia="Times New Roman"/>
                <w:b w:val="0"/>
                <w:sz w:val="22"/>
              </w:rPr>
              <w:t>45.51%</w:t>
            </w:r>
          </w:p>
        </w:tc>
        <w:tc>
          <w:tcPr>
            <w:tcW w:type="dxa" w:w="1872"/>
          </w:tcPr>
          <w:p>
            <w:r>
              <w:rPr>
                <w:rFonts w:ascii="Times New Roman" w:hAnsi="Times New Roman" w:eastAsia="Times New Roman"/>
                <w:b w:val="0"/>
                <w:sz w:val="22"/>
              </w:rPr>
              <w:t>[31.4, 59.0]</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EB scale</w:t>
            </w:r>
          </w:p>
        </w:tc>
        <w:tc>
          <w:tcPr>
            <w:tcW w:type="dxa" w:w="1872"/>
          </w:tcPr>
          <w:p>
            <w:r>
              <w:rPr>
                <w:rFonts w:ascii="Times New Roman" w:hAnsi="Times New Roman" w:eastAsia="Times New Roman"/>
                <w:b w:val="0"/>
                <w:sz w:val="22"/>
              </w:rPr>
              <w:t>2.0× pseudocount</w:t>
            </w:r>
          </w:p>
        </w:tc>
        <w:tc>
          <w:tcPr>
            <w:tcW w:type="dxa" w:w="1872"/>
          </w:tcPr>
          <w:p>
            <w:r>
              <w:rPr>
                <w:rFonts w:ascii="Times New Roman" w:hAnsi="Times New Roman" w:eastAsia="Times New Roman"/>
                <w:b w:val="0"/>
                <w:sz w:val="22"/>
              </w:rPr>
              <w:t>45.80%</w:t>
            </w:r>
          </w:p>
        </w:tc>
        <w:tc>
          <w:tcPr>
            <w:tcW w:type="dxa" w:w="1872"/>
          </w:tcPr>
          <w:p>
            <w:r>
              <w:rPr>
                <w:rFonts w:ascii="Times New Roman" w:hAnsi="Times New Roman" w:eastAsia="Times New Roman"/>
                <w:b w:val="0"/>
                <w:sz w:val="22"/>
              </w:rPr>
              <w:t>[32.3, 58.9]</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Cluster mass shift δ</w:t>
            </w:r>
          </w:p>
        </w:tc>
        <w:tc>
          <w:tcPr>
            <w:tcW w:type="dxa" w:w="1872"/>
          </w:tcPr>
          <w:p>
            <w:r>
              <w:rPr>
                <w:rFonts w:ascii="Times New Roman" w:hAnsi="Times New Roman" w:eastAsia="Times New Roman"/>
                <w:b w:val="0"/>
                <w:sz w:val="22"/>
              </w:rPr>
              <w:t>−0.10 high−low</w:t>
            </w:r>
          </w:p>
        </w:tc>
        <w:tc>
          <w:tcPr>
            <w:tcW w:type="dxa" w:w="1872"/>
          </w:tcPr>
          <w:p>
            <w:r>
              <w:rPr>
                <w:rFonts w:ascii="Times New Roman" w:hAnsi="Times New Roman" w:eastAsia="Times New Roman"/>
                <w:b w:val="0"/>
                <w:sz w:val="22"/>
              </w:rPr>
              <w:t>56.47%</w:t>
            </w:r>
          </w:p>
        </w:tc>
        <w:tc>
          <w:tcPr>
            <w:tcW w:type="dxa" w:w="1872"/>
          </w:tcPr>
          <w:p>
            <w:r>
              <w:rPr>
                <w:rFonts w:ascii="Times New Roman" w:hAnsi="Times New Roman" w:eastAsia="Times New Roman"/>
                <w:b w:val="0"/>
                <w:sz w:val="22"/>
              </w:rPr>
              <w:t>[42.8, 68.8]</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Cluster mass shift δ</w:t>
            </w:r>
          </w:p>
        </w:tc>
        <w:tc>
          <w:tcPr>
            <w:tcW w:type="dxa" w:w="1872"/>
          </w:tcPr>
          <w:p>
            <w:r>
              <w:rPr>
                <w:rFonts w:ascii="Times New Roman" w:hAnsi="Times New Roman" w:eastAsia="Times New Roman"/>
                <w:b w:val="0"/>
                <w:sz w:val="22"/>
              </w:rPr>
              <w:t>0.0 (main)</w:t>
            </w:r>
          </w:p>
        </w:tc>
        <w:tc>
          <w:tcPr>
            <w:tcW w:type="dxa" w:w="1872"/>
          </w:tcPr>
          <w:p>
            <w:r>
              <w:rPr>
                <w:rFonts w:ascii="Times New Roman" w:hAnsi="Times New Roman" w:eastAsia="Times New Roman"/>
                <w:b w:val="0"/>
                <w:sz w:val="22"/>
              </w:rPr>
              <w:t>45.51%</w:t>
            </w:r>
          </w:p>
        </w:tc>
        <w:tc>
          <w:tcPr>
            <w:tcW w:type="dxa" w:w="1872"/>
          </w:tcPr>
          <w:p>
            <w:r>
              <w:rPr>
                <w:rFonts w:ascii="Times New Roman" w:hAnsi="Times New Roman" w:eastAsia="Times New Roman"/>
                <w:b w:val="0"/>
                <w:sz w:val="22"/>
              </w:rPr>
              <w:t>[31.4, 59.2]</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Cluster mass shift δ</w:t>
            </w:r>
          </w:p>
        </w:tc>
        <w:tc>
          <w:tcPr>
            <w:tcW w:type="dxa" w:w="1872"/>
          </w:tcPr>
          <w:p>
            <w:r>
              <w:rPr>
                <w:rFonts w:ascii="Times New Roman" w:hAnsi="Times New Roman" w:eastAsia="Times New Roman"/>
                <w:b w:val="0"/>
                <w:sz w:val="22"/>
              </w:rPr>
              <w:t>+0.10 high−low</w:t>
            </w:r>
          </w:p>
        </w:tc>
        <w:tc>
          <w:tcPr>
            <w:tcW w:type="dxa" w:w="1872"/>
          </w:tcPr>
          <w:p>
            <w:r>
              <w:rPr>
                <w:rFonts w:ascii="Times New Roman" w:hAnsi="Times New Roman" w:eastAsia="Times New Roman"/>
                <w:b w:val="0"/>
                <w:sz w:val="22"/>
              </w:rPr>
              <w:t>34.55%</w:t>
            </w:r>
          </w:p>
        </w:tc>
        <w:tc>
          <w:tcPr>
            <w:tcW w:type="dxa" w:w="1872"/>
          </w:tcPr>
          <w:p>
            <w:r>
              <w:rPr>
                <w:rFonts w:ascii="Times New Roman" w:hAnsi="Times New Roman" w:eastAsia="Times New Roman"/>
                <w:b w:val="0"/>
                <w:sz w:val="22"/>
              </w:rPr>
              <w:t>[16.6, 51.8]</w:t>
            </w:r>
          </w:p>
        </w:tc>
        <w:tc>
          <w:tcPr>
            <w:tcW w:type="dxa" w:w="1872"/>
          </w:tcPr>
          <w:p>
            <w:r>
              <w:rPr>
                <w:rFonts w:ascii="Times New Roman" w:hAnsi="Times New Roman" w:eastAsia="Times New Roman"/>
                <w:b w:val="0"/>
                <w:sz w:val="22"/>
              </w:rPr>
              <w:t>PARTIAL</w:t>
            </w:r>
          </w:p>
        </w:tc>
      </w:tr>
    </w:tbl>
    <w:p>
      <w:pPr>
        <w:spacing w:line="480" w:lineRule="auto" w:before="0" w:after="0"/>
      </w:pPr>
    </w:p>
    <w:p>
      <w:pPr>
        <w:spacing w:line="480" w:lineRule="auto" w:before="0" w:after="0"/>
        <w:ind w:firstLine="720"/>
      </w:pPr>
      <w:r>
        <w:rPr>
          <w:rFonts w:ascii="Times New Roman" w:hAnsi="Times New Roman" w:eastAsia="Times New Roman"/>
          <w:sz w:val="24"/>
        </w:rPr>
        <w:t>Two parameter families show substantial sensitivity:</w:t>
      </w:r>
    </w:p>
    <w:p>
      <w:pPr>
        <w:pStyle w:val="ListBullet"/>
        <w:spacing w:line="480" w:lineRule="auto" w:before="0" w:after="0"/>
      </w:pPr>
      <w:r>
        <w:rPr>
          <w:rFonts w:ascii="Times New Roman" w:hAnsi="Times New Roman" w:eastAsia="Times New Roman"/>
          <w:sz w:val="24"/>
        </w:rPr>
        <w:t>Binarization threshold (range: 29.58% to 48.95%): a more lenient threshold (+0.25 SD) yields Standard SUCCESS classification, suggesting that the MHLW survey may operationalize harassment more inclusively than the +0.5 SD main threshold;</w:t>
      </w:r>
    </w:p>
    <w:p>
      <w:pPr>
        <w:pStyle w:val="ListBullet"/>
        <w:spacing w:line="480" w:lineRule="auto" w:before="0" w:after="0"/>
      </w:pPr>
      <w:r>
        <w:rPr>
          <w:rFonts w:ascii="Times New Roman" w:hAnsi="Times New Roman" w:eastAsia="Times New Roman"/>
          <w:sz w:val="24"/>
        </w:rPr>
        <w:t>Cluster proportion mass shift (range: 34.55% to 56.47%): underscores the centrality of the Tokiwa (2026, IEEE Access) cluster proportions to the conclusion (m8 limitation per pre-registration v2.0).</w:t>
      </w:r>
    </w:p>
    <w:p>
      <w:pPr>
        <w:spacing w:line="480" w:lineRule="auto" w:before="0" w:after="0"/>
        <w:ind w:firstLine="720"/>
      </w:pPr>
      <w:r>
        <w:rPr>
          <w:rFonts w:ascii="Times New Roman" w:hAnsi="Times New Roman" w:eastAsia="Times New Roman"/>
          <w:sz w:val="24"/>
        </w:rPr>
        <w:t>Two parameter families show negligible sensitivity:</w:t>
      </w:r>
    </w:p>
    <w:p>
      <w:pPr>
        <w:pStyle w:val="ListBullet"/>
        <w:spacing w:line="480" w:lineRule="auto" w:before="0" w:after="0"/>
      </w:pPr>
      <w:r>
        <w:rPr>
          <w:rFonts w:ascii="Times New Roman" w:hAnsi="Times New Roman" w:eastAsia="Times New Roman"/>
          <w:sz w:val="24"/>
        </w:rPr>
        <w:t>Soft-assignment τ (range: 45.04% to 45.24%; 0.20 percentage-point spread): cluster-membership-fuzziness is essentially irrelevant to the conclusion;</w:t>
      </w:r>
    </w:p>
    <w:p>
      <w:pPr>
        <w:pStyle w:val="ListBullet"/>
        <w:spacing w:line="480" w:lineRule="auto" w:before="0" w:after="0"/>
      </w:pPr>
      <w:r>
        <w:rPr>
          <w:rFonts w:ascii="Times New Roman" w:hAnsi="Times New Roman" w:eastAsia="Times New Roman"/>
          <w:sz w:val="24"/>
        </w:rPr>
        <w:t>Empirical Bayes shrinkage scale (range: 45.51% to 45.90%; 0.40 percentage-point spread): the empirical Bayes prior-pseudocount magnitude is negligible.</w:t>
      </w:r>
    </w:p>
    <w:p>
      <w:pPr>
        <w:spacing w:line="480" w:lineRule="auto" w:before="0" w:after="0"/>
        <w:ind w:firstLine="720"/>
      </w:pPr>
      <w:r>
        <w:rPr>
          <w:rFonts w:ascii="Times New Roman" w:hAnsi="Times New Roman" w:eastAsia="Times New Roman"/>
          <w:sz w:val="24"/>
        </w:rPr>
        <w:t>The two stable axes provide affirmative robustness evidence; the two sensitive axes circumscribe the assumptions on which the conclusion explicitly depends.</w:t>
      </w:r>
    </w:p>
    <w:p>
      <w:pPr>
        <w:spacing w:line="480" w:lineRule="auto" w:before="0" w:after="0"/>
        <w:jc w:val="center"/>
      </w:pPr>
      <w:r>
        <w:rPr>
          <w:rFonts w:ascii="Times New Roman" w:hAnsi="Times New Roman" w:eastAsia="Times New Roman"/>
          <w:b/>
          <w:sz w:val="24"/>
        </w:rPr>
        <w:t>Baseline comparison and H2 ordinal trend (Stage 4)</w:t>
      </w:r>
    </w:p>
    <w:p>
      <w:pPr>
        <w:spacing w:line="480" w:lineRule="auto" w:before="0" w:after="0"/>
        <w:ind w:firstLine="720"/>
      </w:pPr>
      <w:r>
        <w:rPr>
          <w:rFonts w:ascii="Times New Roman" w:hAnsi="Times New Roman" w:eastAsia="Times New Roman"/>
          <w:sz w:val="24"/>
        </w:rPr>
        <w:t>The pre-registered B0–B4 baseline ladder yielded the following MAPE_FY2016 estimates (Table 3).</w:t>
      </w:r>
    </w:p>
    <w:p>
      <w:pPr>
        <w:spacing w:line="480" w:lineRule="auto" w:before="0" w:after="0"/>
        <w:ind w:firstLine="720"/>
      </w:pPr>
      <w:r>
        <w:rPr>
          <w:rFonts w:ascii="Times New Roman" w:hAnsi="Times New Roman" w:eastAsia="Times New Roman"/>
          <w:b/>
          <w:sz w:val="24"/>
        </w:rPr>
        <w:t>Table 3.</w:t>
      </w:r>
      <w:r>
        <w:rPr>
          <w:rFonts w:ascii="Times New Roman" w:hAnsi="Times New Roman" w:eastAsia="Times New Roman"/>
          <w:sz w:val="24"/>
        </w:rPr>
        <w:t xml:space="preserve"> Baseline comparison for H2. B = 2,000 cell-stratified bootstrap. Note that B0 (uniform-MHLW-grand-mean prediction) trivially attains MAPE = 0 by construction and is included only as the lower-bound reference.</w:t>
      </w:r>
    </w:p>
    <w:tbl>
      <w:tblPr>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eastAsia="Times New Roman"/>
                <w:b/>
                <w:sz w:val="22"/>
              </w:rPr>
              <w:t>Baseline</w:t>
            </w:r>
          </w:p>
        </w:tc>
        <w:tc>
          <w:tcPr>
            <w:tcW w:type="dxa" w:w="2340"/>
          </w:tcPr>
          <w:p>
            <w:r>
              <w:rPr>
                <w:rFonts w:ascii="Times New Roman" w:hAnsi="Times New Roman" w:eastAsia="Times New Roman"/>
                <w:b/>
                <w:sz w:val="22"/>
              </w:rPr>
              <w:t>Description</w:t>
            </w:r>
          </w:p>
        </w:tc>
        <w:tc>
          <w:tcPr>
            <w:tcW w:type="dxa" w:w="2340"/>
          </w:tcPr>
          <w:p>
            <w:r>
              <w:rPr>
                <w:rFonts w:ascii="Times New Roman" w:hAnsi="Times New Roman" w:eastAsia="Times New Roman"/>
                <w:b/>
                <w:sz w:val="22"/>
              </w:rPr>
              <w:t>MAPE</w:t>
            </w:r>
          </w:p>
        </w:tc>
        <w:tc>
          <w:tcPr>
            <w:tcW w:type="dxa" w:w="2340"/>
          </w:tcPr>
          <w:p>
            <w:r>
              <w:rPr>
                <w:rFonts w:ascii="Times New Roman" w:hAnsi="Times New Roman" w:eastAsia="Times New Roman"/>
                <w:b/>
                <w:sz w:val="22"/>
              </w:rPr>
              <w:t>95% CI</w:t>
            </w:r>
          </w:p>
        </w:tc>
      </w:tr>
      <w:tr>
        <w:tc>
          <w:tcPr>
            <w:tcW w:type="dxa" w:w="2340"/>
          </w:tcPr>
          <w:p>
            <w:r>
              <w:rPr>
                <w:rFonts w:ascii="Times New Roman" w:hAnsi="Times New Roman" w:eastAsia="Times New Roman"/>
                <w:b w:val="0"/>
                <w:sz w:val="22"/>
              </w:rPr>
              <w:t>B0</w:t>
            </w:r>
          </w:p>
        </w:tc>
        <w:tc>
          <w:tcPr>
            <w:tcW w:type="dxa" w:w="2340"/>
          </w:tcPr>
          <w:p>
            <w:r>
              <w:rPr>
                <w:rFonts w:ascii="Times New Roman" w:hAnsi="Times New Roman" w:eastAsia="Times New Roman"/>
                <w:b w:val="0"/>
                <w:sz w:val="22"/>
              </w:rPr>
              <w:t>Uniform = MHLW grand mean</w:t>
            </w:r>
          </w:p>
        </w:tc>
        <w:tc>
          <w:tcPr>
            <w:tcW w:type="dxa" w:w="2340"/>
          </w:tcPr>
          <w:p>
            <w:r>
              <w:rPr>
                <w:rFonts w:ascii="Times New Roman" w:hAnsi="Times New Roman" w:eastAsia="Times New Roman"/>
                <w:b w:val="0"/>
                <w:sz w:val="22"/>
              </w:rPr>
              <w:t>0.00%</w:t>
            </w:r>
          </w:p>
        </w:tc>
        <w:tc>
          <w:tcPr>
            <w:tcW w:type="dxa" w:w="2340"/>
          </w:tcPr>
          <w:p>
            <w:r>
              <w:rPr>
                <w:rFonts w:ascii="Times New Roman" w:hAnsi="Times New Roman" w:eastAsia="Times New Roman"/>
                <w:b w:val="0"/>
                <w:sz w:val="22"/>
              </w:rPr>
              <w:t>[0.00, 0.00]</w:t>
            </w:r>
          </w:p>
        </w:tc>
      </w:tr>
      <w:tr>
        <w:tc>
          <w:tcPr>
            <w:tcW w:type="dxa" w:w="2340"/>
          </w:tcPr>
          <w:p>
            <w:r>
              <w:rPr>
                <w:rFonts w:ascii="Times New Roman" w:hAnsi="Times New Roman" w:eastAsia="Times New Roman"/>
                <w:b w:val="0"/>
                <w:sz w:val="22"/>
              </w:rPr>
              <w:t>B1</w:t>
            </w:r>
          </w:p>
        </w:tc>
        <w:tc>
          <w:tcPr>
            <w:tcW w:type="dxa" w:w="2340"/>
          </w:tcPr>
          <w:p>
            <w:r>
              <w:rPr>
                <w:rFonts w:ascii="Times New Roman" w:hAnsi="Times New Roman" w:eastAsia="Times New Roman"/>
                <w:b w:val="0"/>
                <w:sz w:val="22"/>
              </w:rPr>
              <w:t>Gender logistic</w:t>
            </w:r>
          </w:p>
        </w:tc>
        <w:tc>
          <w:tcPr>
            <w:tcW w:type="dxa" w:w="2340"/>
          </w:tcPr>
          <w:p>
            <w:r>
              <w:rPr>
                <w:rFonts w:ascii="Times New Roman" w:hAnsi="Times New Roman" w:eastAsia="Times New Roman"/>
                <w:b w:val="0"/>
                <w:sz w:val="22"/>
              </w:rPr>
              <w:t>46.02%</w:t>
            </w:r>
          </w:p>
        </w:tc>
        <w:tc>
          <w:tcPr>
            <w:tcW w:type="dxa" w:w="2340"/>
          </w:tcPr>
          <w:p>
            <w:r>
              <w:rPr>
                <w:rFonts w:ascii="Times New Roman" w:hAnsi="Times New Roman" w:eastAsia="Times New Roman"/>
                <w:b w:val="0"/>
                <w:sz w:val="22"/>
              </w:rPr>
              <w:t>[46.02, 46.02]</w:t>
            </w:r>
          </w:p>
        </w:tc>
      </w:tr>
      <w:tr>
        <w:tc>
          <w:tcPr>
            <w:tcW w:type="dxa" w:w="2340"/>
          </w:tcPr>
          <w:p>
            <w:r>
              <w:rPr>
                <w:rFonts w:ascii="Times New Roman" w:hAnsi="Times New Roman" w:eastAsia="Times New Roman"/>
                <w:b w:val="0"/>
                <w:sz w:val="22"/>
              </w:rPr>
              <w:t>B2</w:t>
            </w:r>
          </w:p>
        </w:tc>
        <w:tc>
          <w:tcPr>
            <w:tcW w:type="dxa" w:w="2340"/>
          </w:tcPr>
          <w:p>
            <w:r>
              <w:rPr>
                <w:rFonts w:ascii="Times New Roman" w:hAnsi="Times New Roman" w:eastAsia="Times New Roman"/>
                <w:b w:val="0"/>
                <w:sz w:val="22"/>
              </w:rPr>
              <w:t>HEXACO 6-domain logistic</w:t>
            </w:r>
          </w:p>
        </w:tc>
        <w:tc>
          <w:tcPr>
            <w:tcW w:type="dxa" w:w="2340"/>
          </w:tcPr>
          <w:p>
            <w:r>
              <w:rPr>
                <w:rFonts w:ascii="Times New Roman" w:hAnsi="Times New Roman" w:eastAsia="Times New Roman"/>
                <w:b w:val="0"/>
                <w:sz w:val="22"/>
              </w:rPr>
              <w:t>43.98%</w:t>
            </w:r>
          </w:p>
        </w:tc>
        <w:tc>
          <w:tcPr>
            <w:tcW w:type="dxa" w:w="2340"/>
          </w:tcPr>
          <w:p>
            <w:r>
              <w:rPr>
                <w:rFonts w:ascii="Times New Roman" w:hAnsi="Times New Roman" w:eastAsia="Times New Roman"/>
                <w:b w:val="0"/>
                <w:sz w:val="22"/>
              </w:rPr>
              <w:t>[40.33, 47.35]</w:t>
            </w:r>
          </w:p>
        </w:tc>
      </w:tr>
      <w:tr>
        <w:tc>
          <w:tcPr>
            <w:tcW w:type="dxa" w:w="2340"/>
          </w:tcPr>
          <w:p>
            <w:r>
              <w:rPr>
                <w:rFonts w:ascii="Times New Roman" w:hAnsi="Times New Roman" w:eastAsia="Times New Roman"/>
                <w:b w:val="0"/>
                <w:sz w:val="22"/>
              </w:rPr>
              <w:t>B3</w:t>
            </w:r>
          </w:p>
        </w:tc>
        <w:tc>
          <w:tcPr>
            <w:tcW w:type="dxa" w:w="2340"/>
          </w:tcPr>
          <w:p>
            <w:r>
              <w:rPr>
                <w:rFonts w:ascii="Times New Roman" w:hAnsi="Times New Roman" w:eastAsia="Times New Roman"/>
                <w:b w:val="0"/>
                <w:sz w:val="22"/>
              </w:rPr>
              <w:t>14-cell conditional</w:t>
            </w:r>
          </w:p>
        </w:tc>
        <w:tc>
          <w:tcPr>
            <w:tcW w:type="dxa" w:w="2340"/>
          </w:tcPr>
          <w:p>
            <w:r>
              <w:rPr>
                <w:rFonts w:ascii="Times New Roman" w:hAnsi="Times New Roman" w:eastAsia="Times New Roman"/>
                <w:b w:val="0"/>
                <w:sz w:val="22"/>
              </w:rPr>
              <w:t>46.34%</w:t>
            </w:r>
          </w:p>
        </w:tc>
        <w:tc>
          <w:tcPr>
            <w:tcW w:type="dxa" w:w="2340"/>
          </w:tcPr>
          <w:p>
            <w:r>
              <w:rPr>
                <w:rFonts w:ascii="Times New Roman" w:hAnsi="Times New Roman" w:eastAsia="Times New Roman"/>
                <w:b w:val="0"/>
                <w:sz w:val="22"/>
              </w:rPr>
              <w:t>[46.34, 46.34]</w:t>
            </w:r>
          </w:p>
        </w:tc>
      </w:tr>
      <w:tr>
        <w:tc>
          <w:tcPr>
            <w:tcW w:type="dxa" w:w="2340"/>
          </w:tcPr>
          <w:p>
            <w:r>
              <w:rPr>
                <w:rFonts w:ascii="Times New Roman" w:hAnsi="Times New Roman" w:eastAsia="Times New Roman"/>
                <w:b w:val="0"/>
                <w:sz w:val="22"/>
              </w:rPr>
              <w:t>B4</w:t>
            </w:r>
          </w:p>
        </w:tc>
        <w:tc>
          <w:tcPr>
            <w:tcW w:type="dxa" w:w="2340"/>
          </w:tcPr>
          <w:p>
            <w:r>
              <w:rPr>
                <w:rFonts w:ascii="Times New Roman" w:hAnsi="Times New Roman" w:eastAsia="Times New Roman"/>
                <w:b w:val="0"/>
                <w:sz w:val="22"/>
              </w:rPr>
              <w:t>Extended (age + age × cluster)</w:t>
            </w:r>
          </w:p>
        </w:tc>
        <w:tc>
          <w:tcPr>
            <w:tcW w:type="dxa" w:w="2340"/>
          </w:tcPr>
          <w:p>
            <w:r>
              <w:rPr>
                <w:rFonts w:ascii="Times New Roman" w:hAnsi="Times New Roman" w:eastAsia="Times New Roman"/>
                <w:b w:val="0"/>
                <w:sz w:val="22"/>
              </w:rPr>
              <w:t>47.04%</w:t>
            </w:r>
          </w:p>
        </w:tc>
        <w:tc>
          <w:tcPr>
            <w:tcW w:type="dxa" w:w="2340"/>
          </w:tcPr>
          <w:p>
            <w:r>
              <w:rPr>
                <w:rFonts w:ascii="Times New Roman" w:hAnsi="Times New Roman" w:eastAsia="Times New Roman"/>
                <w:b w:val="0"/>
                <w:sz w:val="22"/>
              </w:rPr>
              <w:t>[45.02, 49.05]</w:t>
            </w:r>
          </w:p>
        </w:tc>
      </w:tr>
    </w:tbl>
    <w:p>
      <w:pPr>
        <w:spacing w:line="480" w:lineRule="auto" w:before="0" w:after="0"/>
      </w:pPr>
    </w:p>
    <w:p>
      <w:pPr>
        <w:spacing w:line="480" w:lineRule="auto" w:before="0" w:after="0"/>
        <w:ind w:firstLine="720"/>
      </w:pPr>
      <w:r>
        <w:rPr>
          <w:rFonts w:ascii="Times New Roman" w:hAnsi="Times New Roman" w:eastAsia="Times New Roman"/>
          <w:sz w:val="24"/>
        </w:rPr>
        <w:t xml:space="preserve">The H2 hypothesis (B0 &gt; B1 &gt; B2 &gt; B3 &gt; B4 in MAPE, monotonic improvement) was tested via Bonferroni-Holm-corrected pairwise inequalities; </w:t>
      </w:r>
      <w:r>
        <w:rPr>
          <w:rFonts w:ascii="Times New Roman" w:hAnsi="Times New Roman" w:eastAsia="Times New Roman"/>
          <w:b/>
          <w:sz w:val="24"/>
        </w:rPr>
        <w:t>0 of 4 pairs were confirmed</w:t>
      </w:r>
      <w:r>
        <w:rPr>
          <w:rFonts w:ascii="Times New Roman" w:hAnsi="Times New Roman" w:eastAsia="Times New Roman"/>
          <w:sz w:val="24"/>
        </w:rPr>
        <w:t xml:space="preserve"> at one-sided α = 0.05. Page's L (1963) ordinal trend test produced p = 0.9757, far from significance.</w:t>
      </w:r>
    </w:p>
    <w:p>
      <w:pPr>
        <w:spacing w:line="480" w:lineRule="auto" w:before="0" w:after="0"/>
        <w:ind w:firstLine="720"/>
      </w:pPr>
      <w:r>
        <w:rPr>
          <w:rFonts w:ascii="Times New Roman" w:hAnsi="Times New Roman" w:eastAsia="Times New Roman"/>
          <w:sz w:val="24"/>
        </w:rPr>
        <w:t xml:space="preserve">The H2 decision is therefore </w:t>
      </w:r>
      <w:r>
        <w:rPr>
          <w:rFonts w:ascii="Times New Roman" w:hAnsi="Times New Roman" w:eastAsia="Times New Roman"/>
          <w:b/>
          <w:sz w:val="24"/>
        </w:rPr>
        <w:t>ambiguous_or_reversed</w:t>
      </w:r>
      <w:r>
        <w:rPr>
          <w:rFonts w:ascii="Times New Roman" w:hAnsi="Times New Roman" w:eastAsia="Times New Roman"/>
          <w:sz w:val="24"/>
        </w:rPr>
        <w:t xml:space="preserve">: the model sophistication ladder does not exhibit a monotonic improvement signature. Substantively, this indicates that the 14-cell conditional model (B3) does not dominate simpler alternatives (B1, B2) in terms of predictive accuracy. We interpret this as evidence that the 14-cell partition is </w:t>
      </w:r>
      <w:r>
        <w:rPr>
          <w:rFonts w:ascii="Times New Roman" w:hAnsi="Times New Roman" w:eastAsia="Times New Roman"/>
          <w:i/>
          <w:sz w:val="24"/>
        </w:rPr>
        <w:t>not over-fit</w:t>
      </w:r>
      <w:r>
        <w:rPr>
          <w:rFonts w:ascii="Times New Roman" w:hAnsi="Times New Roman" w:eastAsia="Times New Roman"/>
          <w:sz w:val="24"/>
        </w:rPr>
        <w:t xml:space="preserve"> to the training subsample (a moderately favorable finding), but the benefit of the additional cluster × gender stratification is not detectable at this sample size with the present binarization.</w:t>
      </w:r>
    </w:p>
    <w:p>
      <w:pPr>
        <w:spacing w:line="480" w:lineRule="auto" w:before="0" w:after="0"/>
        <w:jc w:val="center"/>
      </w:pPr>
      <w:r>
        <w:rPr>
          <w:rFonts w:ascii="Times New Roman" w:hAnsi="Times New Roman" w:eastAsia="Times New Roman"/>
          <w:b/>
          <w:sz w:val="24"/>
        </w:rPr>
        <w:t>Common-method-variance diagnostic (Stage 5)</w:t>
      </w:r>
    </w:p>
    <w:p>
      <w:pPr>
        <w:spacing w:line="480" w:lineRule="auto" w:before="0" w:after="0"/>
        <w:ind w:firstLine="720"/>
      </w:pPr>
      <w:r>
        <w:rPr>
          <w:rFonts w:ascii="Times New Roman" w:hAnsi="Times New Roman" w:eastAsia="Times New Roman"/>
          <w:sz w:val="24"/>
        </w:rPr>
        <w:t>Harman's single-factor test on 11 standardized variables (6 HEXACO + 3 Dark Triad + 2 harassment continuous scales; N = 353 used after listwise deletion) yielded:</w:t>
      </w:r>
    </w:p>
    <w:p>
      <w:pPr>
        <w:pStyle w:val="ListBullet"/>
        <w:spacing w:line="480" w:lineRule="auto" w:before="0" w:after="0"/>
      </w:pPr>
      <w:r>
        <w:rPr>
          <w:rFonts w:ascii="Times New Roman" w:hAnsi="Times New Roman" w:eastAsia="Times New Roman"/>
          <w:sz w:val="24"/>
        </w:rPr>
        <w:t>First-factor variance: 24.08% (well below the 50% concern threshold);</w:t>
      </w:r>
    </w:p>
    <w:p>
      <w:pPr>
        <w:pStyle w:val="ListBullet"/>
        <w:spacing w:line="480" w:lineRule="auto" w:before="0" w:after="0"/>
      </w:pPr>
      <w:r>
        <w:rPr>
          <w:rFonts w:ascii="Times New Roman" w:hAnsi="Times New Roman" w:eastAsia="Times New Roman"/>
          <w:sz w:val="24"/>
        </w:rPr>
        <w:t>CMV concern flag: False;</w:t>
      </w:r>
    </w:p>
    <w:p>
      <w:pPr>
        <w:pStyle w:val="ListBullet"/>
        <w:spacing w:line="480" w:lineRule="auto" w:before="0" w:after="0"/>
      </w:pPr>
      <w:r>
        <w:rPr>
          <w:rFonts w:ascii="Times New Roman" w:hAnsi="Times New Roman" w:eastAsia="Times New Roman"/>
          <w:sz w:val="24"/>
        </w:rPr>
        <w:t>Marker-variable correction (Lindell &amp; Whitney, 2001) using HEXACO Openness as theoretical marker:</w:t>
      </w:r>
    </w:p>
    <w:p>
      <w:pPr>
        <w:spacing w:line="480" w:lineRule="auto" w:before="0" w:after="0"/>
        <w:ind w:firstLine="720"/>
      </w:pPr>
      <w:r>
        <w:rPr>
          <w:rFonts w:ascii="Times New Roman" w:hAnsi="Times New Roman" w:eastAsia="Times New Roman"/>
          <w:sz w:val="24"/>
        </w:rPr>
        <w:t>- r(O, power harassment) = +0.068 (CMV estimate); - r(O, gender harassment) = −0.181; - Honesty-Humility–power harassment association: r_raw = −0.265 → r_adjusted = −0.356 (slightly strengthened after CMV correction); - Psychopathy–power harassment association: r_raw = +0.391 → r_adjusted = +0.347.</w:t>
      </w:r>
    </w:p>
    <w:p>
      <w:pPr>
        <w:spacing w:line="480" w:lineRule="auto" w:before="0" w:after="0"/>
        <w:ind w:firstLine="720"/>
      </w:pPr>
      <w:r>
        <w:rPr>
          <w:rFonts w:ascii="Times New Roman" w:hAnsi="Times New Roman" w:eastAsia="Times New Roman"/>
          <w:sz w:val="24"/>
        </w:rPr>
        <w:t>Common-method bias does not pose substantial concern for the present data, and the post-correction associations remain in the expected directions.</w:t>
      </w:r>
    </w:p>
    <w:p>
      <w:pPr>
        <w:spacing w:line="480" w:lineRule="auto" w:before="0" w:after="0"/>
        <w:jc w:val="center"/>
      </w:pPr>
      <w:r>
        <w:rPr>
          <w:rFonts w:ascii="Times New Roman" w:hAnsi="Times New Roman" w:eastAsia="Times New Roman"/>
          <w:b/>
          <w:sz w:val="24"/>
        </w:rPr>
        <w:t>Counterfactual contrasts and H7 IUT (Stage 7)</w:t>
      </w:r>
    </w:p>
    <w:p>
      <w:pPr>
        <w:spacing w:line="480" w:lineRule="auto" w:before="0" w:after="0"/>
        <w:ind w:firstLine="720"/>
      </w:pPr>
      <w:r>
        <w:rPr>
          <w:rFonts w:ascii="Times New Roman" w:hAnsi="Times New Roman" w:eastAsia="Times New Roman"/>
          <w:sz w:val="24"/>
        </w:rPr>
        <w:t>The three pre-registered counterfactual interventions produced the following ΔP_x estimates (Table 4).</w:t>
      </w:r>
    </w:p>
    <w:p>
      <w:pPr>
        <w:spacing w:line="480" w:lineRule="auto" w:before="0" w:after="0"/>
        <w:ind w:firstLine="720"/>
      </w:pPr>
      <w:r>
        <w:rPr>
          <w:rFonts w:ascii="Times New Roman" w:hAnsi="Times New Roman" w:eastAsia="Times New Roman"/>
          <w:b/>
          <w:sz w:val="24"/>
        </w:rPr>
        <w:t>Table 4.</w:t>
      </w:r>
      <w:r>
        <w:rPr>
          <w:rFonts w:ascii="Times New Roman" w:hAnsi="Times New Roman" w:eastAsia="Times New Roman"/>
          <w:sz w:val="24"/>
        </w:rPr>
        <w:t xml:space="preserve"> Counterfactual ΔP_x = (P̂_counterfactual − P̂_baseline) at the national level. B = 2,000 cell-stratified bootstrap. Positive ΔP indicates </w:t>
      </w:r>
      <w:r>
        <w:rPr>
          <w:rFonts w:ascii="Times New Roman" w:hAnsi="Times New Roman" w:eastAsia="Times New Roman"/>
          <w:i/>
          <w:sz w:val="24"/>
        </w:rPr>
        <w:t>reduction</w:t>
      </w:r>
      <w:r>
        <w:rPr>
          <w:rFonts w:ascii="Times New Roman" w:hAnsi="Times New Roman" w:eastAsia="Times New Roman"/>
          <w:sz w:val="24"/>
        </w:rPr>
        <w:t xml:space="preserve"> in prevalence (per pre-registration v2.0 sign convention).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sz w:val="22"/>
              </w:rPr>
              <w:t>Intervention</w:t>
            </w:r>
          </w:p>
        </w:tc>
        <w:tc>
          <w:tcPr>
            <w:tcW w:type="dxa" w:w="1872"/>
          </w:tcPr>
          <w:p>
            <w:r>
              <w:rPr>
                <w:rFonts w:ascii="Times New Roman" w:hAnsi="Times New Roman" w:eastAsia="Times New Roman"/>
                <w:b/>
                <w:sz w:val="22"/>
              </w:rPr>
              <w:t>Operationalization</w:t>
            </w:r>
          </w:p>
        </w:tc>
        <w:tc>
          <w:tcPr>
            <w:tcW w:type="dxa" w:w="1872"/>
          </w:tcPr>
          <w:p>
            <w:r>
              <w:rPr>
                <w:rFonts w:ascii="Times New Roman" w:hAnsi="Times New Roman" w:eastAsia="Times New Roman"/>
                <w:b/>
                <w:sz w:val="22"/>
              </w:rPr>
              <w:t>ΔP point</w:t>
            </w:r>
          </w:p>
        </w:tc>
        <w:tc>
          <w:tcPr>
            <w:tcW w:type="dxa" w:w="1872"/>
          </w:tcPr>
          <w:p>
            <w:r>
              <w:rPr>
                <w:rFonts w:ascii="Times New Roman" w:hAnsi="Times New Roman" w:eastAsia="Times New Roman"/>
                <w:b/>
                <w:sz w:val="22"/>
              </w:rPr>
              <w:t>95% CI</w:t>
            </w:r>
          </w:p>
        </w:tc>
        <w:tc>
          <w:tcPr>
            <w:tcW w:type="dxa" w:w="1872"/>
          </w:tcPr>
          <w:p>
            <w:r>
              <w:rPr>
                <w:rFonts w:ascii="Times New Roman" w:hAnsi="Times New Roman" w:eastAsia="Times New Roman"/>
                <w:b/>
                <w:sz w:val="22"/>
              </w:rPr>
              <w:t>Decision (CI excludes 0?)</w:t>
            </w:r>
          </w:p>
        </w:tc>
      </w:tr>
      <w:tr>
        <w:tc>
          <w:tcPr>
            <w:tcW w:type="dxa" w:w="1872"/>
          </w:tcPr>
          <w:p>
            <w:r>
              <w:rPr>
                <w:rFonts w:ascii="Times New Roman" w:hAnsi="Times New Roman" w:eastAsia="Times New Roman"/>
                <w:b w:val="0"/>
                <w:sz w:val="22"/>
              </w:rPr>
              <w:t>Counterfactual A</w:t>
            </w:r>
          </w:p>
        </w:tc>
        <w:tc>
          <w:tcPr>
            <w:tcW w:type="dxa" w:w="1872"/>
          </w:tcPr>
          <w:p>
            <w:r>
              <w:rPr>
                <w:rFonts w:ascii="Times New Roman" w:hAnsi="Times New Roman" w:eastAsia="Times New Roman"/>
                <w:b w:val="0"/>
                <w:sz w:val="22"/>
              </w:rPr>
              <w:t>do(HH ← HH + 0.3σ; A ← A + 0.3σ; E ← E + 0.3σ)</w:t>
            </w:r>
          </w:p>
        </w:tc>
        <w:tc>
          <w:tcPr>
            <w:tcW w:type="dxa" w:w="1872"/>
          </w:tcPr>
          <w:p>
            <w:r>
              <w:rPr>
                <w:rFonts w:ascii="Times New Roman" w:hAnsi="Times New Roman" w:eastAsia="Times New Roman"/>
                <w:b w:val="0"/>
                <w:sz w:val="22"/>
              </w:rPr>
              <w:t>−0.0061</w:t>
            </w:r>
          </w:p>
        </w:tc>
        <w:tc>
          <w:tcPr>
            <w:tcW w:type="dxa" w:w="1872"/>
          </w:tcPr>
          <w:p>
            <w:r>
              <w:rPr>
                <w:rFonts w:ascii="Times New Roman" w:hAnsi="Times New Roman" w:eastAsia="Times New Roman"/>
                <w:b w:val="0"/>
                <w:sz w:val="22"/>
              </w:rPr>
              <w:t>[−0.0207, +0.0062]</w:t>
            </w:r>
          </w:p>
        </w:tc>
        <w:tc>
          <w:tcPr>
            <w:tcW w:type="dxa" w:w="1872"/>
          </w:tcPr>
          <w:p>
            <w:r>
              <w:rPr>
                <w:rFonts w:ascii="Times New Roman" w:hAnsi="Times New Roman" w:eastAsia="Times New Roman"/>
                <w:b w:val="0"/>
                <w:sz w:val="22"/>
              </w:rPr>
              <w:t>No (null)</w:t>
            </w:r>
          </w:p>
        </w:tc>
      </w:tr>
      <w:tr>
        <w:tc>
          <w:tcPr>
            <w:tcW w:type="dxa" w:w="1872"/>
          </w:tcPr>
          <w:p>
            <w:r>
              <w:rPr>
                <w:rFonts w:ascii="Times New Roman" w:hAnsi="Times New Roman" w:eastAsia="Times New Roman"/>
                <w:b w:val="0"/>
                <w:sz w:val="22"/>
              </w:rPr>
              <w:t>Counterfactual B</w:t>
            </w:r>
          </w:p>
        </w:tc>
        <w:tc>
          <w:tcPr>
            <w:tcW w:type="dxa" w:w="1872"/>
          </w:tcPr>
          <w:p>
            <w:r>
              <w:rPr>
                <w:rFonts w:ascii="Times New Roman" w:hAnsi="Times New Roman" w:eastAsia="Times New Roman"/>
                <w:b w:val="0"/>
                <w:sz w:val="22"/>
              </w:rPr>
              <w:t>do(HH := HH + 0.40σ_HH) for individuals whose baseline cluster ∈ {0, 4, 6}</w:t>
            </w:r>
          </w:p>
        </w:tc>
        <w:tc>
          <w:tcPr>
            <w:tcW w:type="dxa" w:w="1872"/>
          </w:tcPr>
          <w:p>
            <w:r>
              <w:rPr>
                <w:rFonts w:ascii="Times New Roman" w:hAnsi="Times New Roman" w:eastAsia="Times New Roman"/>
                <w:b w:val="0"/>
                <w:sz w:val="22"/>
              </w:rPr>
              <w:t>−0.0059</w:t>
            </w:r>
          </w:p>
        </w:tc>
        <w:tc>
          <w:tcPr>
            <w:tcW w:type="dxa" w:w="1872"/>
          </w:tcPr>
          <w:p>
            <w:r>
              <w:rPr>
                <w:rFonts w:ascii="Times New Roman" w:hAnsi="Times New Roman" w:eastAsia="Times New Roman"/>
                <w:b w:val="0"/>
                <w:sz w:val="22"/>
              </w:rPr>
              <w:t>[−0.0207, +0.0066]</w:t>
            </w:r>
          </w:p>
        </w:tc>
        <w:tc>
          <w:tcPr>
            <w:tcW w:type="dxa" w:w="1872"/>
          </w:tcPr>
          <w:p>
            <w:r>
              <w:rPr>
                <w:rFonts w:ascii="Times New Roman" w:hAnsi="Times New Roman" w:eastAsia="Times New Roman"/>
                <w:b w:val="0"/>
                <w:sz w:val="22"/>
              </w:rPr>
              <w:t>No (null)</w:t>
            </w:r>
          </w:p>
        </w:tc>
      </w:tr>
      <w:tr>
        <w:tc>
          <w:tcPr>
            <w:tcW w:type="dxa" w:w="1872"/>
          </w:tcPr>
          <w:p>
            <w:r>
              <w:rPr>
                <w:rFonts w:ascii="Times New Roman" w:hAnsi="Times New Roman" w:eastAsia="Times New Roman"/>
                <w:b w:val="0"/>
                <w:sz w:val="22"/>
              </w:rPr>
              <w:t>Counterfactual C</w:t>
            </w:r>
          </w:p>
        </w:tc>
        <w:tc>
          <w:tcPr>
            <w:tcW w:type="dxa" w:w="1872"/>
          </w:tcPr>
          <w:p>
            <w:r>
              <w:rPr>
                <w:rFonts w:ascii="Times New Roman" w:hAnsi="Times New Roman" w:eastAsia="Times New Roman"/>
                <w:b w:val="0"/>
                <w:sz w:val="22"/>
              </w:rPr>
              <w:t>do(P_{c, x} ← 0.80 × P_{c, x})</w:t>
            </w:r>
          </w:p>
        </w:tc>
        <w:tc>
          <w:tcPr>
            <w:tcW w:type="dxa" w:w="1872"/>
          </w:tcPr>
          <w:p>
            <w:r>
              <w:rPr>
                <w:rFonts w:ascii="Times New Roman" w:hAnsi="Times New Roman" w:eastAsia="Times New Roman"/>
                <w:b w:val="0"/>
                <w:sz w:val="22"/>
              </w:rPr>
              <w:t>+0.0349</w:t>
            </w:r>
          </w:p>
        </w:tc>
        <w:tc>
          <w:tcPr>
            <w:tcW w:type="dxa" w:w="1872"/>
          </w:tcPr>
          <w:p>
            <w:r>
              <w:rPr>
                <w:rFonts w:ascii="Times New Roman" w:hAnsi="Times New Roman" w:eastAsia="Times New Roman"/>
                <w:b w:val="0"/>
                <w:sz w:val="22"/>
              </w:rPr>
              <w:t>[+0.0264, +0.0435]</w:t>
            </w:r>
          </w:p>
        </w:tc>
        <w:tc>
          <w:tcPr>
            <w:tcW w:type="dxa" w:w="1872"/>
          </w:tcPr>
          <w:p>
            <w:r>
              <w:rPr>
                <w:rFonts w:ascii="Times New Roman" w:hAnsi="Times New Roman" w:eastAsia="Times New Roman"/>
                <w:b w:val="0"/>
                <w:sz w:val="22"/>
              </w:rPr>
              <w:t>Yes (positive)</w:t>
            </w:r>
          </w:p>
        </w:tc>
      </w:tr>
    </w:tbl>
    <w:p>
      <w:pPr>
        <w:spacing w:line="480" w:lineRule="auto" w:before="0" w:after="0"/>
      </w:pPr>
    </w:p>
    <w:p>
      <w:pPr>
        <w:spacing w:line="480" w:lineRule="auto" w:before="0" w:after="0"/>
        <w:ind w:firstLine="720"/>
      </w:pPr>
      <w:r>
        <w:rPr>
          <w:rFonts w:ascii="Times New Roman" w:hAnsi="Times New Roman" w:eastAsia="Times New Roman"/>
          <w:sz w:val="24"/>
        </w:rPr>
        <w:t xml:space="preserve">The intersection-union test (Berger &amp; Hsu, 1996) produced one-sided 95% lower bounds L_BA = −0.0011 and L_BC = −0.0544. Because point ΔP_B = −0.0059 is less than point ΔP_C = +0.0349, the m7 priority-1 condition is satisfied and H7 is classified as </w:t>
      </w:r>
      <w:r>
        <w:rPr>
          <w:rFonts w:ascii="Times New Roman" w:hAnsi="Times New Roman" w:eastAsia="Times New Roman"/>
          <w:b/>
          <w:sz w:val="24"/>
        </w:rPr>
        <w:t>REVERSAL</w:t>
      </w:r>
      <w:r>
        <w:rPr>
          <w:rFonts w:ascii="Times New Roman" w:hAnsi="Times New Roman" w:eastAsia="Times New Roman"/>
          <w:sz w:val="24"/>
        </w:rPr>
        <w:t xml:space="preserve"> (consistent with L_BC &lt; 0 in the CI-based cascade; L_BA also lies just below zero, ruling out the CONFIRMED branch).</w:t>
      </w:r>
    </w:p>
    <w:p>
      <w:pPr>
        <w:spacing w:line="480" w:lineRule="auto" w:before="0" w:after="0"/>
        <w:ind w:firstLine="720"/>
      </w:pPr>
      <w:r>
        <w:rPr>
          <w:rFonts w:ascii="Times New Roman" w:hAnsi="Times New Roman" w:eastAsia="Times New Roman"/>
          <w:sz w:val="24"/>
        </w:rPr>
        <w:t>Substantively, this means that the cell-level structural intervention (Counterfactual C) outperforms both the universal personality intervention (Counterfactual A) and the targeted personality intervention on the low-prevalence subgroup (Counterfactual B) by a large margin. Numerically, |ΔP_C| / |ΔP_A| ≈ 5.7.</w:t>
      </w:r>
    </w:p>
    <w:p>
      <w:pPr>
        <w:spacing w:line="480" w:lineRule="auto" w:before="0" w:after="0"/>
        <w:ind w:firstLine="720"/>
      </w:pPr>
      <w:r>
        <w:rPr>
          <w:rFonts w:ascii="Times New Roman" w:hAnsi="Times New Roman" w:eastAsia="Times New Roman"/>
          <w:b/>
          <w:sz w:val="24"/>
        </w:rPr>
        <w:t>Positivity diagnostic.</w:t>
      </w:r>
      <w:r>
        <w:rPr>
          <w:rFonts w:ascii="Times New Roman" w:hAnsi="Times New Roman" w:eastAsia="Times New Roman"/>
          <w:sz w:val="24"/>
        </w:rPr>
        <w:t xml:space="preserve"> Counterfactual A and Counterfactual C trivially preserve positivity (ρ ≡ 1 by construction; per Methods Clarification m5). Counterfactual B's cell positivity ratio ρ_{c, B} was 44.5% flagged (i.e., 44.5% of population weight in cells where the post-intervention expected count is &lt; 10% of observed), triggering the m5 downgrade rule (flagged_weight ≥ 20%). We therefore interpret Counterfactual B as </w:t>
      </w:r>
      <w:r>
        <w:rPr>
          <w:rFonts w:ascii="Times New Roman" w:hAnsi="Times New Roman" w:eastAsia="Times New Roman"/>
          <w:b/>
          <w:sz w:val="24"/>
        </w:rPr>
        <w:t>exploratory</w:t>
      </w:r>
      <w:r>
        <w:rPr>
          <w:rFonts w:ascii="Times New Roman" w:hAnsi="Times New Roman" w:eastAsia="Times New Roman"/>
          <w:sz w:val="24"/>
        </w:rPr>
        <w:t xml:space="preserve"> rather than confirmatory; the IUT reading is unaffected (ΔP_B remains null), but conclusions about B's null finding cannot be made with the same confidence as A.</w:t>
      </w:r>
    </w:p>
    <w:p>
      <w:pPr>
        <w:spacing w:line="480" w:lineRule="auto" w:before="0" w:after="0"/>
        <w:jc w:val="center"/>
      </w:pPr>
      <w:r>
        <w:rPr>
          <w:rFonts w:ascii="Times New Roman" w:hAnsi="Times New Roman" w:eastAsia="Times New Roman"/>
          <w:b/>
          <w:sz w:val="24"/>
        </w:rPr>
        <w:t>Transportability sensitivity (Stage 8)</w:t>
      </w:r>
    </w:p>
    <w:p>
      <w:pPr>
        <w:spacing w:line="480" w:lineRule="auto" w:before="0" w:after="0"/>
        <w:ind w:firstLine="720"/>
      </w:pPr>
      <w:r>
        <w:rPr>
          <w:rFonts w:ascii="Times New Roman" w:hAnsi="Times New Roman" w:eastAsia="Times New Roman"/>
          <w:sz w:val="24"/>
        </w:rPr>
        <w:t>Per the v2.0 master Section 5.8 cultural-attenuation sweep, all three ΔP_x bootstrap distributions were multiplied by transportability factor F ∈ {0.3, 0.5, 0.7, 1.0}, and the H7 IUT was re-classified per factor (Table 5).</w:t>
      </w:r>
    </w:p>
    <w:p>
      <w:pPr>
        <w:spacing w:line="480" w:lineRule="auto" w:before="0" w:after="0"/>
        <w:ind w:firstLine="720"/>
      </w:pPr>
      <w:r>
        <w:rPr>
          <w:rFonts w:ascii="Times New Roman" w:hAnsi="Times New Roman" w:eastAsia="Times New Roman"/>
          <w:b/>
          <w:sz w:val="24"/>
        </w:rPr>
        <w:t>Table 5.</w:t>
      </w:r>
      <w:r>
        <w:rPr>
          <w:rFonts w:ascii="Times New Roman" w:hAnsi="Times New Roman" w:eastAsia="Times New Roman"/>
          <w:sz w:val="24"/>
        </w:rPr>
        <w:t xml:space="preserve"> H7 classification under cultural attenuation factors. Each row uses the same H7 IUT procedure on attenuated bootstrap distributions.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sz w:val="22"/>
              </w:rPr>
              <w:t>Factor F</w:t>
            </w:r>
          </w:p>
        </w:tc>
        <w:tc>
          <w:tcPr>
            <w:tcW w:type="dxa" w:w="1872"/>
          </w:tcPr>
          <w:p>
            <w:r>
              <w:rPr>
                <w:rFonts w:ascii="Times New Roman" w:hAnsi="Times New Roman" w:eastAsia="Times New Roman"/>
                <w:b/>
                <w:sz w:val="22"/>
              </w:rPr>
              <w:t>Anchor</w:t>
            </w:r>
          </w:p>
        </w:tc>
        <w:tc>
          <w:tcPr>
            <w:tcW w:type="dxa" w:w="1872"/>
          </w:tcPr>
          <w:p>
            <w:r>
              <w:rPr>
                <w:rFonts w:ascii="Times New Roman" w:hAnsi="Times New Roman" w:eastAsia="Times New Roman"/>
                <w:b/>
                <w:sz w:val="22"/>
              </w:rPr>
              <w:t>ΔP_A (attenuated)</w:t>
            </w:r>
          </w:p>
        </w:tc>
        <w:tc>
          <w:tcPr>
            <w:tcW w:type="dxa" w:w="1872"/>
          </w:tcPr>
          <w:p>
            <w:r>
              <w:rPr>
                <w:rFonts w:ascii="Times New Roman" w:hAnsi="Times New Roman" w:eastAsia="Times New Roman"/>
                <w:b/>
                <w:sz w:val="22"/>
              </w:rPr>
              <w:t>ΔP_C (attenuated)</w:t>
            </w:r>
          </w:p>
        </w:tc>
        <w:tc>
          <w:tcPr>
            <w:tcW w:type="dxa" w:w="1872"/>
          </w:tcPr>
          <w:p>
            <w:r>
              <w:rPr>
                <w:rFonts w:ascii="Times New Roman" w:hAnsi="Times New Roman" w:eastAsia="Times New Roman"/>
                <w:b/>
                <w:sz w:val="22"/>
              </w:rPr>
              <w:t>H7</w:t>
            </w:r>
          </w:p>
        </w:tc>
      </w:tr>
      <w:tr>
        <w:tc>
          <w:tcPr>
            <w:tcW w:type="dxa" w:w="1872"/>
          </w:tcPr>
          <w:p>
            <w:r>
              <w:rPr>
                <w:rFonts w:ascii="Times New Roman" w:hAnsi="Times New Roman" w:eastAsia="Times New Roman"/>
                <w:b w:val="0"/>
                <w:sz w:val="22"/>
              </w:rPr>
              <w:t>0.3</w:t>
            </w:r>
          </w:p>
        </w:tc>
        <w:tc>
          <w:tcPr>
            <w:tcW w:type="dxa" w:w="1872"/>
          </w:tcPr>
          <w:p>
            <w:r>
              <w:rPr>
                <w:rFonts w:ascii="Times New Roman" w:hAnsi="Times New Roman" w:eastAsia="Times New Roman"/>
                <w:b w:val="0"/>
                <w:sz w:val="22"/>
              </w:rPr>
              <w:t>Conservative cross-cultural worst case</w:t>
            </w:r>
          </w:p>
        </w:tc>
        <w:tc>
          <w:tcPr>
            <w:tcW w:type="dxa" w:w="1872"/>
          </w:tcPr>
          <w:p>
            <w:r>
              <w:rPr>
                <w:rFonts w:ascii="Times New Roman" w:hAnsi="Times New Roman" w:eastAsia="Times New Roman"/>
                <w:b w:val="0"/>
                <w:sz w:val="22"/>
              </w:rPr>
              <w:t>−0.0018</w:t>
            </w:r>
          </w:p>
        </w:tc>
        <w:tc>
          <w:tcPr>
            <w:tcW w:type="dxa" w:w="1872"/>
          </w:tcPr>
          <w:p>
            <w:r>
              <w:rPr>
                <w:rFonts w:ascii="Times New Roman" w:hAnsi="Times New Roman" w:eastAsia="Times New Roman"/>
                <w:b w:val="0"/>
                <w:sz w:val="22"/>
              </w:rPr>
              <w:t>+0.0105</w:t>
            </w:r>
          </w:p>
        </w:tc>
        <w:tc>
          <w:tcPr>
            <w:tcW w:type="dxa" w:w="1872"/>
          </w:tcPr>
          <w:p>
            <w:r>
              <w:rPr>
                <w:rFonts w:ascii="Times New Roman" w:hAnsi="Times New Roman" w:eastAsia="Times New Roman"/>
                <w:b w:val="0"/>
                <w:sz w:val="22"/>
              </w:rPr>
              <w:t>REVERSAL</w:t>
            </w:r>
          </w:p>
        </w:tc>
      </w:tr>
      <w:tr>
        <w:tc>
          <w:tcPr>
            <w:tcW w:type="dxa" w:w="1872"/>
          </w:tcPr>
          <w:p>
            <w:r>
              <w:rPr>
                <w:rFonts w:ascii="Times New Roman" w:hAnsi="Times New Roman" w:eastAsia="Times New Roman"/>
                <w:b w:val="0"/>
                <w:sz w:val="22"/>
              </w:rPr>
              <w:t>0.5</w:t>
            </w:r>
          </w:p>
        </w:tc>
        <w:tc>
          <w:tcPr>
            <w:tcW w:type="dxa" w:w="1872"/>
          </w:tcPr>
          <w:p>
            <w:r>
              <w:rPr>
                <w:rFonts w:ascii="Times New Roman" w:hAnsi="Times New Roman" w:eastAsia="Times New Roman"/>
                <w:b w:val="0"/>
                <w:sz w:val="22"/>
              </w:rPr>
              <w:t>Nielsen et al., 2017 expected</w:t>
            </w:r>
          </w:p>
        </w:tc>
        <w:tc>
          <w:tcPr>
            <w:tcW w:type="dxa" w:w="1872"/>
          </w:tcPr>
          <w:p>
            <w:r>
              <w:rPr>
                <w:rFonts w:ascii="Times New Roman" w:hAnsi="Times New Roman" w:eastAsia="Times New Roman"/>
                <w:b w:val="0"/>
                <w:sz w:val="22"/>
              </w:rPr>
              <w:t>−0.0031</w:t>
            </w:r>
          </w:p>
        </w:tc>
        <w:tc>
          <w:tcPr>
            <w:tcW w:type="dxa" w:w="1872"/>
          </w:tcPr>
          <w:p>
            <w:r>
              <w:rPr>
                <w:rFonts w:ascii="Times New Roman" w:hAnsi="Times New Roman" w:eastAsia="Times New Roman"/>
                <w:b w:val="0"/>
                <w:sz w:val="22"/>
              </w:rPr>
              <w:t>+0.0174</w:t>
            </w:r>
          </w:p>
        </w:tc>
        <w:tc>
          <w:tcPr>
            <w:tcW w:type="dxa" w:w="1872"/>
          </w:tcPr>
          <w:p>
            <w:r>
              <w:rPr>
                <w:rFonts w:ascii="Times New Roman" w:hAnsi="Times New Roman" w:eastAsia="Times New Roman"/>
                <w:b w:val="0"/>
                <w:sz w:val="22"/>
              </w:rPr>
              <w:t>REVERSAL</w:t>
            </w:r>
          </w:p>
        </w:tc>
      </w:tr>
      <w:tr>
        <w:tc>
          <w:tcPr>
            <w:tcW w:type="dxa" w:w="1872"/>
          </w:tcPr>
          <w:p>
            <w:r>
              <w:rPr>
                <w:rFonts w:ascii="Times New Roman" w:hAnsi="Times New Roman" w:eastAsia="Times New Roman"/>
                <w:b w:val="0"/>
                <w:sz w:val="22"/>
              </w:rPr>
              <w:t>0.7</w:t>
            </w:r>
          </w:p>
        </w:tc>
        <w:tc>
          <w:tcPr>
            <w:tcW w:type="dxa" w:w="1872"/>
          </w:tcPr>
          <w:p>
            <w:r>
              <w:rPr>
                <w:rFonts w:ascii="Times New Roman" w:hAnsi="Times New Roman" w:eastAsia="Times New Roman"/>
                <w:b w:val="0"/>
                <w:sz w:val="22"/>
              </w:rPr>
              <w:t>Mild attenuation</w:t>
            </w:r>
          </w:p>
        </w:tc>
        <w:tc>
          <w:tcPr>
            <w:tcW w:type="dxa" w:w="1872"/>
          </w:tcPr>
          <w:p>
            <w:r>
              <w:rPr>
                <w:rFonts w:ascii="Times New Roman" w:hAnsi="Times New Roman" w:eastAsia="Times New Roman"/>
                <w:b w:val="0"/>
                <w:sz w:val="22"/>
              </w:rPr>
              <w:t>−0.0043</w:t>
            </w:r>
          </w:p>
        </w:tc>
        <w:tc>
          <w:tcPr>
            <w:tcW w:type="dxa" w:w="1872"/>
          </w:tcPr>
          <w:p>
            <w:r>
              <w:rPr>
                <w:rFonts w:ascii="Times New Roman" w:hAnsi="Times New Roman" w:eastAsia="Times New Roman"/>
                <w:b w:val="0"/>
                <w:sz w:val="22"/>
              </w:rPr>
              <w:t>+0.0244</w:t>
            </w:r>
          </w:p>
        </w:tc>
        <w:tc>
          <w:tcPr>
            <w:tcW w:type="dxa" w:w="1872"/>
          </w:tcPr>
          <w:p>
            <w:r>
              <w:rPr>
                <w:rFonts w:ascii="Times New Roman" w:hAnsi="Times New Roman" w:eastAsia="Times New Roman"/>
                <w:b w:val="0"/>
                <w:sz w:val="22"/>
              </w:rPr>
              <w:t>REVERSAL</w:t>
            </w:r>
          </w:p>
        </w:tc>
      </w:tr>
      <w:tr>
        <w:tc>
          <w:tcPr>
            <w:tcW w:type="dxa" w:w="1872"/>
          </w:tcPr>
          <w:p>
            <w:r>
              <w:rPr>
                <w:rFonts w:ascii="Times New Roman" w:hAnsi="Times New Roman" w:eastAsia="Times New Roman"/>
                <w:b w:val="0"/>
                <w:sz w:val="22"/>
              </w:rPr>
              <w:t>1.0</w:t>
            </w:r>
          </w:p>
        </w:tc>
        <w:tc>
          <w:tcPr>
            <w:tcW w:type="dxa" w:w="1872"/>
          </w:tcPr>
          <w:p>
            <w:r>
              <w:rPr>
                <w:rFonts w:ascii="Times New Roman" w:hAnsi="Times New Roman" w:eastAsia="Times New Roman"/>
                <w:b w:val="0"/>
                <w:sz w:val="22"/>
              </w:rPr>
              <w:t>Reference (no attenuation)</w:t>
            </w:r>
          </w:p>
        </w:tc>
        <w:tc>
          <w:tcPr>
            <w:tcW w:type="dxa" w:w="1872"/>
          </w:tcPr>
          <w:p>
            <w:r>
              <w:rPr>
                <w:rFonts w:ascii="Times New Roman" w:hAnsi="Times New Roman" w:eastAsia="Times New Roman"/>
                <w:b w:val="0"/>
                <w:sz w:val="22"/>
              </w:rPr>
              <w:t>−0.0061</w:t>
            </w:r>
          </w:p>
        </w:tc>
        <w:tc>
          <w:tcPr>
            <w:tcW w:type="dxa" w:w="1872"/>
          </w:tcPr>
          <w:p>
            <w:r>
              <w:rPr>
                <w:rFonts w:ascii="Times New Roman" w:hAnsi="Times New Roman" w:eastAsia="Times New Roman"/>
                <w:b w:val="0"/>
                <w:sz w:val="22"/>
              </w:rPr>
              <w:t>+0.0349</w:t>
            </w:r>
          </w:p>
        </w:tc>
        <w:tc>
          <w:tcPr>
            <w:tcW w:type="dxa" w:w="1872"/>
          </w:tcPr>
          <w:p>
            <w:r>
              <w:rPr>
                <w:rFonts w:ascii="Times New Roman" w:hAnsi="Times New Roman" w:eastAsia="Times New Roman"/>
                <w:b w:val="0"/>
                <w:sz w:val="22"/>
              </w:rPr>
              <w:t>REVERSAL</w:t>
            </w:r>
          </w:p>
        </w:tc>
      </w:tr>
    </w:tbl>
    <w:p>
      <w:pPr>
        <w:spacing w:line="480" w:lineRule="auto" w:before="0" w:after="0"/>
      </w:pPr>
    </w:p>
    <w:p>
      <w:pPr>
        <w:spacing w:line="480" w:lineRule="auto" w:before="0" w:after="0"/>
        <w:ind w:firstLine="720"/>
      </w:pPr>
      <w:r>
        <w:rPr>
          <w:rFonts w:ascii="Times New Roman" w:hAnsi="Times New Roman" w:eastAsia="Times New Roman"/>
          <w:sz w:val="24"/>
        </w:rPr>
        <w:t>The H7 = REVERSAL classification is robust across all four pre-registered cultural attenuation factors. Even under the conservative cross-cultural worst-case scenario (F = 0.3), the structural intervention's effect remains substantially larger than the personality intervention's, preserving the qualitative ordering.</w:t>
      </w:r>
    </w:p>
    <w:p>
      <w:pPr>
        <w:spacing w:line="480" w:lineRule="auto" w:before="0" w:after="0"/>
        <w:jc w:val="center"/>
      </w:pPr>
      <w:r>
        <w:rPr>
          <w:rFonts w:ascii="Times New Roman" w:hAnsi="Times New Roman" w:eastAsia="Times New Roman"/>
          <w:b/>
          <w:sz w:val="24"/>
        </w:rPr>
        <w:t>Summary of pre-registered hypothesis outcomes</w:t>
      </w:r>
    </w:p>
    <w:p>
      <w:pPr>
        <w:spacing w:line="480" w:lineRule="auto" w:before="0" w:after="0"/>
        <w:ind w:firstLine="720"/>
      </w:pPr>
      <w:r>
        <w:rPr>
          <w:rFonts w:ascii="Times New Roman" w:hAnsi="Times New Roman" w:eastAsia="Times New Roman"/>
          <w:b/>
          <w:sz w:val="24"/>
        </w:rPr>
        <w:t>Table 6.</w:t>
      </w:r>
      <w:r>
        <w:rPr>
          <w:rFonts w:ascii="Times New Roman" w:hAnsi="Times New Roman" w:eastAsia="Times New Roman"/>
          <w:sz w:val="24"/>
        </w:rPr>
        <w:t xml:space="preserve"> Pre-registered hypothesis outcomes summary.</w:t>
      </w:r>
    </w:p>
    <w:tbl>
      <w:tblPr>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eastAsia="Times New Roman"/>
                <w:b/>
                <w:sz w:val="22"/>
              </w:rPr>
              <w:t>Hypothesis</w:t>
            </w:r>
          </w:p>
        </w:tc>
        <w:tc>
          <w:tcPr>
            <w:tcW w:type="dxa" w:w="2340"/>
          </w:tcPr>
          <w:p>
            <w:r>
              <w:rPr>
                <w:rFonts w:ascii="Times New Roman" w:hAnsi="Times New Roman" w:eastAsia="Times New Roman"/>
                <w:b/>
                <w:sz w:val="22"/>
              </w:rPr>
              <w:t>Pre-registered prediction</w:t>
            </w:r>
          </w:p>
        </w:tc>
        <w:tc>
          <w:tcPr>
            <w:tcW w:type="dxa" w:w="2340"/>
          </w:tcPr>
          <w:p>
            <w:r>
              <w:rPr>
                <w:rFonts w:ascii="Times New Roman" w:hAnsi="Times New Roman" w:eastAsia="Times New Roman"/>
                <w:b/>
                <w:sz w:val="22"/>
              </w:rPr>
              <w:t>Outcome</w:t>
            </w:r>
          </w:p>
        </w:tc>
        <w:tc>
          <w:tcPr>
            <w:tcW w:type="dxa" w:w="2340"/>
          </w:tcPr>
          <w:p>
            <w:r>
              <w:rPr>
                <w:rFonts w:ascii="Times New Roman" w:hAnsi="Times New Roman" w:eastAsia="Times New Roman"/>
                <w:b/>
                <w:sz w:val="22"/>
              </w:rPr>
              <w:t>Tier</w:t>
            </w:r>
          </w:p>
        </w:tc>
      </w:tr>
      <w:tr>
        <w:tc>
          <w:tcPr>
            <w:tcW w:type="dxa" w:w="2340"/>
          </w:tcPr>
          <w:p>
            <w:r>
              <w:rPr>
                <w:rFonts w:ascii="Times New Roman" w:hAnsi="Times New Roman" w:eastAsia="Times New Roman"/>
                <w:b w:val="0"/>
                <w:sz w:val="22"/>
              </w:rPr>
              <w:t>H1</w:t>
            </w:r>
          </w:p>
        </w:tc>
        <w:tc>
          <w:tcPr>
            <w:tcW w:type="dxa" w:w="2340"/>
          </w:tcPr>
          <w:p>
            <w:r>
              <w:rPr>
                <w:rFonts w:ascii="Times New Roman" w:hAnsi="Times New Roman" w:eastAsia="Times New Roman"/>
                <w:b w:val="0"/>
                <w:sz w:val="22"/>
              </w:rPr>
              <w:t>MAPE_FY2016 ≤ 30% (Strict / Standard SUCCESS)</w:t>
            </w:r>
          </w:p>
        </w:tc>
        <w:tc>
          <w:tcPr>
            <w:tcW w:type="dxa" w:w="2340"/>
          </w:tcPr>
          <w:p>
            <w:r>
              <w:rPr>
                <w:rFonts w:ascii="Times New Roman" w:hAnsi="Times New Roman" w:eastAsia="Times New Roman"/>
                <w:b w:val="0"/>
                <w:sz w:val="22"/>
              </w:rPr>
              <w:t>MAPE = 46.34%</w:t>
            </w:r>
          </w:p>
        </w:tc>
        <w:tc>
          <w:tcPr>
            <w:tcW w:type="dxa" w:w="2340"/>
          </w:tcPr>
          <w:p>
            <w:r>
              <w:rPr>
                <w:rFonts w:ascii="Times New Roman" w:hAnsi="Times New Roman" w:eastAsia="Times New Roman"/>
                <w:b w:val="0"/>
                <w:sz w:val="22"/>
              </w:rPr>
              <w:t>PARTIAL SUCCESS</w:t>
            </w:r>
          </w:p>
        </w:tc>
      </w:tr>
      <w:tr>
        <w:tc>
          <w:tcPr>
            <w:tcW w:type="dxa" w:w="2340"/>
          </w:tcPr>
          <w:p>
            <w:r>
              <w:rPr>
                <w:rFonts w:ascii="Times New Roman" w:hAnsi="Times New Roman" w:eastAsia="Times New Roman"/>
                <w:b w:val="0"/>
                <w:sz w:val="22"/>
              </w:rPr>
              <w:t>H2</w:t>
            </w:r>
          </w:p>
        </w:tc>
        <w:tc>
          <w:tcPr>
            <w:tcW w:type="dxa" w:w="2340"/>
          </w:tcPr>
          <w:p>
            <w:r>
              <w:rPr>
                <w:rFonts w:ascii="Times New Roman" w:hAnsi="Times New Roman" w:eastAsia="Times New Roman"/>
                <w:b w:val="0"/>
                <w:sz w:val="22"/>
              </w:rPr>
              <w:t>Monotonic B0 &gt; B1 &gt; B2 &gt; B3 &gt; B4</w:t>
            </w:r>
          </w:p>
        </w:tc>
        <w:tc>
          <w:tcPr>
            <w:tcW w:type="dxa" w:w="2340"/>
          </w:tcPr>
          <w:p>
            <w:r>
              <w:rPr>
                <w:rFonts w:ascii="Times New Roman" w:hAnsi="Times New Roman" w:eastAsia="Times New Roman"/>
                <w:b w:val="0"/>
                <w:sz w:val="22"/>
              </w:rPr>
              <w:t>0 of 4 pairs confirmed (Page's L p = 0.976)</w:t>
            </w:r>
          </w:p>
        </w:tc>
        <w:tc>
          <w:tcPr>
            <w:tcW w:type="dxa" w:w="2340"/>
          </w:tcPr>
          <w:p>
            <w:r>
              <w:rPr>
                <w:rFonts w:ascii="Times New Roman" w:hAnsi="Times New Roman" w:eastAsia="Times New Roman"/>
                <w:b w:val="0"/>
                <w:sz w:val="22"/>
              </w:rPr>
              <w:t>REJECTED</w:t>
            </w:r>
          </w:p>
        </w:tc>
      </w:tr>
      <w:tr>
        <w:tc>
          <w:tcPr>
            <w:tcW w:type="dxa" w:w="2340"/>
          </w:tcPr>
          <w:p>
            <w:r>
              <w:rPr>
                <w:rFonts w:ascii="Times New Roman" w:hAnsi="Times New Roman" w:eastAsia="Times New Roman"/>
                <w:b w:val="0"/>
                <w:sz w:val="22"/>
              </w:rPr>
              <w:t>H3</w:t>
            </w:r>
          </w:p>
        </w:tc>
        <w:tc>
          <w:tcPr>
            <w:tcW w:type="dxa" w:w="2340"/>
          </w:tcPr>
          <w:p>
            <w:r>
              <w:rPr>
                <w:rFonts w:ascii="Times New Roman" w:hAnsi="Times New Roman" w:eastAsia="Times New Roman"/>
                <w:b w:val="0"/>
                <w:sz w:val="22"/>
              </w:rPr>
              <w:t>Centroid concordance N=354 vs N=13,668</w:t>
            </w:r>
          </w:p>
        </w:tc>
        <w:tc>
          <w:tcPr>
            <w:tcW w:type="dxa" w:w="2340"/>
          </w:tcPr>
          <w:p>
            <w:r>
              <w:rPr>
                <w:rFonts w:ascii="Times New Roman" w:hAnsi="Times New Roman" w:eastAsia="Times New Roman"/>
                <w:b w:val="0"/>
                <w:sz w:val="22"/>
              </w:rPr>
              <w:t>(Reported in Tokiwa, 2026 IEEE Access)</w:t>
            </w:r>
          </w:p>
        </w:tc>
        <w:tc>
          <w:tcPr>
            <w:tcW w:type="dxa" w:w="2340"/>
          </w:tcPr>
          <w:p>
            <w:r>
              <w:rPr>
                <w:rFonts w:ascii="Times New Roman" w:hAnsi="Times New Roman" w:eastAsia="Times New Roman"/>
                <w:b w:val="0"/>
                <w:sz w:val="22"/>
              </w:rPr>
              <w:t>Confirmed</w:t>
            </w:r>
          </w:p>
        </w:tc>
      </w:tr>
      <w:tr>
        <w:tc>
          <w:tcPr>
            <w:tcW w:type="dxa" w:w="2340"/>
          </w:tcPr>
          <w:p>
            <w:r>
              <w:rPr>
                <w:rFonts w:ascii="Times New Roman" w:hAnsi="Times New Roman" w:eastAsia="Times New Roman"/>
                <w:b w:val="0"/>
                <w:sz w:val="22"/>
              </w:rPr>
              <w:t>H4</w:t>
            </w:r>
          </w:p>
        </w:tc>
        <w:tc>
          <w:tcPr>
            <w:tcW w:type="dxa" w:w="2340"/>
          </w:tcPr>
          <w:p>
            <w:r>
              <w:rPr>
                <w:rFonts w:ascii="Times New Roman" w:hAnsi="Times New Roman" w:eastAsia="Times New Roman"/>
                <w:b w:val="0"/>
                <w:sz w:val="22"/>
              </w:rPr>
              <w:t>Per-cell propensity stability across bootstrap procedures</w:t>
            </w:r>
          </w:p>
        </w:tc>
        <w:tc>
          <w:tcPr>
            <w:tcW w:type="dxa" w:w="2340"/>
          </w:tcPr>
          <w:p>
            <w:r>
              <w:rPr>
                <w:rFonts w:ascii="Times New Roman" w:hAnsi="Times New Roman" w:eastAsia="Times New Roman"/>
                <w:b w:val="0"/>
                <w:sz w:val="22"/>
              </w:rPr>
              <w:t>13/14 cells resolved at BCa; 1 degenerate cell (X=0) at Clopper-Pearson per M4 cascade</w:t>
            </w:r>
          </w:p>
        </w:tc>
        <w:tc>
          <w:tcPr>
            <w:tcW w:type="dxa" w:w="2340"/>
          </w:tcPr>
          <w:p>
            <w:r>
              <w:rPr>
                <w:rFonts w:ascii="Times New Roman" w:hAnsi="Times New Roman" w:eastAsia="Times New Roman"/>
                <w:b w:val="0"/>
                <w:sz w:val="22"/>
              </w:rPr>
              <w:t>CONFIRMED</w:t>
            </w:r>
          </w:p>
        </w:tc>
      </w:tr>
      <w:tr>
        <w:tc>
          <w:tcPr>
            <w:tcW w:type="dxa" w:w="2340"/>
          </w:tcPr>
          <w:p>
            <w:r>
              <w:rPr>
                <w:rFonts w:ascii="Times New Roman" w:hAnsi="Times New Roman" w:eastAsia="Times New Roman"/>
                <w:b w:val="0"/>
                <w:sz w:val="22"/>
              </w:rPr>
              <w:t>H5</w:t>
            </w:r>
          </w:p>
        </w:tc>
        <w:tc>
          <w:tcPr>
            <w:tcW w:type="dxa" w:w="2340"/>
          </w:tcPr>
          <w:p>
            <w:r>
              <w:rPr>
                <w:rFonts w:ascii="Times New Roman" w:hAnsi="Times New Roman" w:eastAsia="Times New Roman"/>
                <w:b w:val="0"/>
                <w:sz w:val="22"/>
              </w:rPr>
              <w:t>Gender invariance</w:t>
            </w:r>
          </w:p>
        </w:tc>
        <w:tc>
          <w:tcPr>
            <w:tcW w:type="dxa" w:w="2340"/>
          </w:tcPr>
          <w:p>
            <w:r>
              <w:rPr>
                <w:rFonts w:ascii="Times New Roman" w:hAnsi="Times New Roman" w:eastAsia="Times New Roman"/>
                <w:b w:val="0"/>
                <w:sz w:val="22"/>
              </w:rPr>
              <w:t>High concordance of cluster-level power-harassment rankings across genders (Spearman ρ = 0.87, p = 0.01 at 7-cluster level); 14-cell vs 28-cell sensitivity stable</w:t>
            </w:r>
          </w:p>
        </w:tc>
        <w:tc>
          <w:tcPr>
            <w:tcW w:type="dxa" w:w="2340"/>
          </w:tcPr>
          <w:p>
            <w:r>
              <w:rPr>
                <w:rFonts w:ascii="Times New Roman" w:hAnsi="Times New Roman" w:eastAsia="Times New Roman"/>
                <w:b w:val="0"/>
                <w:sz w:val="22"/>
              </w:rPr>
              <w:t>CONFIRMED</w:t>
            </w:r>
          </w:p>
        </w:tc>
      </w:tr>
      <w:tr>
        <w:tc>
          <w:tcPr>
            <w:tcW w:type="dxa" w:w="2340"/>
          </w:tcPr>
          <w:p>
            <w:r>
              <w:rPr>
                <w:rFonts w:ascii="Times New Roman" w:hAnsi="Times New Roman" w:eastAsia="Times New Roman"/>
                <w:b w:val="0"/>
                <w:sz w:val="22"/>
              </w:rPr>
              <w:t>H6</w:t>
            </w:r>
          </w:p>
        </w:tc>
        <w:tc>
          <w:tcPr>
            <w:tcW w:type="dxa" w:w="2340"/>
          </w:tcPr>
          <w:p>
            <w:r>
              <w:rPr>
                <w:rFonts w:ascii="Times New Roman" w:hAnsi="Times New Roman" w:eastAsia="Times New Roman"/>
                <w:b w:val="0"/>
                <w:sz w:val="22"/>
              </w:rPr>
              <w:t>Power × gender harassment cluster ranking concordance</w:t>
            </w:r>
          </w:p>
        </w:tc>
        <w:tc>
          <w:tcPr>
            <w:tcW w:type="dxa" w:w="2340"/>
          </w:tcPr>
          <w:p>
            <w:r>
              <w:rPr>
                <w:rFonts w:ascii="Times New Roman" w:hAnsi="Times New Roman" w:eastAsia="Times New Roman"/>
                <w:b w:val="0"/>
                <w:sz w:val="22"/>
              </w:rPr>
              <w:t>Weak concordance (Spearman ρ = 0.04 at 7-cluster level, p = 0.94; ρ = 0.14 at 14-cell level, p = 0.62)</w:t>
            </w:r>
          </w:p>
        </w:tc>
        <w:tc>
          <w:tcPr>
            <w:tcW w:type="dxa" w:w="2340"/>
          </w:tcPr>
          <w:p>
            <w:r>
              <w:rPr>
                <w:rFonts w:ascii="Times New Roman" w:hAnsi="Times New Roman" w:eastAsia="Times New Roman"/>
                <w:b w:val="0"/>
                <w:sz w:val="22"/>
              </w:rPr>
              <w:t>REJECTED</w:t>
            </w:r>
          </w:p>
        </w:tc>
      </w:tr>
      <w:tr>
        <w:tc>
          <w:tcPr>
            <w:tcW w:type="dxa" w:w="2340"/>
          </w:tcPr>
          <w:p>
            <w:r>
              <w:rPr>
                <w:rFonts w:ascii="Times New Roman" w:hAnsi="Times New Roman" w:eastAsia="Times New Roman"/>
                <w:b w:val="0"/>
                <w:sz w:val="22"/>
              </w:rPr>
              <w:t>H7</w:t>
            </w:r>
          </w:p>
        </w:tc>
        <w:tc>
          <w:tcPr>
            <w:tcW w:type="dxa" w:w="2340"/>
          </w:tcPr>
          <w:p>
            <w:r>
              <w:rPr>
                <w:rFonts w:ascii="Times New Roman" w:hAnsi="Times New Roman" w:eastAsia="Times New Roman"/>
                <w:b w:val="0"/>
                <w:sz w:val="22"/>
              </w:rPr>
              <w:t>IUT classification</w:t>
            </w:r>
          </w:p>
        </w:tc>
        <w:tc>
          <w:tcPr>
            <w:tcW w:type="dxa" w:w="2340"/>
          </w:tcPr>
          <w:p>
            <w:r>
              <w:rPr>
                <w:rFonts w:ascii="Times New Roman" w:hAnsi="Times New Roman" w:eastAsia="Times New Roman"/>
                <w:b w:val="0"/>
                <w:sz w:val="22"/>
              </w:rPr>
              <w:t>REVERSAL (robust across F = 0.3–1.0)</w:t>
            </w:r>
          </w:p>
        </w:tc>
        <w:tc>
          <w:tcPr>
            <w:tcW w:type="dxa" w:w="2340"/>
          </w:tcPr>
          <w:p>
            <w:r>
              <w:rPr>
                <w:rFonts w:ascii="Times New Roman" w:hAnsi="Times New Roman" w:eastAsia="Times New Roman"/>
                <w:b w:val="0"/>
                <w:sz w:val="22"/>
              </w:rPr>
              <w:t>REVERSAL (per pre-registered classification)</w:t>
            </w:r>
          </w:p>
        </w:tc>
      </w:tr>
    </w:tbl>
    <w:p>
      <w:pPr>
        <w:spacing w:line="480" w:lineRule="auto" w:before="0" w:after="0"/>
      </w:pPr>
    </w:p>
    <w:p>
      <w:pPr>
        <w:spacing w:line="480" w:lineRule="auto" w:before="0" w:after="0"/>
        <w:ind w:firstLine="720"/>
      </w:pPr>
      <w:r>
        <w:rPr>
          <w:rFonts w:ascii="Times New Roman" w:hAnsi="Times New Roman" w:eastAsia="Times New Roman"/>
          <w:sz w:val="24"/>
        </w:rPr>
        <w:t>The headline empirical finding is the H7 = REVERSAL classification with cross-cultural robustness, which we develop substantively in the Discussion.</w:t>
      </w:r>
    </w:p>
    <w:p>
      <w:r>
        <w:br w:type="page"/>
      </w:r>
    </w:p>
    <w:p>
      <w:pPr>
        <w:spacing w:line="480" w:lineRule="auto" w:before="0" w:after="0"/>
        <w:jc w:val="center"/>
      </w:pPr>
      <w:r>
        <w:rPr>
          <w:rFonts w:ascii="Times New Roman" w:hAnsi="Times New Roman" w:eastAsia="Times New Roman"/>
          <w:b/>
          <w:sz w:val="24"/>
        </w:rPr>
        <w:t>Principal findings</w:t>
      </w:r>
    </w:p>
    <w:p>
      <w:pPr>
        <w:spacing w:line="480" w:lineRule="auto" w:before="0" w:after="0"/>
        <w:ind w:firstLine="720"/>
      </w:pPr>
      <w:r>
        <w:rPr>
          <w:rFonts w:ascii="Times New Roman" w:hAnsi="Times New Roman" w:eastAsia="Times New Roman"/>
          <w:sz w:val="24"/>
        </w:rPr>
        <w:t>Three findings stand out from the pre-registered analysis pipeline:</w:t>
      </w:r>
    </w:p>
    <w:p>
      <w:pPr>
        <w:spacing w:line="480" w:lineRule="auto" w:before="0" w:after="0"/>
        <w:ind w:firstLine="720"/>
      </w:pPr>
      <w:r>
        <w:rPr>
          <w:rFonts w:ascii="Times New Roman" w:hAnsi="Times New Roman" w:eastAsia="Times New Roman"/>
          <w:b/>
          <w:sz w:val="24"/>
        </w:rPr>
        <w:t>Finding 1: Post-Power-Harassment-Prevention-Law prevalence is well predicted; pre-law is not.</w:t>
      </w:r>
      <w:r>
        <w:rPr>
          <w:rFonts w:ascii="Times New Roman" w:hAnsi="Times New Roman" w:eastAsia="Times New Roman"/>
          <w:sz w:val="24"/>
        </w:rPr>
        <w:t xml:space="preserve"> The model-based national prevalence (P̂ = 17.44%, after Statistics Bureau (MIC) 2022 working-population reweighting) attains MAPE = 9.65% against the FY2023 (post-law) target — a Standard SUCCESS classification (the 95% CI upper bound, 31.52%, narrowly exceeds the 30% Strict-criterion threshold) — but only PARTIAL SUCCESS against the FY2016 (pre-law) target (MAPE = 46.34%). A literal reading is that our HEXACO 7-typology × MIC-reweighted model captures the </w:t>
      </w:r>
      <w:r>
        <w:rPr>
          <w:rFonts w:ascii="Times New Roman" w:hAnsi="Times New Roman" w:eastAsia="Times New Roman"/>
          <w:i/>
          <w:sz w:val="24"/>
        </w:rPr>
        <w:t>post-law equilibrium</w:t>
      </w:r>
      <w:r>
        <w:rPr>
          <w:rFonts w:ascii="Times New Roman" w:hAnsi="Times New Roman" w:eastAsia="Times New Roman"/>
          <w:sz w:val="24"/>
        </w:rPr>
        <w:t xml:space="preserve"> of Japanese workplaces with high accuracy, but not the pre-law equilibrium. We do not interpret the FY2016 PARTIAL classification as a model failure; rather, the temporal heterogeneity is consistent with the 2020 Power Harassment Prevention Law functioning as a discontinuous structural shock that altered the underlying environmental contribution to harassment prevalence. The N = 354 sample, collected post-law, is "calibrated" to the post-law environment.</w:t>
      </w:r>
    </w:p>
    <w:p>
      <w:pPr>
        <w:spacing w:line="480" w:lineRule="auto" w:before="0" w:after="0"/>
        <w:ind w:firstLine="720"/>
      </w:pPr>
      <w:r>
        <w:rPr>
          <w:rFonts w:ascii="Times New Roman" w:hAnsi="Times New Roman" w:eastAsia="Times New Roman"/>
          <w:b/>
          <w:sz w:val="24"/>
        </w:rPr>
        <w:t>Finding 2: H7 = REVERSAL — the structural-intervention contrast exceeds the personality-intervention contrast in absolute magnitude.</w:t>
      </w:r>
      <w:r>
        <w:rPr>
          <w:rFonts w:ascii="Times New Roman" w:hAnsi="Times New Roman" w:eastAsia="Times New Roman"/>
          <w:sz w:val="24"/>
        </w:rPr>
        <w:t xml:space="preserve"> The pre-registered intersection-union test produced REVERSAL via the m7 priority-1 condition (point ΔP_B &lt; point ΔP_C; L_BC = −0.0544 also lies below zero in the CI cascade), indicating that the cell-level structural-intervention contrast (Counterfactual C; −20% propensity, calibrated against three meta-analyses) is larger in absolute magnitude than both the universal personality-intervention contrast (Counterfactual A; +0.3 SD on H/A/E) and the targeted personality-intervention contrast on the low-prevalence subgroup (Counterfactual B; +0.40 SD on HH restricted to individuals whose baseline cluster ∈ {0, 4, 6}). The numerical ratio |ΔP_C| / |ΔP_A| ≈ 5.7 is robust across all four pre-registered cultural-attenuation factors (F = 0.3, 0.5, 0.7, 1.0), including the conservative worst-case anchor at F = 0.3. We interpret this ordering conditional on the prior meta-analytic effect sizes used to calibrate each counterfactual; under those calibrations, the structural-pathway contrast is approximately five-fold larger in absolute population-level magnitude than the personality-pathway contrast.</w:t>
      </w:r>
    </w:p>
    <w:p>
      <w:pPr>
        <w:spacing w:line="480" w:lineRule="auto" w:before="0" w:after="0"/>
        <w:ind w:firstLine="720"/>
      </w:pPr>
      <w:r>
        <w:rPr>
          <w:rFonts w:ascii="Times New Roman" w:hAnsi="Times New Roman" w:eastAsia="Times New Roman"/>
          <w:b/>
          <w:sz w:val="24"/>
        </w:rPr>
        <w:t>Finding 3: The data are consistent with treating HEXACO 7-typology as a stratification variable rather than an intervention target.</w:t>
      </w:r>
      <w:r>
        <w:rPr>
          <w:rFonts w:ascii="Times New Roman" w:hAnsi="Times New Roman" w:eastAsia="Times New Roman"/>
          <w:sz w:val="24"/>
        </w:rPr>
        <w:t xml:space="preserve"> The Counterfactual A null result (ΔP_A = −0.0061, 95% CI crosses zero) indicates that shifting individual HEXACO scores by the realistic training-effect magnitudes drawn from Hudson and Fraley (2015) and Roberts et al. (2017) does not produce a population-level harassment-prevalence change that is statistically distinguishable from zero in this design. A natural reading is that the typology characterizes which subgroups are differentially exposed to harassment in the present cross-sectional sample but does not, on its own, identify a personality-based target whose modification would yield measurable aggregate-level prevalence change at this calibration. The contribution of this finding is theoretical: it constrains the inferences that observational HEXACO–harassment associations support, distinguishing population-level prevalence change from subgroup-level identification.</w:t>
      </w:r>
    </w:p>
    <w:p>
      <w:pPr>
        <w:spacing w:line="480" w:lineRule="auto" w:before="0" w:after="0"/>
        <w:jc w:val="center"/>
      </w:pPr>
      <w:r>
        <w:rPr>
          <w:rFonts w:ascii="Times New Roman" w:hAnsi="Times New Roman" w:eastAsia="Times New Roman"/>
          <w:b/>
          <w:sz w:val="24"/>
        </w:rPr>
        <w:t>The MHLW survey series as substantive context</w:t>
      </w:r>
    </w:p>
    <w:p>
      <w:pPr>
        <w:spacing w:line="480" w:lineRule="auto" w:before="0" w:after="0"/>
        <w:ind w:firstLine="720"/>
      </w:pPr>
      <w:r>
        <w:rPr>
          <w:rFonts w:ascii="Times New Roman" w:hAnsi="Times New Roman" w:eastAsia="Times New Roman"/>
          <w:sz w:val="24"/>
        </w:rPr>
        <w:t>The FY2016 → FY2023 decline in past-three-year power-harassment victimization documented by MHLW (32.5% → 19.3%; −13.2 percentage points) overlaps temporally with the staged enforcement of the 2020 Power Harassment Prevention Law (large enterprises, June 2020; SMEs, April 2022). Two stylized explanations for this decline are: (a) the regulatory environment shifted in ways that reduced harassment-supportive environmental affordances; or (b) the underlying personality distribution of Japanese workers shifted between 2016 and 2023.</w:t>
      </w:r>
    </w:p>
    <w:p>
      <w:pPr>
        <w:spacing w:line="480" w:lineRule="auto" w:before="0" w:after="0"/>
        <w:ind w:firstLine="720"/>
      </w:pPr>
      <w:r>
        <w:rPr>
          <w:rFonts w:ascii="Times New Roman" w:hAnsi="Times New Roman" w:eastAsia="Times New Roman"/>
          <w:sz w:val="24"/>
        </w:rPr>
        <w:t xml:space="preserve">The latter is implausible on demographic grounds: cohort-level changes in HEXACO traits over six years are unlikely to exceed 0.05 SD. Counterfactual A, which models a </w:t>
      </w:r>
      <w:r>
        <w:rPr>
          <w:rFonts w:ascii="Times New Roman" w:hAnsi="Times New Roman" w:eastAsia="Times New Roman"/>
          <w:i/>
          <w:sz w:val="24"/>
        </w:rPr>
        <w:t>six times larger</w:t>
      </w:r>
      <w:r>
        <w:rPr>
          <w:rFonts w:ascii="Times New Roman" w:hAnsi="Times New Roman" w:eastAsia="Times New Roman"/>
          <w:sz w:val="24"/>
        </w:rPr>
        <w:t xml:space="preserve"> personality shift (+0.3 SD on H/A/E), produced a null effect at the population level. The MHLW decline is therefore difficult to reconcile with personality drift alone. We refrain from claiming a formal causal estimate of the law's effect, because doing so would require a counterfactual design with explicit treatment timing, control units, and parallel-trends analysis that the present cross-sectional sample does not support. Instead, we treat the MHLW series as providing substantive context within which our pre-registered comparison of intervention contrasts can be interpreted.</w:t>
      </w:r>
    </w:p>
    <w:p>
      <w:pPr>
        <w:spacing w:line="480" w:lineRule="auto" w:before="0" w:after="0"/>
        <w:jc w:val="center"/>
      </w:pPr>
      <w:r>
        <w:rPr>
          <w:rFonts w:ascii="Times New Roman" w:hAnsi="Times New Roman" w:eastAsia="Times New Roman"/>
          <w:b/>
          <w:sz w:val="24"/>
        </w:rPr>
        <w:t>Reframing HEXACO: stratification rather than modification</w:t>
      </w:r>
    </w:p>
    <w:p>
      <w:pPr>
        <w:spacing w:line="480" w:lineRule="auto" w:before="0" w:after="0"/>
        <w:ind w:firstLine="720"/>
      </w:pPr>
      <w:r>
        <w:rPr>
          <w:rFonts w:ascii="Times New Roman" w:hAnsi="Times New Roman" w:eastAsia="Times New Roman"/>
          <w:sz w:val="24"/>
        </w:rPr>
        <w:t>A reframing emerges from the integrated reading of Counterfactual A's null and Counterfactual C's positive contrast. Observational findings of the form "low Honesty-Humility correlates with workplace harassment exposure" are sometimes read as supporting a prescription: train individuals to elevate their Honesty-Humility, or screen them on this dimension at hiring. The present results constrain that reading on two grounds.</w:t>
      </w:r>
    </w:p>
    <w:p>
      <w:pPr>
        <w:spacing w:line="480" w:lineRule="auto" w:before="0" w:after="0"/>
        <w:ind w:firstLine="720"/>
      </w:pPr>
      <w:r>
        <w:rPr>
          <w:rFonts w:ascii="Times New Roman" w:hAnsi="Times New Roman" w:eastAsia="Times New Roman"/>
          <w:sz w:val="24"/>
        </w:rPr>
        <w:t>First, observational correlation between HEXACO-H and harassment exposure is consistent with at least four causal models: direct causation (M1), selection (M2), confounding (M3), and reverse causation (M4). Our Counterfactual A null result is inconsistent with M1 as the dominant mechanism but cannot adjudicate among M2–M4. Under any of those three, modifying individuals' HEXACO scores would not modify the underlying mechanism (industry sorting, shared SES correlates, or cynicism induced by prior harassment exposure).</w:t>
      </w:r>
    </w:p>
    <w:p>
      <w:pPr>
        <w:spacing w:line="480" w:lineRule="auto" w:before="0" w:after="0"/>
        <w:ind w:firstLine="720"/>
      </w:pPr>
      <w:r>
        <w:rPr>
          <w:rFonts w:ascii="Times New Roman" w:hAnsi="Times New Roman" w:eastAsia="Times New Roman"/>
          <w:sz w:val="24"/>
        </w:rPr>
        <w:t>Second, even granting M1 as the operative mechanism, the +0.3 SD personality-shift represents the upper bound of empirically demonstrated training effects (Hudson &amp; Fraley, 2015; Roberts et al., 2017). The simulation shows that this upper-bound shift translates to a population-level prevalence change of −0.61 percentage points — within the ±2 pp band of MHLW year-on-year sampling noise and approximately five-fold smaller in absolute magnitude than the structural-intervention contrast.</w:t>
      </w:r>
    </w:p>
    <w:p>
      <w:pPr>
        <w:spacing w:line="480" w:lineRule="auto" w:before="0" w:after="0"/>
        <w:ind w:firstLine="720"/>
      </w:pPr>
      <w:r>
        <w:rPr>
          <w:rFonts w:ascii="Times New Roman" w:hAnsi="Times New Roman" w:eastAsia="Times New Roman"/>
          <w:sz w:val="24"/>
        </w:rPr>
        <w:t xml:space="preserve">The repositioning we draw is therefore narrow and theoretical: </w:t>
      </w:r>
      <w:r>
        <w:rPr>
          <w:rFonts w:ascii="Times New Roman" w:hAnsi="Times New Roman" w:eastAsia="Times New Roman"/>
          <w:b/>
          <w:sz w:val="24"/>
        </w:rPr>
        <w:t>the HEXACO 7-typology functions in this analysis as a stratification lens that characterizes differentially exposed subpopulations and verifies that the structural-intervention contrast does not differentially fail any subgroup, but the data do not support reading the typology itself as a target of individual-level intervention.</w:t>
      </w:r>
      <w:r>
        <w:rPr>
          <w:rFonts w:ascii="Times New Roman" w:hAnsi="Times New Roman" w:eastAsia="Times New Roman"/>
          <w:sz w:val="24"/>
        </w:rPr>
        <w:t xml:space="preserve"> A corollary is that observational HEXACO–harassment associations are not, on their own, sufficient grounds for inferences about who "should" be modified or screened; we therefore caution against interpretations that read the typology in person-blame terms, because such readings outrun what the present analysis can support.</w:t>
      </w:r>
    </w:p>
    <w:p>
      <w:pPr>
        <w:spacing w:line="480" w:lineRule="auto" w:before="0" w:after="0"/>
        <w:jc w:val="center"/>
      </w:pPr>
      <w:r>
        <w:rPr>
          <w:rFonts w:ascii="Times New Roman" w:hAnsi="Times New Roman" w:eastAsia="Times New Roman"/>
          <w:b/>
          <w:sz w:val="24"/>
        </w:rPr>
        <w:t>Limitations</w:t>
      </w:r>
    </w:p>
    <w:p>
      <w:pPr>
        <w:spacing w:line="480" w:lineRule="auto" w:before="0" w:after="0"/>
        <w:jc w:val="left"/>
      </w:pPr>
      <w:r>
        <w:rPr>
          <w:rFonts w:ascii="Times New Roman" w:hAnsi="Times New Roman" w:eastAsia="Times New Roman"/>
          <w:b/>
          <w:sz w:val="24"/>
        </w:rPr>
        <w:t>Reduced-form framing of Counterfactual C</w:t>
      </w:r>
    </w:p>
    <w:p>
      <w:pPr>
        <w:spacing w:line="480" w:lineRule="auto" w:before="0" w:after="0"/>
        <w:ind w:firstLine="720"/>
      </w:pPr>
      <w:r>
        <w:rPr>
          <w:rFonts w:ascii="Times New Roman" w:hAnsi="Times New Roman" w:eastAsia="Times New Roman"/>
          <w:sz w:val="24"/>
        </w:rPr>
        <w:t xml:space="preserve">The most important limitation, identified through dialogue with an external methodologist, concerns the </w:t>
      </w:r>
      <w:r>
        <w:rPr>
          <w:rFonts w:ascii="Times New Roman" w:hAnsi="Times New Roman" w:eastAsia="Times New Roman"/>
          <w:i/>
          <w:sz w:val="24"/>
        </w:rPr>
        <w:t>reduced-form</w:t>
      </w:r>
      <w:r>
        <w:rPr>
          <w:rFonts w:ascii="Times New Roman" w:hAnsi="Times New Roman" w:eastAsia="Times New Roman"/>
          <w:sz w:val="24"/>
        </w:rPr>
        <w:t xml:space="preserve"> nature of Counterfactual C. Operationally, Counterfactual C reduces cell-level propensity by 20% uniformly, leaving HEXACO scores and cluster memberships unchanged. This is a population-level statistical translation of structural change; the simulation does not endogenously model the psychological mechanisms — deterrence, perceived reporting risk, social cost, peer monitoring — through which institutional intervention actually reduces harassment behavior.</w:t>
      </w:r>
    </w:p>
    <w:p>
      <w:pPr>
        <w:spacing w:line="480" w:lineRule="auto" w:before="0" w:after="0"/>
        <w:ind w:firstLine="720"/>
      </w:pPr>
      <w:r>
        <w:rPr>
          <w:rFonts w:ascii="Times New Roman" w:hAnsi="Times New Roman" w:eastAsia="Times New Roman"/>
          <w:sz w:val="24"/>
        </w:rPr>
        <w:t>The simulation's contribution is therefore narrower than a mechanistic claim: it provides an apples-to-apples translation of prior meta-analytic effect sizes for structural interventions (Salin, 2021; Escartín, 2016; Hodgins et al., 2014; calibrated against MHLW 2020 Law natural experiment) into the same population-level prevalence metric used for the personality intervention (calibrated against Hudson &amp; Fraley, 2015; Roberts et al., 2017). The conclusion |ΔP_C| ≫ |ΔP_A| is conditional on these prior effect-size estimates being unbiased.</w:t>
      </w:r>
    </w:p>
    <w:p>
      <w:pPr>
        <w:spacing w:line="480" w:lineRule="auto" w:before="0" w:after="0"/>
        <w:ind w:firstLine="720"/>
      </w:pPr>
      <w:r>
        <w:rPr>
          <w:rFonts w:ascii="Times New Roman" w:hAnsi="Times New Roman" w:eastAsia="Times New Roman"/>
          <w:sz w:val="24"/>
        </w:rPr>
        <w:t>A mechanistically richer extension would adopt agent-based modeling (Schelling, 1971; Park et al., 2023) with explicit deterrence dynamics, individual-level perceived risk, and interaction with peers. Such extensions are beyond the scope of v2.0 pre-registration but are pre-flagged as Phase 2 follow-up work in the present manuscript.</w:t>
      </w:r>
    </w:p>
    <w:p>
      <w:pPr>
        <w:spacing w:line="480" w:lineRule="auto" w:before="0" w:after="0"/>
        <w:jc w:val="left"/>
      </w:pPr>
      <w:r>
        <w:rPr>
          <w:rFonts w:ascii="Times New Roman" w:hAnsi="Times New Roman" w:eastAsia="Times New Roman"/>
          <w:b/>
          <w:sz w:val="24"/>
        </w:rPr>
        <w:t>Causal under-identification among M2/M3/M4</w:t>
      </w:r>
    </w:p>
    <w:p>
      <w:pPr>
        <w:spacing w:line="480" w:lineRule="auto" w:before="0" w:after="0"/>
        <w:ind w:firstLine="720"/>
      </w:pPr>
      <w:r>
        <w:rPr>
          <w:rFonts w:ascii="Times New Roman" w:hAnsi="Times New Roman" w:eastAsia="Times New Roman"/>
          <w:sz w:val="24"/>
        </w:rPr>
        <w:t>Our analysis can reject M1 (direct personality-causation of harassment) but cannot distinguish among M2 (selection into harassment-prone environments), M3 (confounding via SES/educational/economic factors), or M4 (reverse causation: harassment depresses HEXACO-H scores via cynicism). Each of these is consistent with our Counterfactual A null result. Identification would require either: (a) an exogenous shock or instrumental variable affecting HEXACO scores independent of harassment exposure; (b) a longitudinal design with pre-employment HEXACO measurement; or (c) a sibling/twin-controlled design. None of these is feasible within the present cross-sectional preregistration. Consequently, the substantive interpretation of the low-HH–harassment association is left open at the level of mechanism, while the policy implication (structural intervention dominance) is unaffected.</w:t>
      </w:r>
    </w:p>
    <w:p>
      <w:pPr>
        <w:spacing w:line="480" w:lineRule="auto" w:before="0" w:after="0"/>
        <w:jc w:val="left"/>
      </w:pPr>
      <w:r>
        <w:rPr>
          <w:rFonts w:ascii="Times New Roman" w:hAnsi="Times New Roman" w:eastAsia="Times New Roman"/>
          <w:b/>
          <w:sz w:val="24"/>
        </w:rPr>
        <w:t>Heterogeneity in counterfactual response</w:t>
      </w:r>
    </w:p>
    <w:p>
      <w:pPr>
        <w:spacing w:line="480" w:lineRule="auto" w:before="0" w:after="0"/>
        <w:ind w:firstLine="720"/>
      </w:pPr>
      <w:r>
        <w:rPr>
          <w:rFonts w:ascii="Times New Roman" w:hAnsi="Times New Roman" w:eastAsia="Times New Roman"/>
          <w:sz w:val="24"/>
        </w:rPr>
        <w:t>Counterfactual C is operationalized as a uniform 20% reduction across all 14 cells. In reality, structural interventions plausibly differ in efficacy across HEXACO 7-typology × gender combinations: cell-specific intervention effects could amplify or attenuate the global average. Our analysis does not estimate cell-specific intervention efficacy. A natural extension is to allow ΔP_C to vary by cell, parameterized as a multiplicative factor F_c per cell, and to estimate F_c via auxiliary data (e.g., MHLW industry × gender breakdowns of intervention adoption).</w:t>
      </w:r>
    </w:p>
    <w:p>
      <w:pPr>
        <w:spacing w:line="480" w:lineRule="auto" w:before="0" w:after="0"/>
        <w:jc w:val="left"/>
      </w:pPr>
      <w:r>
        <w:rPr>
          <w:rFonts w:ascii="Times New Roman" w:hAnsi="Times New Roman" w:eastAsia="Times New Roman"/>
          <w:b/>
          <w:sz w:val="24"/>
        </w:rPr>
        <w:t>Static framing</w:t>
      </w:r>
    </w:p>
    <w:p>
      <w:pPr>
        <w:spacing w:line="480" w:lineRule="auto" w:before="0" w:after="0"/>
        <w:ind w:firstLine="720"/>
      </w:pPr>
      <w:r>
        <w:rPr>
          <w:rFonts w:ascii="Times New Roman" w:hAnsi="Times New Roman" w:eastAsia="Times New Roman"/>
          <w:sz w:val="24"/>
        </w:rPr>
        <w:t>The simulation produces a single population-level snapshot under each counterfactual; it does not model dynamic effects such as institutional erosion (intervention efficacy decay over time), behavioral adaptation (perpetrator response), or composition change (workforce HEXACO drift). Stage 8's transportability factor sweep partially addresses this concern by stress-testing the conclusion against attenuation, but a fully dynamic agent-based extension is required for endogenous modeling of these mechanisms.</w:t>
      </w:r>
    </w:p>
    <w:p>
      <w:pPr>
        <w:spacing w:line="480" w:lineRule="auto" w:before="0" w:after="0"/>
        <w:jc w:val="left"/>
      </w:pPr>
      <w:r>
        <w:rPr>
          <w:rFonts w:ascii="Times New Roman" w:hAnsi="Times New Roman" w:eastAsia="Times New Roman"/>
          <w:b/>
          <w:sz w:val="24"/>
        </w:rPr>
        <w:t>m8 limitation: cluster proportions M3-fixed</w:t>
      </w:r>
    </w:p>
    <w:p>
      <w:pPr>
        <w:spacing w:line="480" w:lineRule="auto" w:before="0" w:after="0"/>
        <w:ind w:firstLine="720"/>
      </w:pPr>
      <w:r>
        <w:rPr>
          <w:rFonts w:ascii="Times New Roman" w:hAnsi="Times New Roman" w:eastAsia="Times New Roman"/>
          <w:sz w:val="24"/>
        </w:rPr>
        <w:t xml:space="preserve">Per Methods Clarification m8, the 7-cluster proportions used in Stage 1 reweighting remain fixed at the Tokiwa (2026, </w:t>
      </w:r>
      <w:r>
        <w:rPr>
          <w:rFonts w:ascii="Times New Roman" w:hAnsi="Times New Roman" w:eastAsia="Times New Roman"/>
          <w:i/>
          <w:sz w:val="24"/>
        </w:rPr>
        <w:t>IEEE Access</w:t>
      </w:r>
      <w:r>
        <w:rPr>
          <w:rFonts w:ascii="Times New Roman" w:hAnsi="Times New Roman" w:eastAsia="Times New Roman"/>
          <w:sz w:val="24"/>
        </w:rPr>
        <w:t>) values for N = 13,668; only the gender marginal is updated to the Statistics Bureau (MIC) 2022 working-population value. This is a conscious limitation: the Labor Force Survey does not capture HEXACO cluster membership, so the cluster proportions cannot be updated. The OAT sensitivity sweep over cluster mass shifts (Results — Sensitivity sweep) shows that the H1 conclusion depends on the cluster proportions, with MAPE ranging from 34.55% (favorable composition) to 56.47% (unfavorable). We disclose this dependency explicitly and recommend that future Phase 2 work integrate larger-sample HEXACO surveys (e.g., the JLPS panel) to relax this constraint.</w:t>
      </w:r>
    </w:p>
    <w:p>
      <w:pPr>
        <w:spacing w:line="480" w:lineRule="auto" w:before="0" w:after="0"/>
        <w:jc w:val="left"/>
      </w:pPr>
      <w:r>
        <w:rPr>
          <w:rFonts w:ascii="Times New Roman" w:hAnsi="Times New Roman" w:eastAsia="Times New Roman"/>
          <w:b/>
          <w:sz w:val="24"/>
        </w:rPr>
        <w:t>Sample-size and external-validity caveats</w:t>
      </w:r>
    </w:p>
    <w:p>
      <w:pPr>
        <w:spacing w:line="480" w:lineRule="auto" w:before="0" w:after="0"/>
        <w:ind w:firstLine="720"/>
      </w:pPr>
      <w:r>
        <w:rPr>
          <w:rFonts w:ascii="Times New Roman" w:hAnsi="Times New Roman" w:eastAsia="Times New Roman"/>
          <w:sz w:val="24"/>
        </w:rPr>
        <w:t>The N = 354 individual-level harassment sample is demographically heterogeneous within Japan but does not match the MHLW survey's sampling frame perfectly. The cell sizes range from 10 to 70 (median 18); some cells contribute weakly to per-cell propensity precision. The sensitivity sweep over EB shrinkage scale (Results — Sensitivity sweep) confirms that estimates are robust to alternative shrinkage strengths, but precision could be improved with larger samples. We have refrained from pooling additional samples to preserve pre-registration integrity; future replication studies are encouraged.</w:t>
      </w:r>
    </w:p>
    <w:p>
      <w:pPr>
        <w:spacing w:line="480" w:lineRule="auto" w:before="0" w:after="0"/>
        <w:jc w:val="center"/>
      </w:pPr>
      <w:r>
        <w:rPr>
          <w:rFonts w:ascii="Times New Roman" w:hAnsi="Times New Roman" w:eastAsia="Times New Roman"/>
          <w:b/>
          <w:sz w:val="24"/>
        </w:rPr>
        <w:t>Research implications</w:t>
      </w:r>
    </w:p>
    <w:p>
      <w:pPr>
        <w:spacing w:line="480" w:lineRule="auto" w:before="0" w:after="0"/>
        <w:ind w:firstLine="720"/>
      </w:pPr>
      <w:r>
        <w:rPr>
          <w:rFonts w:ascii="Times New Roman" w:hAnsi="Times New Roman" w:eastAsia="Times New Roman"/>
          <w:sz w:val="24"/>
        </w:rPr>
        <w:t>The integrated findings carry three implications for subsequent research, framed at the level of theory and empirical priority rather than as prescriptive recommendations to any particular institution.</w:t>
      </w:r>
    </w:p>
    <w:p>
      <w:pPr>
        <w:spacing w:line="480" w:lineRule="auto" w:before="0" w:after="0"/>
        <w:ind w:firstLine="720"/>
      </w:pPr>
      <w:r>
        <w:rPr>
          <w:rFonts w:ascii="Times New Roman" w:hAnsi="Times New Roman" w:eastAsia="Times New Roman"/>
          <w:sz w:val="24"/>
        </w:rPr>
        <w:t xml:space="preserve">1. </w:t>
      </w:r>
      <w:r>
        <w:rPr>
          <w:rFonts w:ascii="Times New Roman" w:hAnsi="Times New Roman" w:eastAsia="Times New Roman"/>
          <w:b/>
          <w:sz w:val="24"/>
        </w:rPr>
        <w:t>Calibrated counterfactual comparison as a methodological template.</w:t>
      </w:r>
      <w:r>
        <w:rPr>
          <w:rFonts w:ascii="Times New Roman" w:hAnsi="Times New Roman" w:eastAsia="Times New Roman"/>
          <w:sz w:val="24"/>
        </w:rPr>
        <w:t xml:space="preserve"> When two intervention pathways are debated at the level of population-level efficacy but each is supported by a separate, non-comparable evidence base (training-effect meta-analyses on the personality side; organizational-intervention meta-analyses on the structural side), a microsimulation that propagates each effect-size calibration through a common population denominator provides an apples-to-apples comparison metric. The present study illustrates this template for the HEXACO–harassment context; analogous applications to other trait–outcome dyads (e.g., conscientiousness–performance, emotional stability–burnout) are a natural extension. 2. </w:t>
      </w:r>
      <w:r>
        <w:rPr>
          <w:rFonts w:ascii="Times New Roman" w:hAnsi="Times New Roman" w:eastAsia="Times New Roman"/>
          <w:b/>
          <w:sz w:val="24"/>
        </w:rPr>
        <w:t>Identification limits of HEXACO-based screening as an empirical question.</w:t>
      </w:r>
      <w:r>
        <w:rPr>
          <w:rFonts w:ascii="Times New Roman" w:hAnsi="Times New Roman" w:eastAsia="Times New Roman"/>
          <w:sz w:val="24"/>
        </w:rPr>
        <w:t xml:space="preserve"> The use of HEXACO scores in pre-employment screening to predict harassment-related risk presupposes a direct-causation reading of HEXACO–harassment associations that the present null result for Counterfactual A does not support. Because our analysis cannot adjudicate among selection (M2), confounding (M3), and reverse causation (M4), the screening question remains underdetermined and would benefit from longitudinal designs with pre-employment HEXACO measurement, sibling/twin-controlled designs, or instrumental-variable approaches. 3. </w:t>
      </w:r>
      <w:r>
        <w:rPr>
          <w:rFonts w:ascii="Times New Roman" w:hAnsi="Times New Roman" w:eastAsia="Times New Roman"/>
          <w:b/>
          <w:sz w:val="24"/>
        </w:rPr>
        <w:t>Structural-intervention efficacy as a heterogeneity question.</w:t>
      </w:r>
      <w:r>
        <w:rPr>
          <w:rFonts w:ascii="Times New Roman" w:hAnsi="Times New Roman" w:eastAsia="Times New Roman"/>
          <w:sz w:val="24"/>
        </w:rPr>
        <w:t xml:space="preserve"> Counterfactual C is operationalized as a uniform 20% reduction across all 14 cells. A natural empirical extension is to estimate cell-specific structural-intervention efficacy F_c using auxiliary data linking adoption of organizational reforms to harassment-prevalence change, allowing the global ordering reported here to be refined into subgroup-specific estimates. Such estimates would also inform the substantive interpretation of the MHLW FY2016 → FY2023 decline, which the present design treats as substantive context rather than as a formal causal estimand.</w:t>
      </w:r>
    </w:p>
    <w:p>
      <w:pPr>
        <w:spacing w:line="480" w:lineRule="auto" w:before="0" w:after="0"/>
        <w:jc w:val="center"/>
      </w:pPr>
      <w:r>
        <w:rPr>
          <w:rFonts w:ascii="Times New Roman" w:hAnsi="Times New Roman" w:eastAsia="Times New Roman"/>
          <w:b/>
          <w:sz w:val="24"/>
        </w:rPr>
        <w:t>Conclusion</w:t>
      </w:r>
    </w:p>
    <w:p>
      <w:pPr>
        <w:spacing w:line="480" w:lineRule="auto" w:before="0" w:after="0"/>
        <w:ind w:firstLine="720"/>
      </w:pPr>
      <w:r>
        <w:rPr>
          <w:rFonts w:ascii="Times New Roman" w:hAnsi="Times New Roman" w:eastAsia="Times New Roman"/>
          <w:sz w:val="24"/>
        </w:rPr>
        <w:t>We pre-registered and executed a HEXACO 7-typology workplace-harassment microsimulation that emulates a target trial of three counterfactual interventions in Japan. The null contrasts for the personality-intervention counterfactuals (ΔP_A = −0.0061 and ΔP_B = −0.0059, both with 95% CIs crossing zero) and the positive contrast for the structural-intervention counterfactual (ΔP_C = +0.0349, 95% CI excluding zero), together with the H7 IUT classification of REVERSAL across all four pre-registered cultural-attenuation factors, indicate that — under the prior meta-analytic effect sizes from which each counterfactual was calibrated — the absolute population-level magnitude of the structural-pathway contrast exceeds that of the personality-pathway contrast by approximately five-fold. The MHLW FY2016 → FY2023 13.2 pp decline provides substantive context for this ordering rather than a formal causal estimand. We argue, narrowly, that the analysis is consistent with treating HEXACO 7-typology as a stratification lens identifying differentially exposed subpopulations rather than as a target for individual-level intervention, and we caution against interpretations that outrun this evidence. All code, data, and intermediate artifacts are publicly available under MIT license; full reproducibility is verified via SHA-256 hash comparison against the v2.0 OSF registration.</w:t>
      </w:r>
    </w:p>
    <w:p>
      <w:r>
        <w:br w:type="page"/>
      </w:r>
    </w:p>
    <w:p>
      <w:pPr>
        <w:spacing w:line="480" w:lineRule="auto" w:before="0" w:after="0"/>
        <w:jc w:val="center"/>
      </w:pPr>
      <w:r>
        <w:rPr>
          <w:rFonts w:ascii="Times New Roman" w:hAnsi="Times New Roman" w:eastAsia="Times New Roman"/>
          <w:b/>
          <w:sz w:val="24"/>
        </w:rPr>
        <w:t>References</w:t>
      </w:r>
    </w:p>
    <w:p>
      <w:pPr>
        <w:spacing w:line="480" w:lineRule="auto" w:before="0" w:after="0"/>
        <w:ind w:left="720" w:hanging="720"/>
      </w:pPr>
      <w:r>
        <w:rPr>
          <w:rFonts w:ascii="Times New Roman" w:hAnsi="Times New Roman" w:eastAsia="Times New Roman"/>
          <w:sz w:val="24"/>
        </w:rPr>
        <w:t>Ashton, M. C., &amp; Lee, K. (2007). Empirical, theoretical, and practical advantages of the HEXACO model of personality structure. Personality and Social Psychology Review, 11(2), 150–166. https://doi.org/10.1177/1088868306294907</w:t>
      </w:r>
    </w:p>
    <w:p>
      <w:pPr>
        <w:spacing w:line="480" w:lineRule="auto" w:before="0" w:after="0"/>
        <w:ind w:left="720" w:hanging="720"/>
      </w:pPr>
      <w:r>
        <w:rPr>
          <w:rFonts w:ascii="Times New Roman" w:hAnsi="Times New Roman" w:eastAsia="Times New Roman"/>
          <w:sz w:val="24"/>
        </w:rPr>
        <w:t>Ashton, M. C., &amp; Lee, K. (2009). The HEXACO-60: A short measure of the major dimensions of personality. Journal of Personality Assessment, 91(4), 340–345. https://doi.org/10.1080/00223890902935878</w:t>
      </w:r>
    </w:p>
    <w:p>
      <w:pPr>
        <w:spacing w:line="480" w:lineRule="auto" w:before="0" w:after="0"/>
        <w:ind w:left="720" w:hanging="720"/>
      </w:pPr>
      <w:r>
        <w:rPr>
          <w:rFonts w:ascii="Times New Roman" w:hAnsi="Times New Roman" w:eastAsia="Times New Roman"/>
          <w:sz w:val="24"/>
        </w:rPr>
        <w:t>Berger, R. L., &amp; Hsu, J. C. (1996). Bioequivalence trials, intersection-union tests and equivalence confidence sets. Statistical Science, 11(4), 283–319. https://doi.org/10.1214/ss/1032280304</w:t>
      </w:r>
    </w:p>
    <w:p>
      <w:pPr>
        <w:spacing w:line="480" w:lineRule="auto" w:before="0" w:after="0"/>
        <w:ind w:left="720" w:hanging="720"/>
      </w:pPr>
      <w:r>
        <w:rPr>
          <w:rFonts w:ascii="Times New Roman" w:hAnsi="Times New Roman" w:eastAsia="Times New Roman"/>
          <w:sz w:val="24"/>
        </w:rPr>
        <w:t>Carlin, B. P., &amp; Louis, T. A. (2000). Bayes and empirical Bayes methods for data analysis (2nd ed.). Chapman &amp; Hall/CRC.</w:t>
      </w:r>
    </w:p>
    <w:p>
      <w:pPr>
        <w:spacing w:line="480" w:lineRule="auto" w:before="0" w:after="0"/>
        <w:ind w:left="720" w:hanging="720"/>
      </w:pPr>
      <w:r>
        <w:rPr>
          <w:rFonts w:ascii="Times New Roman" w:hAnsi="Times New Roman" w:eastAsia="Times New Roman"/>
          <w:sz w:val="24"/>
        </w:rPr>
        <w:t>Efron, B. (1987). Better bootstrap confidence intervals. Journal of the American Statistical Association, 82(397), 171–185. https://doi.org/10.1080/01621459.1987.10478410</w:t>
      </w:r>
    </w:p>
    <w:p>
      <w:pPr>
        <w:spacing w:line="480" w:lineRule="auto" w:before="0" w:after="0"/>
        <w:ind w:left="720" w:hanging="720"/>
      </w:pPr>
      <w:r>
        <w:rPr>
          <w:rFonts w:ascii="Times New Roman" w:hAnsi="Times New Roman" w:eastAsia="Times New Roman"/>
          <w:sz w:val="24"/>
        </w:rPr>
        <w:t>Escartín, J. (2016). Insights into workplace bullying: Psychosocial drivers and effective interventions. Psychology Research and Behavior Management, 9, 157–169. https://doi.org/10.2147/PRBM.S91211</w:t>
      </w:r>
    </w:p>
    <w:p>
      <w:pPr>
        <w:spacing w:line="480" w:lineRule="auto" w:before="0" w:after="0"/>
        <w:ind w:left="720" w:hanging="720"/>
      </w:pPr>
      <w:r>
        <w:rPr>
          <w:rFonts w:ascii="Times New Roman" w:hAnsi="Times New Roman" w:eastAsia="Times New Roman"/>
          <w:sz w:val="24"/>
        </w:rPr>
        <w:t>Glasø, L., Matthiesen, S. B., Nielsen, M. B., &amp; Einarsen, S. (2007). Do targets of workplace bullying portray a general victim personality profile? Scandinavian Journal of Psychology, 48(4), 313–319. https://doi.org/10.1111/j.1467-9450.2007.00554.x</w:t>
      </w:r>
    </w:p>
    <w:p>
      <w:pPr>
        <w:spacing w:line="480" w:lineRule="auto" w:before="0" w:after="0"/>
        <w:ind w:left="720" w:hanging="720"/>
      </w:pPr>
      <w:r>
        <w:rPr>
          <w:rFonts w:ascii="Times New Roman" w:hAnsi="Times New Roman" w:eastAsia="Times New Roman"/>
          <w:sz w:val="24"/>
        </w:rPr>
        <w:t>Hernán, M. A., &amp; Robins, J. M. (2016). Using big data to emulate a target trial when a randomized trial is not available. American Journal of Epidemiology, 183(8), 758–764. https://doi.org/10.1093/aje/kwv254</w:t>
      </w:r>
    </w:p>
    <w:p>
      <w:pPr>
        <w:spacing w:line="480" w:lineRule="auto" w:before="0" w:after="0"/>
        <w:ind w:left="720" w:hanging="720"/>
      </w:pPr>
      <w:r>
        <w:rPr>
          <w:rFonts w:ascii="Times New Roman" w:hAnsi="Times New Roman" w:eastAsia="Times New Roman"/>
          <w:sz w:val="24"/>
        </w:rPr>
        <w:t>Hernán, M. A., &amp; Robins, J. M. (2020). Causal inference: What if. Chapman &amp; Hall/CRC. https://www.hsph.harvard.edu/miguel-hernan/causal-inference-book/</w:t>
      </w:r>
    </w:p>
    <w:p>
      <w:pPr>
        <w:spacing w:line="480" w:lineRule="auto" w:before="0" w:after="0"/>
        <w:ind w:left="720" w:hanging="720"/>
      </w:pPr>
      <w:r>
        <w:rPr>
          <w:rFonts w:ascii="Times New Roman" w:hAnsi="Times New Roman" w:eastAsia="Times New Roman"/>
          <w:sz w:val="24"/>
        </w:rPr>
        <w:t>Hershcovis, M. S., &amp; Barling, J. (2010). Towards a multi-foci approach to workplace aggression: A meta-analytic review of outcomes from different perpetrators. Journal of Organizational Behavior, 31(1), 24–44. https://doi.org/10.1002/job.621</w:t>
      </w:r>
    </w:p>
    <w:p>
      <w:pPr>
        <w:spacing w:line="480" w:lineRule="auto" w:before="0" w:after="0"/>
        <w:ind w:left="720" w:hanging="720"/>
      </w:pPr>
      <w:r>
        <w:rPr>
          <w:rFonts w:ascii="Times New Roman" w:hAnsi="Times New Roman" w:eastAsia="Times New Roman"/>
          <w:sz w:val="24"/>
        </w:rPr>
        <w:t>Hodgins, M., MacCurtain, S., &amp; Mannix-McNamara, P. (2014). Workplace bullying and incivility: A systematic review of interventions. International Journal of Workplace Health Management, 7(1), 54–72. https://doi.org/10.1108/IJWHM-08-2013-0030</w:t>
      </w:r>
    </w:p>
    <w:p>
      <w:pPr>
        <w:spacing w:line="480" w:lineRule="auto" w:before="0" w:after="0"/>
        <w:ind w:left="720" w:hanging="720"/>
      </w:pPr>
      <w:r>
        <w:rPr>
          <w:rFonts w:ascii="Times New Roman" w:hAnsi="Times New Roman" w:eastAsia="Times New Roman"/>
          <w:sz w:val="24"/>
        </w:rPr>
        <w:t>Hudgens, M. G., &amp; Halloran, M. E. (2008). Toward causal inference with interference. Journal of the American Statistical Association, 103(482), 832–842. https://doi.org/10.1198/016214508000000292</w:t>
      </w:r>
    </w:p>
    <w:p>
      <w:pPr>
        <w:spacing w:line="480" w:lineRule="auto" w:before="0" w:after="0"/>
        <w:ind w:left="720" w:hanging="720"/>
      </w:pPr>
      <w:r>
        <w:rPr>
          <w:rFonts w:ascii="Times New Roman" w:hAnsi="Times New Roman" w:eastAsia="Times New Roman"/>
          <w:sz w:val="24"/>
        </w:rPr>
        <w:t>Hudson, N. W., &amp; Fraley, R. C. (2015). Volitional personality trait change: Can people choose to change their personality traits? Journal of Personality and Social Psychology, 109(3), 490–507. https://doi.org/10.1037/pspp0000021</w:t>
      </w:r>
    </w:p>
    <w:p>
      <w:pPr>
        <w:spacing w:line="480" w:lineRule="auto" w:before="0" w:after="0"/>
        <w:ind w:left="720" w:hanging="720"/>
      </w:pPr>
      <w:r>
        <w:rPr>
          <w:rFonts w:ascii="Times New Roman" w:hAnsi="Times New Roman" w:eastAsia="Times New Roman"/>
          <w:sz w:val="24"/>
        </w:rPr>
        <w:t>Kobayashi, A., &amp; Tanaka, K. (2010). Development of the Gender Harassment Scale. Japanese Journal of Industrial and Organizational Psychology, 24(1), 15–27. https://doi.org/10.32222/jaiop.24.1_15 [in Japanese]</w:t>
      </w:r>
    </w:p>
    <w:p>
      <w:pPr>
        <w:spacing w:line="480" w:lineRule="auto" w:before="0" w:after="0"/>
        <w:ind w:left="720" w:hanging="720"/>
      </w:pPr>
      <w:r>
        <w:rPr>
          <w:rFonts w:ascii="Times New Roman" w:hAnsi="Times New Roman" w:eastAsia="Times New Roman"/>
          <w:sz w:val="24"/>
        </w:rPr>
        <w:t>Lee, K., Ashton, M. C., Wiltshire, J., Bourdage, J. S., Visser, B. A., &amp; Gallucci, A. (2013). Sex, power, and money: Prediction from the Dark Triad and Honesty-Humility. European Journal of Personality, 27(2), 169–184. https://doi.org/10.1002/per.1860</w:t>
      </w:r>
    </w:p>
    <w:p>
      <w:pPr>
        <w:spacing w:line="480" w:lineRule="auto" w:before="0" w:after="0"/>
        <w:ind w:left="720" w:hanging="720"/>
      </w:pPr>
      <w:r>
        <w:rPr>
          <w:rFonts w:ascii="Times New Roman" w:hAnsi="Times New Roman" w:eastAsia="Times New Roman"/>
          <w:sz w:val="24"/>
        </w:rPr>
        <w:t>Lindell, M. K., &amp; Whitney, D. J. (2001). Accounting for common method variance in cross-sectional research designs. Journal of Applied Psychology, 86(1), 114–121. https://doi.org/10.1037/0021-9010.86.1.114</w:t>
      </w:r>
    </w:p>
    <w:p>
      <w:pPr>
        <w:spacing w:line="480" w:lineRule="auto" w:before="0" w:after="0"/>
        <w:ind w:left="720" w:hanging="720"/>
      </w:pPr>
      <w:r>
        <w:rPr>
          <w:rFonts w:ascii="Times New Roman" w:hAnsi="Times New Roman" w:eastAsia="Times New Roman"/>
          <w:sz w:val="24"/>
        </w:rPr>
        <w:t>Linton, D. K., &amp; Power, J. L. (2013). The personality traits of workplace bullies are often shared by their victims: Is there a dark side to victims? Personality and Individual Differences, 54(6), 738–743. https://doi.org/10.1016/j.paid.2012.11.026</w:t>
      </w:r>
    </w:p>
    <w:p>
      <w:pPr>
        <w:spacing w:line="480" w:lineRule="auto" w:before="0" w:after="0"/>
        <w:ind w:left="720" w:hanging="720"/>
      </w:pPr>
      <w:r>
        <w:rPr>
          <w:rFonts w:ascii="Times New Roman" w:hAnsi="Times New Roman" w:eastAsia="Times New Roman"/>
          <w:sz w:val="24"/>
        </w:rPr>
        <w:t>Mikkelsen, E. G., Hansen, Å. M., Persson, R., Byrgesen, M. F., &amp; Hogh, A. (2020). Individual consequences of being exposed to workplace bullying. In S. Einarsen, H. Hoel, D. Zapf, &amp; C. L. Cooper (Eds.), Bullying and harassment in the workplace: Theory, research and practice (3rd ed., pp. 163–208). CRC Press. https://doi.org/10.1201/9780429462528-6</w:t>
      </w:r>
    </w:p>
    <w:p>
      <w:pPr>
        <w:spacing w:line="480" w:lineRule="auto" w:before="0" w:after="0"/>
        <w:ind w:left="720" w:hanging="720"/>
      </w:pPr>
      <w:r>
        <w:rPr>
          <w:rFonts w:ascii="Times New Roman" w:hAnsi="Times New Roman" w:eastAsia="Times New Roman"/>
          <w:sz w:val="24"/>
        </w:rPr>
        <w:t>Ministry of Health, Labour and Welfare (MHLW). (2017). Workplace harassment survey: H28 (FY2016) results [Original report in Japanese]. https://www.mhlw.go.jp/</w:t>
      </w:r>
    </w:p>
    <w:p>
      <w:pPr>
        <w:spacing w:line="480" w:lineRule="auto" w:before="0" w:after="0"/>
        <w:ind w:left="720" w:hanging="720"/>
      </w:pPr>
      <w:r>
        <w:rPr>
          <w:rFonts w:ascii="Times New Roman" w:hAnsi="Times New Roman" w:eastAsia="Times New Roman"/>
          <w:sz w:val="24"/>
        </w:rPr>
        <w:t>Ministry of Health, Labour and Welfare (MHLW). (2021). Workplace harassment survey: R2 (FY2020) results [Original report in Japanese]. https://www.mhlw.go.jp/</w:t>
      </w:r>
    </w:p>
    <w:p>
      <w:pPr>
        <w:spacing w:line="480" w:lineRule="auto" w:before="0" w:after="0"/>
        <w:ind w:left="720" w:hanging="720"/>
      </w:pPr>
      <w:r>
        <w:rPr>
          <w:rFonts w:ascii="Times New Roman" w:hAnsi="Times New Roman" w:eastAsia="Times New Roman"/>
          <w:sz w:val="24"/>
        </w:rPr>
        <w:t>Ministry of Health, Labour and Welfare (MHLW). (2024). Workplace harassment survey: R5 (FY2023) results [Original report in Japanese]. https://www.mhlw.go.jp/</w:t>
      </w:r>
    </w:p>
    <w:p>
      <w:pPr>
        <w:spacing w:line="480" w:lineRule="auto" w:before="0" w:after="0"/>
        <w:ind w:left="720" w:hanging="720"/>
      </w:pPr>
      <w:r>
        <w:rPr>
          <w:rFonts w:ascii="Times New Roman" w:hAnsi="Times New Roman" w:eastAsia="Times New Roman"/>
          <w:sz w:val="24"/>
        </w:rPr>
        <w:t>Nielsen, M. B., Glasø, L., &amp; Einarsen, S. (2017). Exposure to workplace harassment and the Five Factor Model of personality: A meta-analysis. Personality and Individual Differences, 104, 195–206. https://doi.org/10.1016/j.paid.2016.08.015</w:t>
      </w:r>
    </w:p>
    <w:p>
      <w:pPr>
        <w:spacing w:line="480" w:lineRule="auto" w:before="0" w:after="0"/>
        <w:ind w:left="720" w:hanging="720"/>
      </w:pPr>
      <w:r>
        <w:rPr>
          <w:rFonts w:ascii="Times New Roman" w:hAnsi="Times New Roman" w:eastAsia="Times New Roman"/>
          <w:sz w:val="24"/>
        </w:rPr>
        <w:t>Page, E. B. (1963). Ordered hypotheses for multiple treatments: A significance test for linear ranks. Journal of the American Statistical Association, 58(301), 216–230. https://doi.org/10.1080/01621459.1963.10500843</w:t>
      </w:r>
    </w:p>
    <w:p>
      <w:pPr>
        <w:spacing w:line="480" w:lineRule="auto" w:before="0" w:after="0"/>
        <w:ind w:left="720" w:hanging="720"/>
      </w:pPr>
      <w:r>
        <w:rPr>
          <w:rFonts w:ascii="Times New Roman" w:hAnsi="Times New Roman" w:eastAsia="Times New Roman"/>
          <w:sz w:val="24"/>
        </w:rPr>
        <w:t>Park, J. S., O'Brien, J. C., Cai, C. J., Morris, M. R., Liang, P., &amp; Bernstein, M. S. (2023). Generative agents: Interactive simulacra of human behavior. In Proceedings of the 36th Annual ACM Symposium on User Interface Software and Technology (Article 2, pp. 1–22). https://doi.org/10.1145/3586183.3606763</w:t>
      </w:r>
    </w:p>
    <w:p>
      <w:pPr>
        <w:spacing w:line="480" w:lineRule="auto" w:before="0" w:after="0"/>
        <w:ind w:left="720" w:hanging="720"/>
      </w:pPr>
      <w:r>
        <w:rPr>
          <w:rFonts w:ascii="Times New Roman" w:hAnsi="Times New Roman" w:eastAsia="Times New Roman"/>
          <w:sz w:val="24"/>
        </w:rPr>
        <w:t>Pearl, J. (2009). Causality: Models, reasoning, and inference (2nd ed.). Cambridge University Press.</w:t>
      </w:r>
    </w:p>
    <w:p>
      <w:pPr>
        <w:spacing w:line="480" w:lineRule="auto" w:before="0" w:after="0"/>
        <w:ind w:left="720" w:hanging="720"/>
      </w:pPr>
      <w:r>
        <w:rPr>
          <w:rFonts w:ascii="Times New Roman" w:hAnsi="Times New Roman" w:eastAsia="Times New Roman"/>
          <w:sz w:val="24"/>
        </w:rPr>
        <w:t>Pilch, I., &amp; Turska, E. (2015). Relationships between Machiavellianism, organizational culture, and workplace bullying: Emotional abuse from the target's and the perpetrator's perspective. Journal of Business Ethics, 128(1), 83–93. https://doi.org/10.1007/s10551-014-2081-3</w:t>
      </w:r>
    </w:p>
    <w:p>
      <w:pPr>
        <w:spacing w:line="480" w:lineRule="auto" w:before="0" w:after="0"/>
        <w:ind w:left="720" w:hanging="720"/>
      </w:pPr>
      <w:r>
        <w:rPr>
          <w:rFonts w:ascii="Times New Roman" w:hAnsi="Times New Roman" w:eastAsia="Times New Roman"/>
          <w:sz w:val="24"/>
        </w:rPr>
        <w:t>Podsakoff, P. M., MacKenzie, S. B., Lee, J. Y., &amp; Podsakoff, N. P. (2003). Common method biases in behavioral research: A critical review of the literature and recommended remedies. Journal of Applied Psychology, 88(5), 879–903. https://doi.org/10.1037/0021-9010.88.5.879</w:t>
      </w:r>
    </w:p>
    <w:p>
      <w:pPr>
        <w:spacing w:line="480" w:lineRule="auto" w:before="0" w:after="0"/>
        <w:ind w:left="720" w:hanging="720"/>
      </w:pPr>
      <w:r>
        <w:rPr>
          <w:rFonts w:ascii="Times New Roman" w:hAnsi="Times New Roman" w:eastAsia="Times New Roman"/>
          <w:sz w:val="24"/>
        </w:rPr>
        <w:t>Power, J. L., Brotheridge, C. M., Blenkinsopp, J., Bowes-Sperry, L., Bozionelos, N., Buzády, Z., Chuang, A., Drnevich, D., Garzon-Vico, A., Leighton, C., Madero, S. M., Mak, W., Mathew, R., Monserrat, S. I., Mujtaba, B. G., Olivas-Lujan, M. R., Polycroniou, P., Sprigg, C. A., Axtell, C., … Nnedum, A. U. O. (2013). Acceptability of workplace bullying: A comparative study on six continents. Journal of Business Research, 66(3), 374–380. https://doi.org/10.1016/j.jbusres.2011.08.018</w:t>
      </w:r>
    </w:p>
    <w:p>
      <w:pPr>
        <w:spacing w:line="480" w:lineRule="auto" w:before="0" w:after="0"/>
        <w:ind w:left="720" w:hanging="720"/>
      </w:pPr>
      <w:r>
        <w:rPr>
          <w:rFonts w:ascii="Times New Roman" w:hAnsi="Times New Roman" w:eastAsia="Times New Roman"/>
          <w:sz w:val="24"/>
        </w:rPr>
        <w:t>Roberts, B. W., Luo, J., Briley, D. A., Chow, P. I., Su, R., &amp; Hill, P. L. (2017). A systematic review of personality trait change through intervention. Psychological Bulletin, 143(2), 117–141. https://doi.org/10.1037/bul0000088</w:t>
      </w:r>
    </w:p>
    <w:p>
      <w:pPr>
        <w:spacing w:line="480" w:lineRule="auto" w:before="0" w:after="0"/>
        <w:ind w:left="720" w:hanging="720"/>
      </w:pPr>
      <w:r>
        <w:rPr>
          <w:rFonts w:ascii="Times New Roman" w:hAnsi="Times New Roman" w:eastAsia="Times New Roman"/>
          <w:sz w:val="24"/>
        </w:rPr>
        <w:t>Rutter, C. M., Zaslavsky, A. M., &amp; Feuer, E. J. (2011). Dynamic microsimulation models for health outcomes: A review. Medical Decision Making, 31(1), 10–18. https://doi.org/10.1177/0272989X10369005</w:t>
      </w:r>
    </w:p>
    <w:p>
      <w:pPr>
        <w:spacing w:line="480" w:lineRule="auto" w:before="0" w:after="0"/>
        <w:ind w:left="720" w:hanging="720"/>
      </w:pPr>
      <w:r>
        <w:rPr>
          <w:rFonts w:ascii="Times New Roman" w:hAnsi="Times New Roman" w:eastAsia="Times New Roman"/>
          <w:sz w:val="24"/>
        </w:rPr>
        <w:t>Salin, D. (2003). Ways of explaining workplace bullying: A review of enabling, motivating and precipitating structures and processes in the work environment. Human Relations, 56(10), 1213–1232. https://doi.org/10.1177/00187267035610003</w:t>
      </w:r>
    </w:p>
    <w:p>
      <w:pPr>
        <w:spacing w:line="480" w:lineRule="auto" w:before="0" w:after="0"/>
        <w:ind w:left="720" w:hanging="720"/>
      </w:pPr>
      <w:r>
        <w:rPr>
          <w:rFonts w:ascii="Times New Roman" w:hAnsi="Times New Roman" w:eastAsia="Times New Roman"/>
          <w:sz w:val="24"/>
        </w:rPr>
        <w:t>Salin, D. (2021). Workplace bullying and gender: An overview of empirical findings. In P. D'Cruz, E. Noronha, C. Caponecchia, J. Escartín, D. Salin, &amp; M. R. Tuckey (Eds.), Dignity and inclusion at work: Handbooks of workplace bullying, emotional abuse and harassment (Vol. 3, pp. 331–361). Springer. https://doi.org/10.1007/978-981-13-0218-3_12</w:t>
      </w:r>
    </w:p>
    <w:p>
      <w:pPr>
        <w:spacing w:line="480" w:lineRule="auto" w:before="0" w:after="0"/>
        <w:ind w:left="720" w:hanging="720"/>
      </w:pPr>
      <w:r>
        <w:rPr>
          <w:rFonts w:ascii="Times New Roman" w:hAnsi="Times New Roman" w:eastAsia="Times New Roman"/>
          <w:sz w:val="24"/>
        </w:rPr>
        <w:t>Schelling, T. C. (1971). Dynamic models of segregation. Journal of Mathematical Sociology, 1(2), 143–186. https://doi.org/10.1080/0022250X.1971.9989794</w:t>
      </w:r>
    </w:p>
    <w:p>
      <w:pPr>
        <w:spacing w:line="480" w:lineRule="auto" w:before="0" w:after="0"/>
        <w:ind w:left="720" w:hanging="720"/>
      </w:pPr>
      <w:r>
        <w:rPr>
          <w:rFonts w:ascii="Times New Roman" w:hAnsi="Times New Roman" w:eastAsia="Times New Roman"/>
          <w:sz w:val="24"/>
        </w:rPr>
        <w:t>Spielauer, M. (2011). What is social science microsimulation? Social Science Computer Review, 29(1), 9–20. https://doi.org/10.1177/0894439310370085</w:t>
      </w:r>
    </w:p>
    <w:p>
      <w:pPr>
        <w:spacing w:line="480" w:lineRule="auto" w:before="0" w:after="0"/>
        <w:ind w:left="720" w:hanging="720"/>
      </w:pPr>
      <w:r>
        <w:rPr>
          <w:rFonts w:ascii="Times New Roman" w:hAnsi="Times New Roman" w:eastAsia="Times New Roman"/>
          <w:sz w:val="24"/>
        </w:rPr>
        <w:t>Statistics Bureau, Ministry of Internal Affairs and Communications. (2023). Labour Force Survey (Basic Tabulation): 2022 Annual Average Results Summary [Original report in Japanese]. Tokyo: Statistics Bureau. Retrieved 2026-04-30 from https://www.e-stat.go.jp/</w:t>
      </w:r>
    </w:p>
    <w:p>
      <w:pPr>
        <w:spacing w:line="480" w:lineRule="auto" w:before="0" w:after="0"/>
        <w:ind w:left="720" w:hanging="720"/>
      </w:pPr>
      <w:r>
        <w:rPr>
          <w:rFonts w:ascii="Times New Roman" w:hAnsi="Times New Roman" w:eastAsia="Times New Roman"/>
          <w:sz w:val="24"/>
        </w:rPr>
        <w:t>Tokiwa, E. (2026). Cultural influences on personality types: A cluster analysis of HEXACO traits in Japan. IEEE Access. https://doi.org/10.1109/ACCESS.2026.3651324</w:t>
      </w:r>
    </w:p>
    <w:p>
      <w:pPr>
        <w:spacing w:line="480" w:lineRule="auto" w:before="0" w:after="0"/>
        <w:ind w:left="720" w:hanging="720"/>
      </w:pPr>
      <w:r>
        <w:rPr>
          <w:rFonts w:ascii="Times New Roman" w:hAnsi="Times New Roman" w:eastAsia="Times New Roman"/>
          <w:sz w:val="24"/>
        </w:rPr>
        <w:t>Tokiwa, E. (2025). Predicting power and gender harassment from HEXACO and Dark Traits (Version 1) [Preprint]. Research Square. https://doi.org/10.21203/rs.3.rs-7756124/v1</w:t>
      </w:r>
    </w:p>
    <w:p>
      <w:pPr>
        <w:spacing w:line="480" w:lineRule="auto" w:before="0" w:after="0"/>
        <w:ind w:left="720" w:hanging="720"/>
      </w:pPr>
      <w:r>
        <w:rPr>
          <w:rFonts w:ascii="Times New Roman" w:hAnsi="Times New Roman" w:eastAsia="Times New Roman"/>
          <w:sz w:val="24"/>
        </w:rPr>
        <w:t>Tou, K., Tsuda, A., Nii, M., Yamahiro, T., &amp; Irie, M. (2017). Development of new power harassment questionnaire in workplace. In Proceedings of the 81st Annual Convention of the Japanese Psychological Association. Japanese Psychological Association. [Conference paper; in Japanese]</w:t>
      </w:r>
    </w:p>
    <w:p>
      <w:pPr>
        <w:spacing w:line="480" w:lineRule="auto" w:before="0" w:after="0"/>
        <w:ind w:left="720" w:hanging="720"/>
      </w:pPr>
      <w:r>
        <w:rPr>
          <w:rFonts w:ascii="Times New Roman" w:hAnsi="Times New Roman" w:eastAsia="Times New Roman"/>
          <w:sz w:val="24"/>
        </w:rPr>
        <w:t>Wakabayashi, A. (2014). A sixth personality domain that is independent of the Big Five domains: The psychometric properties of the HEXACO Personality Inventory in a Japanese sample. Japanese Psychological Research, 56(3), 211–223. https://doi.org/10.1111/jpr.12045</w:t>
      </w:r>
    </w:p>
    <w:p>
      <w:pPr>
        <w:spacing w:line="480" w:lineRule="auto" w:before="0" w:after="0"/>
        <w:jc w:val="center"/>
      </w:pPr>
      <w:r>
        <w:rPr>
          <w:rFonts w:ascii="Times New Roman" w:hAnsi="Times New Roman" w:eastAsia="Times New Roman"/>
          <w:b/>
          <w:sz w:val="24"/>
        </w:rPr>
        <w:t>Reference notes</w:t>
      </w:r>
    </w:p>
    <w:p>
      <w:pPr>
        <w:spacing w:line="480" w:lineRule="auto" w:before="0" w:after="0"/>
        <w:ind w:left="720" w:hanging="720"/>
      </w:pPr>
      <w:r>
        <w:rPr>
          <w:rFonts w:ascii="Times New Roman" w:hAnsi="Times New Roman" w:eastAsia="Times New Roman"/>
          <w:sz w:val="24"/>
        </w:rPr>
        <w:t>1. Tokiwa (2026, IEEE Access) and Tokiwa (2025, Research Square preprint) are self-citations from the same author; their DOIs (10.1109/ACCESS.2026.3651324 and 10.21203/rs.3.rs-7756124/v1, respectively) are confirmed and resolvable as of submission. 2. MHLW survey series citations point to the Japanese government MHLW website; English-language summaries are available at the same URL with ?lang=en query parameter (verification recommended at submission time). 3. Kobayashi &amp; Tanaka (2010) and Tou et al. (2017) citations sourced from Tokiwa (2025) harassment preprint Manuscript_all.docx (verified 2026-04-30); the Tou et al. (2017) reference is a Japanese Psychological Association conference proceedings rather than a journal article. 4. Roberts et al. (2017) is the principal personality-change-intervention meta-analysis cited alongside Hudson and Fraley (2015) for the +0.3 SD upper-bound calibration of Counterfactual A.</w:t>
      </w:r>
    </w:p>
    <w:p>
      <w:r>
        <w:br w:type="page"/>
      </w:r>
    </w:p>
    <w:p>
      <w:pPr>
        <w:spacing w:line="480" w:lineRule="auto" w:before="0" w:after="0"/>
        <w:jc w:val="center"/>
      </w:pPr>
      <w:r>
        <w:rPr>
          <w:rFonts w:ascii="Times New Roman" w:hAnsi="Times New Roman" w:eastAsia="Times New Roman"/>
          <w:b/>
          <w:sz w:val="24"/>
        </w:rPr>
        <w:t>Tables</w:t>
      </w:r>
    </w:p>
    <w:p>
      <w:pPr>
        <w:spacing w:line="480" w:lineRule="auto" w:before="0" w:after="0"/>
        <w:jc w:val="left"/>
      </w:pPr>
      <w:r>
        <w:rPr>
          <w:rFonts w:ascii="Times New Roman" w:hAnsi="Times New Roman" w:eastAsia="Times New Roman"/>
          <w:b/>
          <w:sz w:val="24"/>
        </w:rPr>
        <w:t>Table 1. H1 Four-Tier Classification of Mean Absolute Percentage Error (MAPE) Across Three MHLW Validation Periods</w:t>
      </w:r>
    </w:p>
    <w:p>
      <w:pPr>
        <w:spacing w:line="480" w:lineRule="auto" w:before="0" w:after="0"/>
      </w:pPr>
      <w:r>
        <w:rPr>
          <w:rFonts w:ascii="Times New Roman" w:hAnsi="Times New Roman" w:eastAsia="Times New Roman"/>
          <w:i/>
          <w:sz w:val="24"/>
        </w:rPr>
        <w:t>Note</w:t>
      </w:r>
      <w:r>
        <w:rPr>
          <w:rFonts w:ascii="Times New Roman" w:hAnsi="Times New Roman" w:eastAsia="Times New Roman"/>
          <w:sz w:val="24"/>
        </w:rPr>
        <w:t>. Predicted values are computed via 14-cell HEXACO 7-typology × gender propensity weighted by Statistics Bureau (MIC) Labor Force Survey 2022 marginals. Bootstrap 95% CIs use B = 10,000 cell-stratified resamples (Methods Clarification m3). Tier classification per pre-registered four-tier hierarchy (v2.0 Section 5.4).</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eastAsia="Times New Roman"/>
                <w:b/>
                <w:sz w:val="22"/>
              </w:rPr>
              <w:t>Period (MHLW)</w:t>
            </w:r>
          </w:p>
        </w:tc>
        <w:tc>
          <w:tcPr>
            <w:tcW w:type="dxa" w:w="1560"/>
          </w:tcPr>
          <w:p>
            <w:r>
              <w:rPr>
                <w:rFonts w:ascii="Times New Roman" w:hAnsi="Times New Roman" w:eastAsia="Times New Roman"/>
                <w:b/>
                <w:sz w:val="22"/>
              </w:rPr>
              <w:t>Observed</w:t>
            </w:r>
          </w:p>
        </w:tc>
        <w:tc>
          <w:tcPr>
            <w:tcW w:type="dxa" w:w="1560"/>
          </w:tcPr>
          <w:p>
            <w:r>
              <w:rPr>
                <w:rFonts w:ascii="Times New Roman" w:hAnsi="Times New Roman" w:eastAsia="Times New Roman"/>
                <w:b/>
                <w:sz w:val="22"/>
              </w:rPr>
              <w:t>Predicted</w:t>
            </w:r>
          </w:p>
        </w:tc>
        <w:tc>
          <w:tcPr>
            <w:tcW w:type="dxa" w:w="1560"/>
          </w:tcPr>
          <w:p>
            <w:r>
              <w:rPr>
                <w:rFonts w:ascii="Times New Roman" w:hAnsi="Times New Roman" w:eastAsia="Times New Roman"/>
                <w:b/>
                <w:sz w:val="22"/>
              </w:rPr>
              <w:t>MAPE</w:t>
            </w:r>
          </w:p>
        </w:tc>
        <w:tc>
          <w:tcPr>
            <w:tcW w:type="dxa" w:w="1560"/>
          </w:tcPr>
          <w:p>
            <w:r>
              <w:rPr>
                <w:rFonts w:ascii="Times New Roman" w:hAnsi="Times New Roman" w:eastAsia="Times New Roman"/>
                <w:b/>
                <w:sz w:val="22"/>
              </w:rPr>
              <w:t>95% CI</w:t>
            </w:r>
          </w:p>
        </w:tc>
        <w:tc>
          <w:tcPr>
            <w:tcW w:type="dxa" w:w="1560"/>
          </w:tcPr>
          <w:p>
            <w:r>
              <w:rPr>
                <w:rFonts w:ascii="Times New Roman" w:hAnsi="Times New Roman" w:eastAsia="Times New Roman"/>
                <w:b/>
                <w:sz w:val="22"/>
              </w:rPr>
              <w:t>Tier</w:t>
            </w:r>
          </w:p>
        </w:tc>
      </w:tr>
      <w:tr>
        <w:tc>
          <w:tcPr>
            <w:tcW w:type="dxa" w:w="1560"/>
          </w:tcPr>
          <w:p>
            <w:r>
              <w:rPr>
                <w:rFonts w:ascii="Times New Roman" w:hAnsi="Times New Roman" w:eastAsia="Times New Roman"/>
                <w:b w:val="0"/>
                <w:sz w:val="22"/>
              </w:rPr>
              <w:t>FY2016 (32.5%, primary)</w:t>
            </w:r>
          </w:p>
        </w:tc>
        <w:tc>
          <w:tcPr>
            <w:tcW w:type="dxa" w:w="1560"/>
          </w:tcPr>
          <w:p>
            <w:r>
              <w:rPr>
                <w:rFonts w:ascii="Times New Roman" w:hAnsi="Times New Roman" w:eastAsia="Times New Roman"/>
                <w:b w:val="0"/>
                <w:sz w:val="22"/>
              </w:rPr>
              <w:t>0.325</w:t>
            </w:r>
          </w:p>
        </w:tc>
        <w:tc>
          <w:tcPr>
            <w:tcW w:type="dxa" w:w="1560"/>
          </w:tcPr>
          <w:p>
            <w:r>
              <w:rPr>
                <w:rFonts w:ascii="Times New Roman" w:hAnsi="Times New Roman" w:eastAsia="Times New Roman"/>
                <w:b w:val="0"/>
                <w:sz w:val="22"/>
              </w:rPr>
              <w:t>0.1744</w:t>
            </w:r>
          </w:p>
        </w:tc>
        <w:tc>
          <w:tcPr>
            <w:tcW w:type="dxa" w:w="1560"/>
          </w:tcPr>
          <w:p>
            <w:r>
              <w:rPr>
                <w:rFonts w:ascii="Times New Roman" w:hAnsi="Times New Roman" w:eastAsia="Times New Roman"/>
                <w:b w:val="0"/>
                <w:sz w:val="22"/>
              </w:rPr>
              <w:t>46.34%</w:t>
            </w:r>
          </w:p>
        </w:tc>
        <w:tc>
          <w:tcPr>
            <w:tcW w:type="dxa" w:w="1560"/>
          </w:tcPr>
          <w:p>
            <w:r>
              <w:rPr>
                <w:rFonts w:ascii="Times New Roman" w:hAnsi="Times New Roman" w:eastAsia="Times New Roman"/>
                <w:b w:val="0"/>
                <w:sz w:val="22"/>
              </w:rPr>
              <w:t>[32.36, 59.30]</w:t>
            </w:r>
          </w:p>
        </w:tc>
        <w:tc>
          <w:tcPr>
            <w:tcW w:type="dxa" w:w="1560"/>
          </w:tcPr>
          <w:p>
            <w:r>
              <w:rPr>
                <w:rFonts w:ascii="Times New Roman" w:hAnsi="Times New Roman" w:eastAsia="Times New Roman"/>
                <w:b w:val="0"/>
                <w:sz w:val="22"/>
              </w:rPr>
              <w:t>PARTIAL SUCCESS</w:t>
            </w:r>
          </w:p>
        </w:tc>
      </w:tr>
      <w:tr>
        <w:tc>
          <w:tcPr>
            <w:tcW w:type="dxa" w:w="1560"/>
          </w:tcPr>
          <w:p>
            <w:r>
              <w:rPr>
                <w:rFonts w:ascii="Times New Roman" w:hAnsi="Times New Roman" w:eastAsia="Times New Roman"/>
                <w:b w:val="0"/>
                <w:sz w:val="22"/>
              </w:rPr>
              <w:t>FY2020 (31.4%, secondary)</w:t>
            </w:r>
          </w:p>
        </w:tc>
        <w:tc>
          <w:tcPr>
            <w:tcW w:type="dxa" w:w="1560"/>
          </w:tcPr>
          <w:p>
            <w:r>
              <w:rPr>
                <w:rFonts w:ascii="Times New Roman" w:hAnsi="Times New Roman" w:eastAsia="Times New Roman"/>
                <w:b w:val="0"/>
                <w:sz w:val="22"/>
              </w:rPr>
              <w:t>0.314</w:t>
            </w:r>
          </w:p>
        </w:tc>
        <w:tc>
          <w:tcPr>
            <w:tcW w:type="dxa" w:w="1560"/>
          </w:tcPr>
          <w:p>
            <w:r>
              <w:rPr>
                <w:rFonts w:ascii="Times New Roman" w:hAnsi="Times New Roman" w:eastAsia="Times New Roman"/>
                <w:b w:val="0"/>
                <w:sz w:val="22"/>
              </w:rPr>
              <w:t>0.1744</w:t>
            </w:r>
          </w:p>
        </w:tc>
        <w:tc>
          <w:tcPr>
            <w:tcW w:type="dxa" w:w="1560"/>
          </w:tcPr>
          <w:p>
            <w:r>
              <w:rPr>
                <w:rFonts w:ascii="Times New Roman" w:hAnsi="Times New Roman" w:eastAsia="Times New Roman"/>
                <w:b w:val="0"/>
                <w:sz w:val="22"/>
              </w:rPr>
              <w:t>44.46%</w:t>
            </w:r>
          </w:p>
        </w:tc>
        <w:tc>
          <w:tcPr>
            <w:tcW w:type="dxa" w:w="1560"/>
          </w:tcPr>
          <w:p>
            <w:r>
              <w:rPr>
                <w:rFonts w:ascii="Times New Roman" w:hAnsi="Times New Roman" w:eastAsia="Times New Roman"/>
                <w:b w:val="0"/>
                <w:sz w:val="22"/>
              </w:rPr>
              <w:t>[30.00, 57.88]</w:t>
            </w:r>
          </w:p>
        </w:tc>
        <w:tc>
          <w:tcPr>
            <w:tcW w:type="dxa" w:w="1560"/>
          </w:tcPr>
          <w:p>
            <w:r>
              <w:rPr>
                <w:rFonts w:ascii="Times New Roman" w:hAnsi="Times New Roman" w:eastAsia="Times New Roman"/>
                <w:b w:val="0"/>
                <w:sz w:val="22"/>
              </w:rPr>
              <w:t>PARTIAL SUCCESS</w:t>
            </w:r>
          </w:p>
        </w:tc>
      </w:tr>
      <w:tr>
        <w:tc>
          <w:tcPr>
            <w:tcW w:type="dxa" w:w="1560"/>
          </w:tcPr>
          <w:p>
            <w:r>
              <w:rPr>
                <w:rFonts w:ascii="Times New Roman" w:hAnsi="Times New Roman" w:eastAsia="Times New Roman"/>
                <w:b w:val="0"/>
                <w:sz w:val="22"/>
              </w:rPr>
              <w:t>FY2023 (19.3%, secondary)</w:t>
            </w:r>
          </w:p>
        </w:tc>
        <w:tc>
          <w:tcPr>
            <w:tcW w:type="dxa" w:w="1560"/>
          </w:tcPr>
          <w:p>
            <w:r>
              <w:rPr>
                <w:rFonts w:ascii="Times New Roman" w:hAnsi="Times New Roman" w:eastAsia="Times New Roman"/>
                <w:b w:val="0"/>
                <w:sz w:val="22"/>
              </w:rPr>
              <w:t>0.193</w:t>
            </w:r>
          </w:p>
        </w:tc>
        <w:tc>
          <w:tcPr>
            <w:tcW w:type="dxa" w:w="1560"/>
          </w:tcPr>
          <w:p>
            <w:r>
              <w:rPr>
                <w:rFonts w:ascii="Times New Roman" w:hAnsi="Times New Roman" w:eastAsia="Times New Roman"/>
                <w:b w:val="0"/>
                <w:sz w:val="22"/>
              </w:rPr>
              <w:t>0.1744</w:t>
            </w:r>
          </w:p>
        </w:tc>
        <w:tc>
          <w:tcPr>
            <w:tcW w:type="dxa" w:w="1560"/>
          </w:tcPr>
          <w:p>
            <w:r>
              <w:rPr>
                <w:rFonts w:ascii="Times New Roman" w:hAnsi="Times New Roman" w:eastAsia="Times New Roman"/>
                <w:b w:val="0"/>
                <w:sz w:val="22"/>
              </w:rPr>
              <w:t>9.65%</w:t>
            </w:r>
          </w:p>
        </w:tc>
        <w:tc>
          <w:tcPr>
            <w:tcW w:type="dxa" w:w="1560"/>
          </w:tcPr>
          <w:p>
            <w:r>
              <w:rPr>
                <w:rFonts w:ascii="Times New Roman" w:hAnsi="Times New Roman" w:eastAsia="Times New Roman"/>
                <w:b w:val="0"/>
                <w:sz w:val="22"/>
              </w:rPr>
              <w:t>[0.52, 31.52]</w:t>
            </w:r>
          </w:p>
        </w:tc>
        <w:tc>
          <w:tcPr>
            <w:tcW w:type="dxa" w:w="1560"/>
          </w:tcPr>
          <w:p>
            <w:r>
              <w:rPr>
                <w:rFonts w:ascii="Times New Roman" w:hAnsi="Times New Roman" w:eastAsia="Times New Roman"/>
                <w:b w:val="0"/>
                <w:sz w:val="22"/>
              </w:rPr>
              <w:t>Standard SUCCESS</w:t>
            </w:r>
          </w:p>
        </w:tc>
      </w:tr>
    </w:tbl>
    <w:p>
      <w:pPr>
        <w:spacing w:line="480" w:lineRule="auto" w:before="0" w:after="0"/>
      </w:pPr>
    </w:p>
    <w:p>
      <w:pPr>
        <w:spacing w:line="480" w:lineRule="auto" w:before="0" w:after="0"/>
        <w:jc w:val="left"/>
      </w:pPr>
      <w:r>
        <w:rPr>
          <w:rFonts w:ascii="Times New Roman" w:hAnsi="Times New Roman" w:eastAsia="Times New Roman"/>
          <w:b/>
          <w:sz w:val="24"/>
        </w:rPr>
        <w:t>Table 2. One-at-a-Time (OAT) Sensitivity Sweep Around the Locked v2.0 Main Configuration</w:t>
      </w:r>
    </w:p>
    <w:p>
      <w:pPr>
        <w:spacing w:line="480" w:lineRule="auto" w:before="0" w:after="0"/>
      </w:pPr>
      <w:r>
        <w:rPr>
          <w:rFonts w:ascii="Times New Roman" w:hAnsi="Times New Roman" w:eastAsia="Times New Roman"/>
          <w:i/>
          <w:sz w:val="24"/>
        </w:rPr>
        <w:t>Note</w:t>
      </w:r>
      <w:r>
        <w:rPr>
          <w:rFonts w:ascii="Times New Roman" w:hAnsi="Times New Roman" w:eastAsia="Times New Roman"/>
          <w:sz w:val="24"/>
        </w:rPr>
        <w:t>. Each row varies the indicated parameter family while holding remaining parameters at the v2.0 main configuration. B = 2,000 percentile CIs reported on FY2016 MAPE.</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sz w:val="22"/>
              </w:rPr>
              <w:t>Family</w:t>
            </w:r>
          </w:p>
        </w:tc>
        <w:tc>
          <w:tcPr>
            <w:tcW w:type="dxa" w:w="1872"/>
          </w:tcPr>
          <w:p>
            <w:r>
              <w:rPr>
                <w:rFonts w:ascii="Times New Roman" w:hAnsi="Times New Roman" w:eastAsia="Times New Roman"/>
                <w:b/>
                <w:sz w:val="22"/>
              </w:rPr>
              <w:t>Value</w:t>
            </w:r>
          </w:p>
        </w:tc>
        <w:tc>
          <w:tcPr>
            <w:tcW w:type="dxa" w:w="1872"/>
          </w:tcPr>
          <w:p>
            <w:r>
              <w:rPr>
                <w:rFonts w:ascii="Times New Roman" w:hAnsi="Times New Roman" w:eastAsia="Times New Roman"/>
                <w:b/>
                <w:sz w:val="22"/>
              </w:rPr>
              <w:t>MAPE</w:t>
            </w:r>
          </w:p>
        </w:tc>
        <w:tc>
          <w:tcPr>
            <w:tcW w:type="dxa" w:w="1872"/>
          </w:tcPr>
          <w:p>
            <w:r>
              <w:rPr>
                <w:rFonts w:ascii="Times New Roman" w:hAnsi="Times New Roman" w:eastAsia="Times New Roman"/>
                <w:b/>
                <w:sz w:val="22"/>
              </w:rPr>
              <w:t>95% CI</w:t>
            </w:r>
          </w:p>
        </w:tc>
        <w:tc>
          <w:tcPr>
            <w:tcW w:type="dxa" w:w="1872"/>
          </w:tcPr>
          <w:p>
            <w:r>
              <w:rPr>
                <w:rFonts w:ascii="Times New Roman" w:hAnsi="Times New Roman" w:eastAsia="Times New Roman"/>
                <w:b/>
                <w:sz w:val="22"/>
              </w:rPr>
              <w:t>Tier</w:t>
            </w:r>
          </w:p>
        </w:tc>
      </w:tr>
      <w:tr>
        <w:tc>
          <w:tcPr>
            <w:tcW w:type="dxa" w:w="1872"/>
          </w:tcPr>
          <w:p>
            <w:r>
              <w:rPr>
                <w:rFonts w:ascii="Times New Roman" w:hAnsi="Times New Roman" w:eastAsia="Times New Roman"/>
                <w:b w:val="0"/>
                <w:sz w:val="22"/>
              </w:rPr>
              <w:t>Baseline</w:t>
            </w:r>
          </w:p>
        </w:tc>
        <w:tc>
          <w:tcPr>
            <w:tcW w:type="dxa" w:w="1872"/>
          </w:tcPr>
          <w:p>
            <w:r>
              <w:rPr>
                <w:rFonts w:ascii="Times New Roman" w:hAnsi="Times New Roman" w:eastAsia="Times New Roman"/>
                <w:b w:val="0"/>
                <w:sz w:val="22"/>
              </w:rPr>
              <w:t>main_v2.0</w:t>
            </w:r>
          </w:p>
        </w:tc>
        <w:tc>
          <w:tcPr>
            <w:tcW w:type="dxa" w:w="1872"/>
          </w:tcPr>
          <w:p>
            <w:r>
              <w:rPr>
                <w:rFonts w:ascii="Times New Roman" w:hAnsi="Times New Roman" w:eastAsia="Times New Roman"/>
                <w:b w:val="0"/>
                <w:sz w:val="22"/>
              </w:rPr>
              <w:t>45.51%</w:t>
            </w:r>
          </w:p>
        </w:tc>
        <w:tc>
          <w:tcPr>
            <w:tcW w:type="dxa" w:w="1872"/>
          </w:tcPr>
          <w:p>
            <w:r>
              <w:rPr>
                <w:rFonts w:ascii="Times New Roman" w:hAnsi="Times New Roman" w:eastAsia="Times New Roman"/>
                <w:b w:val="0"/>
                <w:sz w:val="22"/>
              </w:rPr>
              <w:t>[31.5, 59.5]</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Binarization threshold</w:t>
            </w:r>
          </w:p>
        </w:tc>
        <w:tc>
          <w:tcPr>
            <w:tcW w:type="dxa" w:w="1872"/>
          </w:tcPr>
          <w:p>
            <w:r>
              <w:rPr>
                <w:rFonts w:ascii="Times New Roman" w:hAnsi="Times New Roman" w:eastAsia="Times New Roman"/>
                <w:b w:val="0"/>
                <w:sz w:val="22"/>
              </w:rPr>
              <w:t>mean+0.25 SD</w:t>
            </w:r>
          </w:p>
        </w:tc>
        <w:tc>
          <w:tcPr>
            <w:tcW w:type="dxa" w:w="1872"/>
          </w:tcPr>
          <w:p>
            <w:r>
              <w:rPr>
                <w:rFonts w:ascii="Times New Roman" w:hAnsi="Times New Roman" w:eastAsia="Times New Roman"/>
                <w:b w:val="0"/>
                <w:sz w:val="22"/>
              </w:rPr>
              <w:t>29.58%</w:t>
            </w:r>
          </w:p>
        </w:tc>
        <w:tc>
          <w:tcPr>
            <w:tcW w:type="dxa" w:w="1872"/>
          </w:tcPr>
          <w:p>
            <w:r>
              <w:rPr>
                <w:rFonts w:ascii="Times New Roman" w:hAnsi="Times New Roman" w:eastAsia="Times New Roman"/>
                <w:b w:val="0"/>
                <w:sz w:val="22"/>
              </w:rPr>
              <w:t>[13.7, 45.2]</w:t>
            </w:r>
          </w:p>
        </w:tc>
        <w:tc>
          <w:tcPr>
            <w:tcW w:type="dxa" w:w="1872"/>
          </w:tcPr>
          <w:p>
            <w:r>
              <w:rPr>
                <w:rFonts w:ascii="Times New Roman" w:hAnsi="Times New Roman" w:eastAsia="Times New Roman"/>
                <w:b w:val="0"/>
                <w:sz w:val="22"/>
              </w:rPr>
              <w:t>Standard SUCCESS</w:t>
            </w:r>
          </w:p>
        </w:tc>
      </w:tr>
      <w:tr>
        <w:tc>
          <w:tcPr>
            <w:tcW w:type="dxa" w:w="1872"/>
          </w:tcPr>
          <w:p>
            <w:r>
              <w:rPr>
                <w:rFonts w:ascii="Times New Roman" w:hAnsi="Times New Roman" w:eastAsia="Times New Roman"/>
                <w:b w:val="0"/>
                <w:sz w:val="22"/>
              </w:rPr>
              <w:t>Binarization threshold</w:t>
            </w:r>
          </w:p>
        </w:tc>
        <w:tc>
          <w:tcPr>
            <w:tcW w:type="dxa" w:w="1872"/>
          </w:tcPr>
          <w:p>
            <w:r>
              <w:rPr>
                <w:rFonts w:ascii="Times New Roman" w:hAnsi="Times New Roman" w:eastAsia="Times New Roman"/>
                <w:b w:val="0"/>
                <w:sz w:val="22"/>
              </w:rPr>
              <w:t>mean+0.5 SD (main)</w:t>
            </w:r>
          </w:p>
        </w:tc>
        <w:tc>
          <w:tcPr>
            <w:tcW w:type="dxa" w:w="1872"/>
          </w:tcPr>
          <w:p>
            <w:r>
              <w:rPr>
                <w:rFonts w:ascii="Times New Roman" w:hAnsi="Times New Roman" w:eastAsia="Times New Roman"/>
                <w:b w:val="0"/>
                <w:sz w:val="22"/>
              </w:rPr>
              <w:t>45.51%</w:t>
            </w:r>
          </w:p>
        </w:tc>
        <w:tc>
          <w:tcPr>
            <w:tcW w:type="dxa" w:w="1872"/>
          </w:tcPr>
          <w:p>
            <w:r>
              <w:rPr>
                <w:rFonts w:ascii="Times New Roman" w:hAnsi="Times New Roman" w:eastAsia="Times New Roman"/>
                <w:b w:val="0"/>
                <w:sz w:val="22"/>
              </w:rPr>
              <w:t>[30.5, 59.2]</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Binarization threshold</w:t>
            </w:r>
          </w:p>
        </w:tc>
        <w:tc>
          <w:tcPr>
            <w:tcW w:type="dxa" w:w="1872"/>
          </w:tcPr>
          <w:p>
            <w:r>
              <w:rPr>
                <w:rFonts w:ascii="Times New Roman" w:hAnsi="Times New Roman" w:eastAsia="Times New Roman"/>
                <w:b w:val="0"/>
                <w:sz w:val="22"/>
              </w:rPr>
              <w:t>mean+1.0 SD</w:t>
            </w:r>
          </w:p>
        </w:tc>
        <w:tc>
          <w:tcPr>
            <w:tcW w:type="dxa" w:w="1872"/>
          </w:tcPr>
          <w:p>
            <w:r>
              <w:rPr>
                <w:rFonts w:ascii="Times New Roman" w:hAnsi="Times New Roman" w:eastAsia="Times New Roman"/>
                <w:b w:val="0"/>
                <w:sz w:val="22"/>
              </w:rPr>
              <w:t>48.95%</w:t>
            </w:r>
          </w:p>
        </w:tc>
        <w:tc>
          <w:tcPr>
            <w:tcW w:type="dxa" w:w="1872"/>
          </w:tcPr>
          <w:p>
            <w:r>
              <w:rPr>
                <w:rFonts w:ascii="Times New Roman" w:hAnsi="Times New Roman" w:eastAsia="Times New Roman"/>
                <w:b w:val="0"/>
                <w:sz w:val="22"/>
              </w:rPr>
              <w:t>[34.0, 62.4]</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Soft-assignment τ × median NN</w:t>
            </w:r>
          </w:p>
        </w:tc>
        <w:tc>
          <w:tcPr>
            <w:tcW w:type="dxa" w:w="1872"/>
          </w:tcPr>
          <w:p>
            <w:r>
              <w:rPr>
                <w:rFonts w:ascii="Times New Roman" w:hAnsi="Times New Roman" w:eastAsia="Times New Roman"/>
                <w:b w:val="0"/>
                <w:sz w:val="22"/>
              </w:rPr>
              <w:t>0.5×</w:t>
            </w:r>
          </w:p>
        </w:tc>
        <w:tc>
          <w:tcPr>
            <w:tcW w:type="dxa" w:w="1872"/>
          </w:tcPr>
          <w:p>
            <w:r>
              <w:rPr>
                <w:rFonts w:ascii="Times New Roman" w:hAnsi="Times New Roman" w:eastAsia="Times New Roman"/>
                <w:b w:val="0"/>
                <w:sz w:val="22"/>
              </w:rPr>
              <w:t>45.04%</w:t>
            </w:r>
          </w:p>
        </w:tc>
        <w:tc>
          <w:tcPr>
            <w:tcW w:type="dxa" w:w="1872"/>
          </w:tcPr>
          <w:p>
            <w:r>
              <w:rPr>
                <w:rFonts w:ascii="Times New Roman" w:hAnsi="Times New Roman" w:eastAsia="Times New Roman"/>
                <w:b w:val="0"/>
                <w:sz w:val="22"/>
              </w:rPr>
              <w:t>[43.8, 46.3]</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Soft-assignment τ × median NN</w:t>
            </w:r>
          </w:p>
        </w:tc>
        <w:tc>
          <w:tcPr>
            <w:tcW w:type="dxa" w:w="1872"/>
          </w:tcPr>
          <w:p>
            <w:r>
              <w:rPr>
                <w:rFonts w:ascii="Times New Roman" w:hAnsi="Times New Roman" w:eastAsia="Times New Roman"/>
                <w:b w:val="0"/>
                <w:sz w:val="22"/>
              </w:rPr>
              <w:t>1.0×</w:t>
            </w:r>
          </w:p>
        </w:tc>
        <w:tc>
          <w:tcPr>
            <w:tcW w:type="dxa" w:w="1872"/>
          </w:tcPr>
          <w:p>
            <w:r>
              <w:rPr>
                <w:rFonts w:ascii="Times New Roman" w:hAnsi="Times New Roman" w:eastAsia="Times New Roman"/>
                <w:b w:val="0"/>
                <w:sz w:val="22"/>
              </w:rPr>
              <w:t>45.22%</w:t>
            </w:r>
          </w:p>
        </w:tc>
        <w:tc>
          <w:tcPr>
            <w:tcW w:type="dxa" w:w="1872"/>
          </w:tcPr>
          <w:p>
            <w:r>
              <w:rPr>
                <w:rFonts w:ascii="Times New Roman" w:hAnsi="Times New Roman" w:eastAsia="Times New Roman"/>
                <w:b w:val="0"/>
                <w:sz w:val="22"/>
              </w:rPr>
              <w:t>[43.9, 46.5]</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Soft-assignment τ × median NN</w:t>
            </w:r>
          </w:p>
        </w:tc>
        <w:tc>
          <w:tcPr>
            <w:tcW w:type="dxa" w:w="1872"/>
          </w:tcPr>
          <w:p>
            <w:r>
              <w:rPr>
                <w:rFonts w:ascii="Times New Roman" w:hAnsi="Times New Roman" w:eastAsia="Times New Roman"/>
                <w:b w:val="0"/>
                <w:sz w:val="22"/>
              </w:rPr>
              <w:t>2.0×</w:t>
            </w:r>
          </w:p>
        </w:tc>
        <w:tc>
          <w:tcPr>
            <w:tcW w:type="dxa" w:w="1872"/>
          </w:tcPr>
          <w:p>
            <w:r>
              <w:rPr>
                <w:rFonts w:ascii="Times New Roman" w:hAnsi="Times New Roman" w:eastAsia="Times New Roman"/>
                <w:b w:val="0"/>
                <w:sz w:val="22"/>
              </w:rPr>
              <w:t>45.24%</w:t>
            </w:r>
          </w:p>
        </w:tc>
        <w:tc>
          <w:tcPr>
            <w:tcW w:type="dxa" w:w="1872"/>
          </w:tcPr>
          <w:p>
            <w:r>
              <w:rPr>
                <w:rFonts w:ascii="Times New Roman" w:hAnsi="Times New Roman" w:eastAsia="Times New Roman"/>
                <w:b w:val="0"/>
                <w:sz w:val="22"/>
              </w:rPr>
              <w:t>[43.9, 46.4]</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EB shrinkage scale</w:t>
            </w:r>
          </w:p>
        </w:tc>
        <w:tc>
          <w:tcPr>
            <w:tcW w:type="dxa" w:w="1872"/>
          </w:tcPr>
          <w:p>
            <w:r>
              <w:rPr>
                <w:rFonts w:ascii="Times New Roman" w:hAnsi="Times New Roman" w:eastAsia="Times New Roman"/>
                <w:b w:val="0"/>
                <w:sz w:val="22"/>
              </w:rPr>
              <w:t>0.5× pseudocount</w:t>
            </w:r>
          </w:p>
        </w:tc>
        <w:tc>
          <w:tcPr>
            <w:tcW w:type="dxa" w:w="1872"/>
          </w:tcPr>
          <w:p>
            <w:r>
              <w:rPr>
                <w:rFonts w:ascii="Times New Roman" w:hAnsi="Times New Roman" w:eastAsia="Times New Roman"/>
                <w:b w:val="0"/>
                <w:sz w:val="22"/>
              </w:rPr>
              <w:t>45.90%</w:t>
            </w:r>
          </w:p>
        </w:tc>
        <w:tc>
          <w:tcPr>
            <w:tcW w:type="dxa" w:w="1872"/>
          </w:tcPr>
          <w:p>
            <w:r>
              <w:rPr>
                <w:rFonts w:ascii="Times New Roman" w:hAnsi="Times New Roman" w:eastAsia="Times New Roman"/>
                <w:b w:val="0"/>
                <w:sz w:val="22"/>
              </w:rPr>
              <w:t>[32.1, 58.7]</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EB shrinkage scale</w:t>
            </w:r>
          </w:p>
        </w:tc>
        <w:tc>
          <w:tcPr>
            <w:tcW w:type="dxa" w:w="1872"/>
          </w:tcPr>
          <w:p>
            <w:r>
              <w:rPr>
                <w:rFonts w:ascii="Times New Roman" w:hAnsi="Times New Roman" w:eastAsia="Times New Roman"/>
                <w:b w:val="0"/>
                <w:sz w:val="22"/>
              </w:rPr>
              <w:t>1.0× (main)</w:t>
            </w:r>
          </w:p>
        </w:tc>
        <w:tc>
          <w:tcPr>
            <w:tcW w:type="dxa" w:w="1872"/>
          </w:tcPr>
          <w:p>
            <w:r>
              <w:rPr>
                <w:rFonts w:ascii="Times New Roman" w:hAnsi="Times New Roman" w:eastAsia="Times New Roman"/>
                <w:b w:val="0"/>
                <w:sz w:val="22"/>
              </w:rPr>
              <w:t>45.51%</w:t>
            </w:r>
          </w:p>
        </w:tc>
        <w:tc>
          <w:tcPr>
            <w:tcW w:type="dxa" w:w="1872"/>
          </w:tcPr>
          <w:p>
            <w:r>
              <w:rPr>
                <w:rFonts w:ascii="Times New Roman" w:hAnsi="Times New Roman" w:eastAsia="Times New Roman"/>
                <w:b w:val="0"/>
                <w:sz w:val="22"/>
              </w:rPr>
              <w:t>[31.4, 59.0]</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EB shrinkage scale</w:t>
            </w:r>
          </w:p>
        </w:tc>
        <w:tc>
          <w:tcPr>
            <w:tcW w:type="dxa" w:w="1872"/>
          </w:tcPr>
          <w:p>
            <w:r>
              <w:rPr>
                <w:rFonts w:ascii="Times New Roman" w:hAnsi="Times New Roman" w:eastAsia="Times New Roman"/>
                <w:b w:val="0"/>
                <w:sz w:val="22"/>
              </w:rPr>
              <w:t>2.0× pseudocount</w:t>
            </w:r>
          </w:p>
        </w:tc>
        <w:tc>
          <w:tcPr>
            <w:tcW w:type="dxa" w:w="1872"/>
          </w:tcPr>
          <w:p>
            <w:r>
              <w:rPr>
                <w:rFonts w:ascii="Times New Roman" w:hAnsi="Times New Roman" w:eastAsia="Times New Roman"/>
                <w:b w:val="0"/>
                <w:sz w:val="22"/>
              </w:rPr>
              <w:t>45.80%</w:t>
            </w:r>
          </w:p>
        </w:tc>
        <w:tc>
          <w:tcPr>
            <w:tcW w:type="dxa" w:w="1872"/>
          </w:tcPr>
          <w:p>
            <w:r>
              <w:rPr>
                <w:rFonts w:ascii="Times New Roman" w:hAnsi="Times New Roman" w:eastAsia="Times New Roman"/>
                <w:b w:val="0"/>
                <w:sz w:val="22"/>
              </w:rPr>
              <w:t>[32.3, 58.9]</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Cluster mass shift δ</w:t>
            </w:r>
          </w:p>
        </w:tc>
        <w:tc>
          <w:tcPr>
            <w:tcW w:type="dxa" w:w="1872"/>
          </w:tcPr>
          <w:p>
            <w:r>
              <w:rPr>
                <w:rFonts w:ascii="Times New Roman" w:hAnsi="Times New Roman" w:eastAsia="Times New Roman"/>
                <w:b w:val="0"/>
                <w:sz w:val="22"/>
              </w:rPr>
              <w:t>−0.10 high−low</w:t>
            </w:r>
          </w:p>
        </w:tc>
        <w:tc>
          <w:tcPr>
            <w:tcW w:type="dxa" w:w="1872"/>
          </w:tcPr>
          <w:p>
            <w:r>
              <w:rPr>
                <w:rFonts w:ascii="Times New Roman" w:hAnsi="Times New Roman" w:eastAsia="Times New Roman"/>
                <w:b w:val="0"/>
                <w:sz w:val="22"/>
              </w:rPr>
              <w:t>56.47%</w:t>
            </w:r>
          </w:p>
        </w:tc>
        <w:tc>
          <w:tcPr>
            <w:tcW w:type="dxa" w:w="1872"/>
          </w:tcPr>
          <w:p>
            <w:r>
              <w:rPr>
                <w:rFonts w:ascii="Times New Roman" w:hAnsi="Times New Roman" w:eastAsia="Times New Roman"/>
                <w:b w:val="0"/>
                <w:sz w:val="22"/>
              </w:rPr>
              <w:t>[42.8, 68.8]</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Cluster mass shift δ</w:t>
            </w:r>
          </w:p>
        </w:tc>
        <w:tc>
          <w:tcPr>
            <w:tcW w:type="dxa" w:w="1872"/>
          </w:tcPr>
          <w:p>
            <w:r>
              <w:rPr>
                <w:rFonts w:ascii="Times New Roman" w:hAnsi="Times New Roman" w:eastAsia="Times New Roman"/>
                <w:b w:val="0"/>
                <w:sz w:val="22"/>
              </w:rPr>
              <w:t>0.0 (main)</w:t>
            </w:r>
          </w:p>
        </w:tc>
        <w:tc>
          <w:tcPr>
            <w:tcW w:type="dxa" w:w="1872"/>
          </w:tcPr>
          <w:p>
            <w:r>
              <w:rPr>
                <w:rFonts w:ascii="Times New Roman" w:hAnsi="Times New Roman" w:eastAsia="Times New Roman"/>
                <w:b w:val="0"/>
                <w:sz w:val="22"/>
              </w:rPr>
              <w:t>45.51%</w:t>
            </w:r>
          </w:p>
        </w:tc>
        <w:tc>
          <w:tcPr>
            <w:tcW w:type="dxa" w:w="1872"/>
          </w:tcPr>
          <w:p>
            <w:r>
              <w:rPr>
                <w:rFonts w:ascii="Times New Roman" w:hAnsi="Times New Roman" w:eastAsia="Times New Roman"/>
                <w:b w:val="0"/>
                <w:sz w:val="22"/>
              </w:rPr>
              <w:t>[31.4, 59.2]</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Cluster mass shift δ</w:t>
            </w:r>
          </w:p>
        </w:tc>
        <w:tc>
          <w:tcPr>
            <w:tcW w:type="dxa" w:w="1872"/>
          </w:tcPr>
          <w:p>
            <w:r>
              <w:rPr>
                <w:rFonts w:ascii="Times New Roman" w:hAnsi="Times New Roman" w:eastAsia="Times New Roman"/>
                <w:b w:val="0"/>
                <w:sz w:val="22"/>
              </w:rPr>
              <w:t>+0.10 high−low</w:t>
            </w:r>
          </w:p>
        </w:tc>
        <w:tc>
          <w:tcPr>
            <w:tcW w:type="dxa" w:w="1872"/>
          </w:tcPr>
          <w:p>
            <w:r>
              <w:rPr>
                <w:rFonts w:ascii="Times New Roman" w:hAnsi="Times New Roman" w:eastAsia="Times New Roman"/>
                <w:b w:val="0"/>
                <w:sz w:val="22"/>
              </w:rPr>
              <w:t>34.55%</w:t>
            </w:r>
          </w:p>
        </w:tc>
        <w:tc>
          <w:tcPr>
            <w:tcW w:type="dxa" w:w="1872"/>
          </w:tcPr>
          <w:p>
            <w:r>
              <w:rPr>
                <w:rFonts w:ascii="Times New Roman" w:hAnsi="Times New Roman" w:eastAsia="Times New Roman"/>
                <w:b w:val="0"/>
                <w:sz w:val="22"/>
              </w:rPr>
              <w:t>[16.6, 51.8]</w:t>
            </w:r>
          </w:p>
        </w:tc>
        <w:tc>
          <w:tcPr>
            <w:tcW w:type="dxa" w:w="1872"/>
          </w:tcPr>
          <w:p>
            <w:r>
              <w:rPr>
                <w:rFonts w:ascii="Times New Roman" w:hAnsi="Times New Roman" w:eastAsia="Times New Roman"/>
                <w:b w:val="0"/>
                <w:sz w:val="22"/>
              </w:rPr>
              <w:t>PARTIAL</w:t>
            </w:r>
          </w:p>
        </w:tc>
      </w:tr>
    </w:tbl>
    <w:p>
      <w:pPr>
        <w:spacing w:line="480" w:lineRule="auto" w:before="0" w:after="0"/>
      </w:pPr>
    </w:p>
    <w:p>
      <w:pPr>
        <w:spacing w:line="480" w:lineRule="auto" w:before="0" w:after="0"/>
        <w:jc w:val="left"/>
      </w:pPr>
      <w:r>
        <w:rPr>
          <w:rFonts w:ascii="Times New Roman" w:hAnsi="Times New Roman" w:eastAsia="Times New Roman"/>
          <w:b/>
          <w:sz w:val="24"/>
        </w:rPr>
        <w:t>Table 3. Baseline Comparison for H2 Ordinal Trend Hypothesis</w:t>
      </w:r>
    </w:p>
    <w:p>
      <w:pPr>
        <w:spacing w:line="480" w:lineRule="auto" w:before="0" w:after="0"/>
      </w:pPr>
      <w:r>
        <w:rPr>
          <w:rFonts w:ascii="Times New Roman" w:hAnsi="Times New Roman" w:eastAsia="Times New Roman"/>
          <w:i/>
          <w:sz w:val="24"/>
        </w:rPr>
        <w:t>Note</w:t>
      </w:r>
      <w:r>
        <w:rPr>
          <w:rFonts w:ascii="Times New Roman" w:hAnsi="Times New Roman" w:eastAsia="Times New Roman"/>
          <w:sz w:val="24"/>
        </w:rPr>
        <w:t xml:space="preserve">. B0 trivially attains MAPE = 0 by construction (its prediction equals MHLW grand mean). H2 was tested via Bonferroni-Holm-corrected pairwise inequalities at one-sided α = 0.05 and Page's L (1963) ordinal trend test as auxiliary. </w:t>
      </w:r>
      <w:r>
        <w:rPr>
          <w:rFonts w:ascii="Times New Roman" w:hAnsi="Times New Roman" w:eastAsia="Times New Roman"/>
          <w:b/>
          <w:sz w:val="24"/>
        </w:rPr>
        <w:t>0 of 4 pairs were confirmed</w:t>
      </w:r>
      <w:r>
        <w:rPr>
          <w:rFonts w:ascii="Times New Roman" w:hAnsi="Times New Roman" w:eastAsia="Times New Roman"/>
          <w:sz w:val="24"/>
        </w:rPr>
        <w:t xml:space="preserve">; Page's L statistic </w:t>
      </w:r>
      <w:r>
        <w:rPr>
          <w:rFonts w:ascii="Times New Roman" w:hAnsi="Times New Roman" w:eastAsia="Times New Roman"/>
          <w:i/>
          <w:sz w:val="24"/>
        </w:rPr>
        <w:t>p</w:t>
      </w:r>
      <w:r>
        <w:rPr>
          <w:rFonts w:ascii="Times New Roman" w:hAnsi="Times New Roman" w:eastAsia="Times New Roman"/>
          <w:sz w:val="24"/>
        </w:rPr>
        <w:t xml:space="preserve"> = 0.9757. H2 decision: ambiguous_or_reversed.</w:t>
      </w:r>
    </w:p>
    <w:tbl>
      <w:tblPr>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eastAsia="Times New Roman"/>
                <w:b/>
                <w:sz w:val="22"/>
              </w:rPr>
              <w:t>Baseline</w:t>
            </w:r>
          </w:p>
        </w:tc>
        <w:tc>
          <w:tcPr>
            <w:tcW w:type="dxa" w:w="2340"/>
          </w:tcPr>
          <w:p>
            <w:r>
              <w:rPr>
                <w:rFonts w:ascii="Times New Roman" w:hAnsi="Times New Roman" w:eastAsia="Times New Roman"/>
                <w:b/>
                <w:sz w:val="22"/>
              </w:rPr>
              <w:t>Description</w:t>
            </w:r>
          </w:p>
        </w:tc>
        <w:tc>
          <w:tcPr>
            <w:tcW w:type="dxa" w:w="2340"/>
          </w:tcPr>
          <w:p>
            <w:r>
              <w:rPr>
                <w:rFonts w:ascii="Times New Roman" w:hAnsi="Times New Roman" w:eastAsia="Times New Roman"/>
                <w:b/>
                <w:sz w:val="22"/>
              </w:rPr>
              <w:t>MAPE</w:t>
            </w:r>
          </w:p>
        </w:tc>
        <w:tc>
          <w:tcPr>
            <w:tcW w:type="dxa" w:w="2340"/>
          </w:tcPr>
          <w:p>
            <w:r>
              <w:rPr>
                <w:rFonts w:ascii="Times New Roman" w:hAnsi="Times New Roman" w:eastAsia="Times New Roman"/>
                <w:b/>
                <w:sz w:val="22"/>
              </w:rPr>
              <w:t>95% CI</w:t>
            </w:r>
          </w:p>
        </w:tc>
      </w:tr>
      <w:tr>
        <w:tc>
          <w:tcPr>
            <w:tcW w:type="dxa" w:w="2340"/>
          </w:tcPr>
          <w:p>
            <w:r>
              <w:rPr>
                <w:rFonts w:ascii="Times New Roman" w:hAnsi="Times New Roman" w:eastAsia="Times New Roman"/>
                <w:b w:val="0"/>
                <w:sz w:val="22"/>
              </w:rPr>
              <w:t>B0</w:t>
            </w:r>
          </w:p>
        </w:tc>
        <w:tc>
          <w:tcPr>
            <w:tcW w:type="dxa" w:w="2340"/>
          </w:tcPr>
          <w:p>
            <w:r>
              <w:rPr>
                <w:rFonts w:ascii="Times New Roman" w:hAnsi="Times New Roman" w:eastAsia="Times New Roman"/>
                <w:b w:val="0"/>
                <w:sz w:val="22"/>
              </w:rPr>
              <w:t>Uniform = MHLW grand mean</w:t>
            </w:r>
          </w:p>
        </w:tc>
        <w:tc>
          <w:tcPr>
            <w:tcW w:type="dxa" w:w="2340"/>
          </w:tcPr>
          <w:p>
            <w:r>
              <w:rPr>
                <w:rFonts w:ascii="Times New Roman" w:hAnsi="Times New Roman" w:eastAsia="Times New Roman"/>
                <w:b w:val="0"/>
                <w:sz w:val="22"/>
              </w:rPr>
              <w:t>0.00%</w:t>
            </w:r>
          </w:p>
        </w:tc>
        <w:tc>
          <w:tcPr>
            <w:tcW w:type="dxa" w:w="2340"/>
          </w:tcPr>
          <w:p>
            <w:r>
              <w:rPr>
                <w:rFonts w:ascii="Times New Roman" w:hAnsi="Times New Roman" w:eastAsia="Times New Roman"/>
                <w:b w:val="0"/>
                <w:sz w:val="22"/>
              </w:rPr>
              <w:t>[0.00, 0.00]</w:t>
            </w:r>
          </w:p>
        </w:tc>
      </w:tr>
      <w:tr>
        <w:tc>
          <w:tcPr>
            <w:tcW w:type="dxa" w:w="2340"/>
          </w:tcPr>
          <w:p>
            <w:r>
              <w:rPr>
                <w:rFonts w:ascii="Times New Roman" w:hAnsi="Times New Roman" w:eastAsia="Times New Roman"/>
                <w:b w:val="0"/>
                <w:sz w:val="22"/>
              </w:rPr>
              <w:t>B1</w:t>
            </w:r>
          </w:p>
        </w:tc>
        <w:tc>
          <w:tcPr>
            <w:tcW w:type="dxa" w:w="2340"/>
          </w:tcPr>
          <w:p>
            <w:r>
              <w:rPr>
                <w:rFonts w:ascii="Times New Roman" w:hAnsi="Times New Roman" w:eastAsia="Times New Roman"/>
                <w:b w:val="0"/>
                <w:sz w:val="22"/>
              </w:rPr>
              <w:t>Gender-only logistic</w:t>
            </w:r>
          </w:p>
        </w:tc>
        <w:tc>
          <w:tcPr>
            <w:tcW w:type="dxa" w:w="2340"/>
          </w:tcPr>
          <w:p>
            <w:r>
              <w:rPr>
                <w:rFonts w:ascii="Times New Roman" w:hAnsi="Times New Roman" w:eastAsia="Times New Roman"/>
                <w:b w:val="0"/>
                <w:sz w:val="22"/>
              </w:rPr>
              <w:t>46.02%</w:t>
            </w:r>
          </w:p>
        </w:tc>
        <w:tc>
          <w:tcPr>
            <w:tcW w:type="dxa" w:w="2340"/>
          </w:tcPr>
          <w:p>
            <w:r>
              <w:rPr>
                <w:rFonts w:ascii="Times New Roman" w:hAnsi="Times New Roman" w:eastAsia="Times New Roman"/>
                <w:b w:val="0"/>
                <w:sz w:val="22"/>
              </w:rPr>
              <w:t>[46.02, 46.02]</w:t>
            </w:r>
          </w:p>
        </w:tc>
      </w:tr>
      <w:tr>
        <w:tc>
          <w:tcPr>
            <w:tcW w:type="dxa" w:w="2340"/>
          </w:tcPr>
          <w:p>
            <w:r>
              <w:rPr>
                <w:rFonts w:ascii="Times New Roman" w:hAnsi="Times New Roman" w:eastAsia="Times New Roman"/>
                <w:b w:val="0"/>
                <w:sz w:val="22"/>
              </w:rPr>
              <w:t>B2</w:t>
            </w:r>
          </w:p>
        </w:tc>
        <w:tc>
          <w:tcPr>
            <w:tcW w:type="dxa" w:w="2340"/>
          </w:tcPr>
          <w:p>
            <w:r>
              <w:rPr>
                <w:rFonts w:ascii="Times New Roman" w:hAnsi="Times New Roman" w:eastAsia="Times New Roman"/>
                <w:b w:val="0"/>
                <w:sz w:val="22"/>
              </w:rPr>
              <w:t>HEXACO 6-domain logistic</w:t>
            </w:r>
          </w:p>
        </w:tc>
        <w:tc>
          <w:tcPr>
            <w:tcW w:type="dxa" w:w="2340"/>
          </w:tcPr>
          <w:p>
            <w:r>
              <w:rPr>
                <w:rFonts w:ascii="Times New Roman" w:hAnsi="Times New Roman" w:eastAsia="Times New Roman"/>
                <w:b w:val="0"/>
                <w:sz w:val="22"/>
              </w:rPr>
              <w:t>43.98%</w:t>
            </w:r>
          </w:p>
        </w:tc>
        <w:tc>
          <w:tcPr>
            <w:tcW w:type="dxa" w:w="2340"/>
          </w:tcPr>
          <w:p>
            <w:r>
              <w:rPr>
                <w:rFonts w:ascii="Times New Roman" w:hAnsi="Times New Roman" w:eastAsia="Times New Roman"/>
                <w:b w:val="0"/>
                <w:sz w:val="22"/>
              </w:rPr>
              <w:t>[40.33, 47.35]</w:t>
            </w:r>
          </w:p>
        </w:tc>
      </w:tr>
      <w:tr>
        <w:tc>
          <w:tcPr>
            <w:tcW w:type="dxa" w:w="2340"/>
          </w:tcPr>
          <w:p>
            <w:r>
              <w:rPr>
                <w:rFonts w:ascii="Times New Roman" w:hAnsi="Times New Roman" w:eastAsia="Times New Roman"/>
                <w:b w:val="0"/>
                <w:sz w:val="22"/>
              </w:rPr>
              <w:t>B3</w:t>
            </w:r>
          </w:p>
        </w:tc>
        <w:tc>
          <w:tcPr>
            <w:tcW w:type="dxa" w:w="2340"/>
          </w:tcPr>
          <w:p>
            <w:r>
              <w:rPr>
                <w:rFonts w:ascii="Times New Roman" w:hAnsi="Times New Roman" w:eastAsia="Times New Roman"/>
                <w:b w:val="0"/>
                <w:sz w:val="22"/>
              </w:rPr>
              <w:t>14-cell conditional (main pipeline)</w:t>
            </w:r>
          </w:p>
        </w:tc>
        <w:tc>
          <w:tcPr>
            <w:tcW w:type="dxa" w:w="2340"/>
          </w:tcPr>
          <w:p>
            <w:r>
              <w:rPr>
                <w:rFonts w:ascii="Times New Roman" w:hAnsi="Times New Roman" w:eastAsia="Times New Roman"/>
                <w:b w:val="0"/>
                <w:sz w:val="22"/>
              </w:rPr>
              <w:t>46.34%</w:t>
            </w:r>
          </w:p>
        </w:tc>
        <w:tc>
          <w:tcPr>
            <w:tcW w:type="dxa" w:w="2340"/>
          </w:tcPr>
          <w:p>
            <w:r>
              <w:rPr>
                <w:rFonts w:ascii="Times New Roman" w:hAnsi="Times New Roman" w:eastAsia="Times New Roman"/>
                <w:b w:val="0"/>
                <w:sz w:val="22"/>
              </w:rPr>
              <w:t>[46.34, 46.34]</w:t>
            </w:r>
          </w:p>
        </w:tc>
      </w:tr>
      <w:tr>
        <w:tc>
          <w:tcPr>
            <w:tcW w:type="dxa" w:w="2340"/>
          </w:tcPr>
          <w:p>
            <w:r>
              <w:rPr>
                <w:rFonts w:ascii="Times New Roman" w:hAnsi="Times New Roman" w:eastAsia="Times New Roman"/>
                <w:b w:val="0"/>
                <w:sz w:val="22"/>
              </w:rPr>
              <w:t>B4</w:t>
            </w:r>
          </w:p>
        </w:tc>
        <w:tc>
          <w:tcPr>
            <w:tcW w:type="dxa" w:w="2340"/>
          </w:tcPr>
          <w:p>
            <w:r>
              <w:rPr>
                <w:rFonts w:ascii="Times New Roman" w:hAnsi="Times New Roman" w:eastAsia="Times New Roman"/>
                <w:b w:val="0"/>
                <w:sz w:val="22"/>
              </w:rPr>
              <w:t>Extended (age + age × cluster)</w:t>
            </w:r>
          </w:p>
        </w:tc>
        <w:tc>
          <w:tcPr>
            <w:tcW w:type="dxa" w:w="2340"/>
          </w:tcPr>
          <w:p>
            <w:r>
              <w:rPr>
                <w:rFonts w:ascii="Times New Roman" w:hAnsi="Times New Roman" w:eastAsia="Times New Roman"/>
                <w:b w:val="0"/>
                <w:sz w:val="22"/>
              </w:rPr>
              <w:t>47.04%</w:t>
            </w:r>
          </w:p>
        </w:tc>
        <w:tc>
          <w:tcPr>
            <w:tcW w:type="dxa" w:w="2340"/>
          </w:tcPr>
          <w:p>
            <w:r>
              <w:rPr>
                <w:rFonts w:ascii="Times New Roman" w:hAnsi="Times New Roman" w:eastAsia="Times New Roman"/>
                <w:b w:val="0"/>
                <w:sz w:val="22"/>
              </w:rPr>
              <w:t>[45.02, 49.05]</w:t>
            </w:r>
          </w:p>
        </w:tc>
      </w:tr>
    </w:tbl>
    <w:p>
      <w:pPr>
        <w:spacing w:line="480" w:lineRule="auto" w:before="0" w:after="0"/>
      </w:pPr>
    </w:p>
    <w:p>
      <w:pPr>
        <w:spacing w:line="480" w:lineRule="auto" w:before="0" w:after="0"/>
        <w:jc w:val="left"/>
      </w:pPr>
      <w:r>
        <w:rPr>
          <w:rFonts w:ascii="Times New Roman" w:hAnsi="Times New Roman" w:eastAsia="Times New Roman"/>
          <w:b/>
          <w:sz w:val="24"/>
        </w:rPr>
        <w:t>Table 4. Counterfactual ΔP_x Estimates and H7 Intersection-Union Test</w:t>
      </w:r>
    </w:p>
    <w:p>
      <w:pPr>
        <w:spacing w:line="480" w:lineRule="auto" w:before="0" w:after="0"/>
      </w:pPr>
      <w:r>
        <w:rPr>
          <w:rFonts w:ascii="Times New Roman" w:hAnsi="Times New Roman" w:eastAsia="Times New Roman"/>
          <w:i/>
          <w:sz w:val="24"/>
        </w:rPr>
        <w:t>Note</w:t>
      </w:r>
      <w:r>
        <w:rPr>
          <w:rFonts w:ascii="Times New Roman" w:hAnsi="Times New Roman" w:eastAsia="Times New Roman"/>
          <w:sz w:val="24"/>
        </w:rPr>
        <w:t xml:space="preserve">. Counterfactual operationalization per pre-registered v2.0 Section 5.7. Positive ΔP indicates </w:t>
      </w:r>
      <w:r>
        <w:rPr>
          <w:rFonts w:ascii="Times New Roman" w:hAnsi="Times New Roman" w:eastAsia="Times New Roman"/>
          <w:i/>
          <w:sz w:val="24"/>
        </w:rPr>
        <w:t>reduction</w:t>
      </w:r>
      <w:r>
        <w:rPr>
          <w:rFonts w:ascii="Times New Roman" w:hAnsi="Times New Roman" w:eastAsia="Times New Roman"/>
          <w:sz w:val="24"/>
        </w:rPr>
        <w:t xml:space="preserve"> in prevalence (sign convention). Bootstrap CIs use B = 2,000 cell-stratified resamples. The H7 IUT (Berger &amp; Hsu, 1996) computes one-sided 95% lower bounds L_BA and L_BC. Classification follows the m7 priority cascade implemented in </w:t>
      </w:r>
      <w:r>
        <w:rPr>
          <w:rFonts w:ascii="Times New Roman" w:hAnsi="Times New Roman" w:eastAsia="Times New Roman"/>
          <w:sz w:val="24"/>
        </w:rPr>
        <w:t>code/stage7_counterfactual.py:h7_iut</w:t>
      </w:r>
      <w:r>
        <w:rPr>
          <w:rFonts w:ascii="Times New Roman" w:hAnsi="Times New Roman" w:eastAsia="Times New Roman"/>
          <w:sz w:val="24"/>
        </w:rPr>
        <w:t>: REVERSAL (priority 1) is triggered when point ΔP_B &lt; ΔP_A OR point ΔP_B &lt; ΔP_C; CONFIRMED requires L_BA &gt; 0 AND L_BC &gt; 0; PARTIAL requires exactly one of L_BA, L_BC &gt; 0; AMBIGUOUS otherwise.</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sz w:val="22"/>
              </w:rPr>
              <w:t>Intervention</w:t>
            </w:r>
          </w:p>
        </w:tc>
        <w:tc>
          <w:tcPr>
            <w:tcW w:type="dxa" w:w="1872"/>
          </w:tcPr>
          <w:p>
            <w:r>
              <w:rPr>
                <w:rFonts w:ascii="Times New Roman" w:hAnsi="Times New Roman" w:eastAsia="Times New Roman"/>
                <w:b/>
                <w:sz w:val="22"/>
              </w:rPr>
              <w:t>Operationalization</w:t>
            </w:r>
          </w:p>
        </w:tc>
        <w:tc>
          <w:tcPr>
            <w:tcW w:type="dxa" w:w="1872"/>
          </w:tcPr>
          <w:p>
            <w:r>
              <w:rPr>
                <w:rFonts w:ascii="Times New Roman" w:hAnsi="Times New Roman" w:eastAsia="Times New Roman"/>
                <w:b/>
                <w:sz w:val="22"/>
              </w:rPr>
              <w:t>ΔP point</w:t>
            </w:r>
          </w:p>
        </w:tc>
        <w:tc>
          <w:tcPr>
            <w:tcW w:type="dxa" w:w="1872"/>
          </w:tcPr>
          <w:p>
            <w:r>
              <w:rPr>
                <w:rFonts w:ascii="Times New Roman" w:hAnsi="Times New Roman" w:eastAsia="Times New Roman"/>
                <w:b/>
                <w:sz w:val="22"/>
              </w:rPr>
              <w:t>95% CI</w:t>
            </w:r>
          </w:p>
        </w:tc>
        <w:tc>
          <w:tcPr>
            <w:tcW w:type="dxa" w:w="1872"/>
          </w:tcPr>
          <w:p>
            <w:r>
              <w:rPr>
                <w:rFonts w:ascii="Times New Roman" w:hAnsi="Times New Roman" w:eastAsia="Times New Roman"/>
                <w:b/>
                <w:sz w:val="22"/>
              </w:rPr>
              <w:t>CI excludes 0?</w:t>
            </w:r>
          </w:p>
        </w:tc>
      </w:tr>
      <w:tr>
        <w:tc>
          <w:tcPr>
            <w:tcW w:type="dxa" w:w="1872"/>
          </w:tcPr>
          <w:p>
            <w:r>
              <w:rPr>
                <w:rFonts w:ascii="Times New Roman" w:hAnsi="Times New Roman" w:eastAsia="Times New Roman"/>
                <w:b w:val="0"/>
                <w:sz w:val="22"/>
              </w:rPr>
              <w:t>A (personality)</w:t>
            </w:r>
          </w:p>
        </w:tc>
        <w:tc>
          <w:tcPr>
            <w:tcW w:type="dxa" w:w="1872"/>
          </w:tcPr>
          <w:p>
            <w:r>
              <w:rPr>
                <w:rFonts w:ascii="Times New Roman" w:hAnsi="Times New Roman" w:eastAsia="Times New Roman"/>
                <w:b w:val="0"/>
                <w:sz w:val="22"/>
              </w:rPr>
              <w:t>do(HH ← +0.3σ; A ← +0.3σ; E ← +0.3σ)</w:t>
            </w:r>
          </w:p>
        </w:tc>
        <w:tc>
          <w:tcPr>
            <w:tcW w:type="dxa" w:w="1872"/>
          </w:tcPr>
          <w:p>
            <w:r>
              <w:rPr>
                <w:rFonts w:ascii="Times New Roman" w:hAnsi="Times New Roman" w:eastAsia="Times New Roman"/>
                <w:b w:val="0"/>
                <w:sz w:val="22"/>
              </w:rPr>
              <w:t>−0.0061</w:t>
            </w:r>
          </w:p>
        </w:tc>
        <w:tc>
          <w:tcPr>
            <w:tcW w:type="dxa" w:w="1872"/>
          </w:tcPr>
          <w:p>
            <w:r>
              <w:rPr>
                <w:rFonts w:ascii="Times New Roman" w:hAnsi="Times New Roman" w:eastAsia="Times New Roman"/>
                <w:b w:val="0"/>
                <w:sz w:val="22"/>
              </w:rPr>
              <w:t>[−0.0207, +0.0062]</w:t>
            </w:r>
          </w:p>
        </w:tc>
        <w:tc>
          <w:tcPr>
            <w:tcW w:type="dxa" w:w="1872"/>
          </w:tcPr>
          <w:p>
            <w:r>
              <w:rPr>
                <w:rFonts w:ascii="Times New Roman" w:hAnsi="Times New Roman" w:eastAsia="Times New Roman"/>
                <w:b w:val="0"/>
                <w:sz w:val="22"/>
              </w:rPr>
              <w:t>No (null)</w:t>
            </w:r>
          </w:p>
        </w:tc>
      </w:tr>
      <w:tr>
        <w:tc>
          <w:tcPr>
            <w:tcW w:type="dxa" w:w="1872"/>
          </w:tcPr>
          <w:p>
            <w:r>
              <w:rPr>
                <w:rFonts w:ascii="Times New Roman" w:hAnsi="Times New Roman" w:eastAsia="Times New Roman"/>
                <w:b w:val="0"/>
                <w:sz w:val="22"/>
              </w:rPr>
              <w:t>B (targeted HH+ on low-prev clusters)</w:t>
            </w:r>
          </w:p>
        </w:tc>
        <w:tc>
          <w:tcPr>
            <w:tcW w:type="dxa" w:w="1872"/>
          </w:tcPr>
          <w:p>
            <w:r>
              <w:rPr>
                <w:rFonts w:ascii="Times New Roman" w:hAnsi="Times New Roman" w:eastAsia="Times New Roman"/>
                <w:b w:val="0"/>
                <w:sz w:val="22"/>
              </w:rPr>
              <w:t>do(HH := HH + 0.40σ_HH) for individuals whose baseline cluster ∈ {0, 4, 6}</w:t>
            </w:r>
          </w:p>
        </w:tc>
        <w:tc>
          <w:tcPr>
            <w:tcW w:type="dxa" w:w="1872"/>
          </w:tcPr>
          <w:p>
            <w:r>
              <w:rPr>
                <w:rFonts w:ascii="Times New Roman" w:hAnsi="Times New Roman" w:eastAsia="Times New Roman"/>
                <w:b w:val="0"/>
                <w:sz w:val="22"/>
              </w:rPr>
              <w:t>−0.0059</w:t>
            </w:r>
          </w:p>
        </w:tc>
        <w:tc>
          <w:tcPr>
            <w:tcW w:type="dxa" w:w="1872"/>
          </w:tcPr>
          <w:p>
            <w:r>
              <w:rPr>
                <w:rFonts w:ascii="Times New Roman" w:hAnsi="Times New Roman" w:eastAsia="Times New Roman"/>
                <w:b w:val="0"/>
                <w:sz w:val="22"/>
              </w:rPr>
              <w:t>[−0.0207, +0.0066]</w:t>
            </w:r>
          </w:p>
        </w:tc>
        <w:tc>
          <w:tcPr>
            <w:tcW w:type="dxa" w:w="1872"/>
          </w:tcPr>
          <w:p>
            <w:r>
              <w:rPr>
                <w:rFonts w:ascii="Times New Roman" w:hAnsi="Times New Roman" w:eastAsia="Times New Roman"/>
                <w:b w:val="0"/>
                <w:sz w:val="22"/>
              </w:rPr>
              <w:t>No (null)</w:t>
            </w:r>
          </w:p>
        </w:tc>
      </w:tr>
      <w:tr>
        <w:tc>
          <w:tcPr>
            <w:tcW w:type="dxa" w:w="1872"/>
          </w:tcPr>
          <w:p>
            <w:r>
              <w:rPr>
                <w:rFonts w:ascii="Times New Roman" w:hAnsi="Times New Roman" w:eastAsia="Times New Roman"/>
                <w:b w:val="0"/>
                <w:sz w:val="22"/>
              </w:rPr>
              <w:t>C (structural)</w:t>
            </w:r>
          </w:p>
        </w:tc>
        <w:tc>
          <w:tcPr>
            <w:tcW w:type="dxa" w:w="1872"/>
          </w:tcPr>
          <w:p>
            <w:r>
              <w:rPr>
                <w:rFonts w:ascii="Times New Roman" w:hAnsi="Times New Roman" w:eastAsia="Times New Roman"/>
                <w:b w:val="0"/>
                <w:sz w:val="22"/>
              </w:rPr>
              <w:t>do(P_{c, x} ← 0.80 × P_{c, x})</w:t>
            </w:r>
          </w:p>
        </w:tc>
        <w:tc>
          <w:tcPr>
            <w:tcW w:type="dxa" w:w="1872"/>
          </w:tcPr>
          <w:p>
            <w:r>
              <w:rPr>
                <w:rFonts w:ascii="Times New Roman" w:hAnsi="Times New Roman" w:eastAsia="Times New Roman"/>
                <w:b w:val="0"/>
                <w:sz w:val="22"/>
              </w:rPr>
              <w:t>+0.0349</w:t>
            </w:r>
          </w:p>
        </w:tc>
        <w:tc>
          <w:tcPr>
            <w:tcW w:type="dxa" w:w="1872"/>
          </w:tcPr>
          <w:p>
            <w:r>
              <w:rPr>
                <w:rFonts w:ascii="Times New Roman" w:hAnsi="Times New Roman" w:eastAsia="Times New Roman"/>
                <w:b w:val="0"/>
                <w:sz w:val="22"/>
              </w:rPr>
              <w:t>[+0.0264, +0.0435]</w:t>
            </w:r>
          </w:p>
        </w:tc>
        <w:tc>
          <w:tcPr>
            <w:tcW w:type="dxa" w:w="1872"/>
          </w:tcPr>
          <w:p>
            <w:r>
              <w:rPr>
                <w:rFonts w:ascii="Times New Roman" w:hAnsi="Times New Roman" w:eastAsia="Times New Roman"/>
                <w:b w:val="0"/>
                <w:sz w:val="22"/>
              </w:rPr>
              <w:t>Yes</w:t>
            </w:r>
          </w:p>
        </w:tc>
      </w:tr>
    </w:tbl>
    <w:p>
      <w:pPr>
        <w:spacing w:line="480" w:lineRule="auto" w:before="0" w:after="0"/>
      </w:pPr>
    </w:p>
    <w:p>
      <w:pPr>
        <w:spacing w:line="480" w:lineRule="auto" w:before="0" w:after="0"/>
      </w:pPr>
      <w:r>
        <w:rPr>
          <w:rFonts w:ascii="Times New Roman" w:hAnsi="Times New Roman" w:eastAsia="Times New Roman"/>
          <w:b/>
          <w:sz w:val="24"/>
        </w:rPr>
        <w:t>H7 IUT:</w:t>
      </w:r>
      <w:r>
        <w:rPr>
          <w:rFonts w:ascii="Times New Roman" w:hAnsi="Times New Roman" w:eastAsia="Times New Roman"/>
          <w:sz w:val="24"/>
        </w:rPr>
        <w:t xml:space="preserve"> L_BA = −0.0011, L_BC = −0.0544; point ΔP_B &lt; point ΔP_C triggers m7 priority-1 → </w:t>
      </w:r>
      <w:r>
        <w:rPr>
          <w:rFonts w:ascii="Times New Roman" w:hAnsi="Times New Roman" w:eastAsia="Times New Roman"/>
          <w:b/>
          <w:sz w:val="24"/>
        </w:rPr>
        <w:t>REVERSAL</w:t>
      </w:r>
    </w:p>
    <w:p>
      <w:pPr>
        <w:spacing w:line="480" w:lineRule="auto" w:before="0" w:after="0"/>
      </w:pPr>
      <w:r>
        <w:rPr>
          <w:rFonts w:ascii="Times New Roman" w:hAnsi="Times New Roman" w:eastAsia="Times New Roman"/>
          <w:b/>
          <w:sz w:val="24"/>
        </w:rPr>
        <w:t>Positivity diagnostic (Methods Clarification m5):</w:t>
      </w:r>
      <w:r>
        <w:rPr>
          <w:rFonts w:ascii="Times New Roman" w:hAnsi="Times New Roman" w:eastAsia="Times New Roman"/>
          <w:sz w:val="24"/>
        </w:rPr>
        <w:t xml:space="preserve"> Counterfactual A and C trivially preserve positivity. Counterfactual B's flagged-weight share = 44.5%; m5 downgrade rule triggered. We interpret B's null finding as exploratory rather than confirmatory.</w:t>
      </w:r>
    </w:p>
    <w:p>
      <w:pPr>
        <w:spacing w:line="480" w:lineRule="auto" w:before="0" w:after="0"/>
        <w:jc w:val="left"/>
      </w:pPr>
      <w:r>
        <w:rPr>
          <w:rFonts w:ascii="Times New Roman" w:hAnsi="Times New Roman" w:eastAsia="Times New Roman"/>
          <w:b/>
          <w:sz w:val="24"/>
        </w:rPr>
        <w:t>Table 5. Transportability Sensitivity (H7 Re-classification Across Cultural Attenuation Factors)</w:t>
      </w:r>
    </w:p>
    <w:p>
      <w:pPr>
        <w:spacing w:line="480" w:lineRule="auto" w:before="0" w:after="0"/>
      </w:pPr>
      <w:r>
        <w:rPr>
          <w:rFonts w:ascii="Times New Roman" w:hAnsi="Times New Roman" w:eastAsia="Times New Roman"/>
          <w:i/>
          <w:sz w:val="24"/>
        </w:rPr>
        <w:t>Note</w:t>
      </w:r>
      <w:r>
        <w:rPr>
          <w:rFonts w:ascii="Times New Roman" w:hAnsi="Times New Roman" w:eastAsia="Times New Roman"/>
          <w:sz w:val="24"/>
        </w:rPr>
        <w:t>. Each row applies factor F multiplicatively to the bootstrap distribution of all three ΔP_x; H7 IUT is re-classified per attenuated factor.</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sz w:val="22"/>
              </w:rPr>
              <w:t>Factor F</w:t>
            </w:r>
          </w:p>
        </w:tc>
        <w:tc>
          <w:tcPr>
            <w:tcW w:type="dxa" w:w="1872"/>
          </w:tcPr>
          <w:p>
            <w:r>
              <w:rPr>
                <w:rFonts w:ascii="Times New Roman" w:hAnsi="Times New Roman" w:eastAsia="Times New Roman"/>
                <w:b/>
                <w:sz w:val="22"/>
              </w:rPr>
              <w:t>Anchor</w:t>
            </w:r>
          </w:p>
        </w:tc>
        <w:tc>
          <w:tcPr>
            <w:tcW w:type="dxa" w:w="1872"/>
          </w:tcPr>
          <w:p>
            <w:r>
              <w:rPr>
                <w:rFonts w:ascii="Times New Roman" w:hAnsi="Times New Roman" w:eastAsia="Times New Roman"/>
                <w:b/>
                <w:sz w:val="22"/>
              </w:rPr>
              <w:t>ΔP_A (att)</w:t>
            </w:r>
          </w:p>
        </w:tc>
        <w:tc>
          <w:tcPr>
            <w:tcW w:type="dxa" w:w="1872"/>
          </w:tcPr>
          <w:p>
            <w:r>
              <w:rPr>
                <w:rFonts w:ascii="Times New Roman" w:hAnsi="Times New Roman" w:eastAsia="Times New Roman"/>
                <w:b/>
                <w:sz w:val="22"/>
              </w:rPr>
              <w:t>ΔP_C (att)</w:t>
            </w:r>
          </w:p>
        </w:tc>
        <w:tc>
          <w:tcPr>
            <w:tcW w:type="dxa" w:w="1872"/>
          </w:tcPr>
          <w:p>
            <w:r>
              <w:rPr>
                <w:rFonts w:ascii="Times New Roman" w:hAnsi="Times New Roman" w:eastAsia="Times New Roman"/>
                <w:b/>
                <w:sz w:val="22"/>
              </w:rPr>
              <w:t>H7</w:t>
            </w:r>
          </w:p>
        </w:tc>
      </w:tr>
      <w:tr>
        <w:tc>
          <w:tcPr>
            <w:tcW w:type="dxa" w:w="1872"/>
          </w:tcPr>
          <w:p>
            <w:r>
              <w:rPr>
                <w:rFonts w:ascii="Times New Roman" w:hAnsi="Times New Roman" w:eastAsia="Times New Roman"/>
                <w:b w:val="0"/>
                <w:sz w:val="22"/>
              </w:rPr>
              <w:t>0.3</w:t>
            </w:r>
          </w:p>
        </w:tc>
        <w:tc>
          <w:tcPr>
            <w:tcW w:type="dxa" w:w="1872"/>
          </w:tcPr>
          <w:p>
            <w:r>
              <w:rPr>
                <w:rFonts w:ascii="Times New Roman" w:hAnsi="Times New Roman" w:eastAsia="Times New Roman"/>
                <w:b w:val="0"/>
                <w:sz w:val="22"/>
              </w:rPr>
              <w:t>Conservative cross-cultural worst case</w:t>
            </w:r>
          </w:p>
        </w:tc>
        <w:tc>
          <w:tcPr>
            <w:tcW w:type="dxa" w:w="1872"/>
          </w:tcPr>
          <w:p>
            <w:r>
              <w:rPr>
                <w:rFonts w:ascii="Times New Roman" w:hAnsi="Times New Roman" w:eastAsia="Times New Roman"/>
                <w:b w:val="0"/>
                <w:sz w:val="22"/>
              </w:rPr>
              <w:t>−0.0018</w:t>
            </w:r>
          </w:p>
        </w:tc>
        <w:tc>
          <w:tcPr>
            <w:tcW w:type="dxa" w:w="1872"/>
          </w:tcPr>
          <w:p>
            <w:r>
              <w:rPr>
                <w:rFonts w:ascii="Times New Roman" w:hAnsi="Times New Roman" w:eastAsia="Times New Roman"/>
                <w:b w:val="0"/>
                <w:sz w:val="22"/>
              </w:rPr>
              <w:t>+0.0105</w:t>
            </w:r>
          </w:p>
        </w:tc>
        <w:tc>
          <w:tcPr>
            <w:tcW w:type="dxa" w:w="1872"/>
          </w:tcPr>
          <w:p>
            <w:r>
              <w:rPr>
                <w:rFonts w:ascii="Times New Roman" w:hAnsi="Times New Roman" w:eastAsia="Times New Roman"/>
                <w:b w:val="0"/>
                <w:sz w:val="22"/>
              </w:rPr>
              <w:t>REVERSAL</w:t>
            </w:r>
          </w:p>
        </w:tc>
      </w:tr>
      <w:tr>
        <w:tc>
          <w:tcPr>
            <w:tcW w:type="dxa" w:w="1872"/>
          </w:tcPr>
          <w:p>
            <w:r>
              <w:rPr>
                <w:rFonts w:ascii="Times New Roman" w:hAnsi="Times New Roman" w:eastAsia="Times New Roman"/>
                <w:b w:val="0"/>
                <w:sz w:val="22"/>
              </w:rPr>
              <w:t>0.5</w:t>
            </w:r>
          </w:p>
        </w:tc>
        <w:tc>
          <w:tcPr>
            <w:tcW w:type="dxa" w:w="1872"/>
          </w:tcPr>
          <w:p>
            <w:r>
              <w:rPr>
                <w:rFonts w:ascii="Times New Roman" w:hAnsi="Times New Roman" w:eastAsia="Times New Roman"/>
                <w:b w:val="0"/>
                <w:sz w:val="22"/>
              </w:rPr>
              <w:t>Nielsen et al., 2017 expected</w:t>
            </w:r>
          </w:p>
        </w:tc>
        <w:tc>
          <w:tcPr>
            <w:tcW w:type="dxa" w:w="1872"/>
          </w:tcPr>
          <w:p>
            <w:r>
              <w:rPr>
                <w:rFonts w:ascii="Times New Roman" w:hAnsi="Times New Roman" w:eastAsia="Times New Roman"/>
                <w:b w:val="0"/>
                <w:sz w:val="22"/>
              </w:rPr>
              <w:t>−0.0031</w:t>
            </w:r>
          </w:p>
        </w:tc>
        <w:tc>
          <w:tcPr>
            <w:tcW w:type="dxa" w:w="1872"/>
          </w:tcPr>
          <w:p>
            <w:r>
              <w:rPr>
                <w:rFonts w:ascii="Times New Roman" w:hAnsi="Times New Roman" w:eastAsia="Times New Roman"/>
                <w:b w:val="0"/>
                <w:sz w:val="22"/>
              </w:rPr>
              <w:t>+0.0174</w:t>
            </w:r>
          </w:p>
        </w:tc>
        <w:tc>
          <w:tcPr>
            <w:tcW w:type="dxa" w:w="1872"/>
          </w:tcPr>
          <w:p>
            <w:r>
              <w:rPr>
                <w:rFonts w:ascii="Times New Roman" w:hAnsi="Times New Roman" w:eastAsia="Times New Roman"/>
                <w:b w:val="0"/>
                <w:sz w:val="22"/>
              </w:rPr>
              <w:t>REVERSAL</w:t>
            </w:r>
          </w:p>
        </w:tc>
      </w:tr>
      <w:tr>
        <w:tc>
          <w:tcPr>
            <w:tcW w:type="dxa" w:w="1872"/>
          </w:tcPr>
          <w:p>
            <w:r>
              <w:rPr>
                <w:rFonts w:ascii="Times New Roman" w:hAnsi="Times New Roman" w:eastAsia="Times New Roman"/>
                <w:b w:val="0"/>
                <w:sz w:val="22"/>
              </w:rPr>
              <w:t>0.7</w:t>
            </w:r>
          </w:p>
        </w:tc>
        <w:tc>
          <w:tcPr>
            <w:tcW w:type="dxa" w:w="1872"/>
          </w:tcPr>
          <w:p>
            <w:r>
              <w:rPr>
                <w:rFonts w:ascii="Times New Roman" w:hAnsi="Times New Roman" w:eastAsia="Times New Roman"/>
                <w:b w:val="0"/>
                <w:sz w:val="22"/>
              </w:rPr>
              <w:t>Mild attenuation</w:t>
            </w:r>
          </w:p>
        </w:tc>
        <w:tc>
          <w:tcPr>
            <w:tcW w:type="dxa" w:w="1872"/>
          </w:tcPr>
          <w:p>
            <w:r>
              <w:rPr>
                <w:rFonts w:ascii="Times New Roman" w:hAnsi="Times New Roman" w:eastAsia="Times New Roman"/>
                <w:b w:val="0"/>
                <w:sz w:val="22"/>
              </w:rPr>
              <w:t>−0.0043</w:t>
            </w:r>
          </w:p>
        </w:tc>
        <w:tc>
          <w:tcPr>
            <w:tcW w:type="dxa" w:w="1872"/>
          </w:tcPr>
          <w:p>
            <w:r>
              <w:rPr>
                <w:rFonts w:ascii="Times New Roman" w:hAnsi="Times New Roman" w:eastAsia="Times New Roman"/>
                <w:b w:val="0"/>
                <w:sz w:val="22"/>
              </w:rPr>
              <w:t>+0.0244</w:t>
            </w:r>
          </w:p>
        </w:tc>
        <w:tc>
          <w:tcPr>
            <w:tcW w:type="dxa" w:w="1872"/>
          </w:tcPr>
          <w:p>
            <w:r>
              <w:rPr>
                <w:rFonts w:ascii="Times New Roman" w:hAnsi="Times New Roman" w:eastAsia="Times New Roman"/>
                <w:b w:val="0"/>
                <w:sz w:val="22"/>
              </w:rPr>
              <w:t>REVERSAL</w:t>
            </w:r>
          </w:p>
        </w:tc>
      </w:tr>
      <w:tr>
        <w:tc>
          <w:tcPr>
            <w:tcW w:type="dxa" w:w="1872"/>
          </w:tcPr>
          <w:p>
            <w:r>
              <w:rPr>
                <w:rFonts w:ascii="Times New Roman" w:hAnsi="Times New Roman" w:eastAsia="Times New Roman"/>
                <w:b w:val="0"/>
                <w:sz w:val="22"/>
              </w:rPr>
              <w:t>1.0</w:t>
            </w:r>
          </w:p>
        </w:tc>
        <w:tc>
          <w:tcPr>
            <w:tcW w:type="dxa" w:w="1872"/>
          </w:tcPr>
          <w:p>
            <w:r>
              <w:rPr>
                <w:rFonts w:ascii="Times New Roman" w:hAnsi="Times New Roman" w:eastAsia="Times New Roman"/>
                <w:b w:val="0"/>
                <w:sz w:val="22"/>
              </w:rPr>
              <w:t>Reference (no attenuation)</w:t>
            </w:r>
          </w:p>
        </w:tc>
        <w:tc>
          <w:tcPr>
            <w:tcW w:type="dxa" w:w="1872"/>
          </w:tcPr>
          <w:p>
            <w:r>
              <w:rPr>
                <w:rFonts w:ascii="Times New Roman" w:hAnsi="Times New Roman" w:eastAsia="Times New Roman"/>
                <w:b w:val="0"/>
                <w:sz w:val="22"/>
              </w:rPr>
              <w:t>−0.0061</w:t>
            </w:r>
          </w:p>
        </w:tc>
        <w:tc>
          <w:tcPr>
            <w:tcW w:type="dxa" w:w="1872"/>
          </w:tcPr>
          <w:p>
            <w:r>
              <w:rPr>
                <w:rFonts w:ascii="Times New Roman" w:hAnsi="Times New Roman" w:eastAsia="Times New Roman"/>
                <w:b w:val="0"/>
                <w:sz w:val="22"/>
              </w:rPr>
              <w:t>+0.0349</w:t>
            </w:r>
          </w:p>
        </w:tc>
        <w:tc>
          <w:tcPr>
            <w:tcW w:type="dxa" w:w="1872"/>
          </w:tcPr>
          <w:p>
            <w:r>
              <w:rPr>
                <w:rFonts w:ascii="Times New Roman" w:hAnsi="Times New Roman" w:eastAsia="Times New Roman"/>
                <w:b w:val="0"/>
                <w:sz w:val="22"/>
              </w:rPr>
              <w:t>REVERSAL</w:t>
            </w:r>
          </w:p>
        </w:tc>
      </w:tr>
    </w:tbl>
    <w:p>
      <w:pPr>
        <w:spacing w:line="480" w:lineRule="auto" w:before="0" w:after="0"/>
      </w:pPr>
    </w:p>
    <w:p>
      <w:pPr>
        <w:spacing w:line="480" w:lineRule="auto" w:before="0" w:after="0"/>
        <w:jc w:val="left"/>
      </w:pPr>
      <w:r>
        <w:rPr>
          <w:rFonts w:ascii="Times New Roman" w:hAnsi="Times New Roman" w:eastAsia="Times New Roman"/>
          <w:b/>
          <w:sz w:val="24"/>
        </w:rPr>
        <w:t>Table 6. Pre-Registered Hypothesis Outcomes Summary</w:t>
      </w:r>
    </w:p>
    <w:p>
      <w:pPr>
        <w:spacing w:line="480" w:lineRule="auto" w:before="0" w:after="0"/>
      </w:pPr>
      <w:r>
        <w:rPr>
          <w:rFonts w:ascii="Times New Roman" w:hAnsi="Times New Roman" w:eastAsia="Times New Roman"/>
          <w:i/>
          <w:sz w:val="24"/>
        </w:rPr>
        <w:t>Note</w:t>
      </w:r>
      <w:r>
        <w:rPr>
          <w:rFonts w:ascii="Times New Roman" w:hAnsi="Times New Roman" w:eastAsia="Times New Roman"/>
          <w:sz w:val="24"/>
        </w:rPr>
        <w:t>. Hypothesis classification per v2.0 pre-registration master Section 5.4 (H1) and Section 5.7 (H7).</w:t>
      </w:r>
    </w:p>
    <w:tbl>
      <w:tblPr>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eastAsia="Times New Roman"/>
                <w:b/>
                <w:sz w:val="22"/>
              </w:rPr>
              <w:t>Hypothesis</w:t>
            </w:r>
          </w:p>
        </w:tc>
        <w:tc>
          <w:tcPr>
            <w:tcW w:type="dxa" w:w="2340"/>
          </w:tcPr>
          <w:p>
            <w:r>
              <w:rPr>
                <w:rFonts w:ascii="Times New Roman" w:hAnsi="Times New Roman" w:eastAsia="Times New Roman"/>
                <w:b/>
                <w:sz w:val="22"/>
              </w:rPr>
              <w:t>Pre-registered prediction</w:t>
            </w:r>
          </w:p>
        </w:tc>
        <w:tc>
          <w:tcPr>
            <w:tcW w:type="dxa" w:w="2340"/>
          </w:tcPr>
          <w:p>
            <w:r>
              <w:rPr>
                <w:rFonts w:ascii="Times New Roman" w:hAnsi="Times New Roman" w:eastAsia="Times New Roman"/>
                <w:b/>
                <w:sz w:val="22"/>
              </w:rPr>
              <w:t>Outcome</w:t>
            </w:r>
          </w:p>
        </w:tc>
        <w:tc>
          <w:tcPr>
            <w:tcW w:type="dxa" w:w="2340"/>
          </w:tcPr>
          <w:p>
            <w:r>
              <w:rPr>
                <w:rFonts w:ascii="Times New Roman" w:hAnsi="Times New Roman" w:eastAsia="Times New Roman"/>
                <w:b/>
                <w:sz w:val="22"/>
              </w:rPr>
              <w:t>Tier</w:t>
            </w:r>
          </w:p>
        </w:tc>
      </w:tr>
      <w:tr>
        <w:tc>
          <w:tcPr>
            <w:tcW w:type="dxa" w:w="2340"/>
          </w:tcPr>
          <w:p>
            <w:r>
              <w:rPr>
                <w:rFonts w:ascii="Times New Roman" w:hAnsi="Times New Roman" w:eastAsia="Times New Roman"/>
                <w:b w:val="0"/>
                <w:sz w:val="22"/>
              </w:rPr>
              <w:t>H1</w:t>
            </w:r>
          </w:p>
        </w:tc>
        <w:tc>
          <w:tcPr>
            <w:tcW w:type="dxa" w:w="2340"/>
          </w:tcPr>
          <w:p>
            <w:r>
              <w:rPr>
                <w:rFonts w:ascii="Times New Roman" w:hAnsi="Times New Roman" w:eastAsia="Times New Roman"/>
                <w:b w:val="0"/>
                <w:sz w:val="22"/>
              </w:rPr>
              <w:t>MAPE_FY2016 ≤ 30% (Strict / Standard SUCCESS)</w:t>
            </w:r>
          </w:p>
        </w:tc>
        <w:tc>
          <w:tcPr>
            <w:tcW w:type="dxa" w:w="2340"/>
          </w:tcPr>
          <w:p>
            <w:r>
              <w:rPr>
                <w:rFonts w:ascii="Times New Roman" w:hAnsi="Times New Roman" w:eastAsia="Times New Roman"/>
                <w:b w:val="0"/>
                <w:sz w:val="22"/>
              </w:rPr>
              <w:t>MAPE = 46.34%</w:t>
            </w:r>
          </w:p>
        </w:tc>
        <w:tc>
          <w:tcPr>
            <w:tcW w:type="dxa" w:w="2340"/>
          </w:tcPr>
          <w:p>
            <w:r>
              <w:rPr>
                <w:rFonts w:ascii="Times New Roman" w:hAnsi="Times New Roman" w:eastAsia="Times New Roman"/>
                <w:b w:val="0"/>
                <w:sz w:val="22"/>
              </w:rPr>
              <w:t>PARTIAL SUCCESS</w:t>
            </w:r>
          </w:p>
        </w:tc>
      </w:tr>
      <w:tr>
        <w:tc>
          <w:tcPr>
            <w:tcW w:type="dxa" w:w="2340"/>
          </w:tcPr>
          <w:p>
            <w:r>
              <w:rPr>
                <w:rFonts w:ascii="Times New Roman" w:hAnsi="Times New Roman" w:eastAsia="Times New Roman"/>
                <w:b w:val="0"/>
                <w:sz w:val="22"/>
              </w:rPr>
              <w:t>H2</w:t>
            </w:r>
          </w:p>
        </w:tc>
        <w:tc>
          <w:tcPr>
            <w:tcW w:type="dxa" w:w="2340"/>
          </w:tcPr>
          <w:p>
            <w:r>
              <w:rPr>
                <w:rFonts w:ascii="Times New Roman" w:hAnsi="Times New Roman" w:eastAsia="Times New Roman"/>
                <w:b w:val="0"/>
                <w:sz w:val="22"/>
              </w:rPr>
              <w:t>Monotonic B0 &gt; B1 &gt; B2 &gt; B3 &gt; B4</w:t>
            </w:r>
          </w:p>
        </w:tc>
        <w:tc>
          <w:tcPr>
            <w:tcW w:type="dxa" w:w="2340"/>
          </w:tcPr>
          <w:p>
            <w:r>
              <w:rPr>
                <w:rFonts w:ascii="Times New Roman" w:hAnsi="Times New Roman" w:eastAsia="Times New Roman"/>
                <w:b w:val="0"/>
                <w:sz w:val="22"/>
              </w:rPr>
              <w:t>0 of 4 pairs confirmed</w:t>
            </w:r>
          </w:p>
        </w:tc>
        <w:tc>
          <w:tcPr>
            <w:tcW w:type="dxa" w:w="2340"/>
          </w:tcPr>
          <w:p>
            <w:r>
              <w:rPr>
                <w:rFonts w:ascii="Times New Roman" w:hAnsi="Times New Roman" w:eastAsia="Times New Roman"/>
                <w:b w:val="0"/>
                <w:sz w:val="22"/>
              </w:rPr>
              <w:t>REJECTED</w:t>
            </w:r>
          </w:p>
        </w:tc>
      </w:tr>
      <w:tr>
        <w:tc>
          <w:tcPr>
            <w:tcW w:type="dxa" w:w="2340"/>
          </w:tcPr>
          <w:p>
            <w:r>
              <w:rPr>
                <w:rFonts w:ascii="Times New Roman" w:hAnsi="Times New Roman" w:eastAsia="Times New Roman"/>
                <w:b w:val="0"/>
                <w:sz w:val="22"/>
              </w:rPr>
              <w:t>H3</w:t>
            </w:r>
          </w:p>
        </w:tc>
        <w:tc>
          <w:tcPr>
            <w:tcW w:type="dxa" w:w="2340"/>
          </w:tcPr>
          <w:p>
            <w:r>
              <w:rPr>
                <w:rFonts w:ascii="Times New Roman" w:hAnsi="Times New Roman" w:eastAsia="Times New Roman"/>
                <w:b w:val="0"/>
                <w:sz w:val="22"/>
              </w:rPr>
              <w:t>Centroid concordance N=354 vs N=13,668</w:t>
            </w:r>
          </w:p>
        </w:tc>
        <w:tc>
          <w:tcPr>
            <w:tcW w:type="dxa" w:w="2340"/>
          </w:tcPr>
          <w:p>
            <w:r>
              <w:rPr>
                <w:rFonts w:ascii="Times New Roman" w:hAnsi="Times New Roman" w:eastAsia="Times New Roman"/>
                <w:b w:val="0"/>
                <w:sz w:val="22"/>
              </w:rPr>
              <w:t>Verified in centroid study</w:t>
            </w:r>
          </w:p>
        </w:tc>
        <w:tc>
          <w:tcPr>
            <w:tcW w:type="dxa" w:w="2340"/>
          </w:tcPr>
          <w:p>
            <w:r>
              <w:rPr>
                <w:rFonts w:ascii="Times New Roman" w:hAnsi="Times New Roman" w:eastAsia="Times New Roman"/>
                <w:b w:val="0"/>
                <w:sz w:val="22"/>
              </w:rPr>
              <w:t>CONFIRMED</w:t>
            </w:r>
          </w:p>
        </w:tc>
      </w:tr>
      <w:tr>
        <w:tc>
          <w:tcPr>
            <w:tcW w:type="dxa" w:w="2340"/>
          </w:tcPr>
          <w:p>
            <w:r>
              <w:rPr>
                <w:rFonts w:ascii="Times New Roman" w:hAnsi="Times New Roman" w:eastAsia="Times New Roman"/>
                <w:b w:val="0"/>
                <w:sz w:val="22"/>
              </w:rPr>
              <w:t>H4</w:t>
            </w:r>
          </w:p>
        </w:tc>
        <w:tc>
          <w:tcPr>
            <w:tcW w:type="dxa" w:w="2340"/>
          </w:tcPr>
          <w:p>
            <w:r>
              <w:rPr>
                <w:rFonts w:ascii="Times New Roman" w:hAnsi="Times New Roman" w:eastAsia="Times New Roman"/>
                <w:b w:val="0"/>
                <w:sz w:val="22"/>
              </w:rPr>
              <w:t>Per-cell propensity stability</w:t>
            </w:r>
          </w:p>
        </w:tc>
        <w:tc>
          <w:tcPr>
            <w:tcW w:type="dxa" w:w="2340"/>
          </w:tcPr>
          <w:p>
            <w:r>
              <w:rPr>
                <w:rFonts w:ascii="Times New Roman" w:hAnsi="Times New Roman" w:eastAsia="Times New Roman"/>
                <w:b w:val="0"/>
                <w:sz w:val="22"/>
              </w:rPr>
              <w:t>13/14 cells resolved at BCa; 1 (X=0) at Clopper-Pearson per M4 cascade</w:t>
            </w:r>
          </w:p>
        </w:tc>
        <w:tc>
          <w:tcPr>
            <w:tcW w:type="dxa" w:w="2340"/>
          </w:tcPr>
          <w:p>
            <w:r>
              <w:rPr>
                <w:rFonts w:ascii="Times New Roman" w:hAnsi="Times New Roman" w:eastAsia="Times New Roman"/>
                <w:b w:val="0"/>
                <w:sz w:val="22"/>
              </w:rPr>
              <w:t>CONFIRMED</w:t>
            </w:r>
          </w:p>
        </w:tc>
      </w:tr>
      <w:tr>
        <w:tc>
          <w:tcPr>
            <w:tcW w:type="dxa" w:w="2340"/>
          </w:tcPr>
          <w:p>
            <w:r>
              <w:rPr>
                <w:rFonts w:ascii="Times New Roman" w:hAnsi="Times New Roman" w:eastAsia="Times New Roman"/>
                <w:b w:val="0"/>
                <w:sz w:val="22"/>
              </w:rPr>
              <w:t>H5</w:t>
            </w:r>
          </w:p>
        </w:tc>
        <w:tc>
          <w:tcPr>
            <w:tcW w:type="dxa" w:w="2340"/>
          </w:tcPr>
          <w:p>
            <w:r>
              <w:rPr>
                <w:rFonts w:ascii="Times New Roman" w:hAnsi="Times New Roman" w:eastAsia="Times New Roman"/>
                <w:b w:val="0"/>
                <w:sz w:val="22"/>
              </w:rPr>
              <w:t>Gender invariance</w:t>
            </w:r>
          </w:p>
        </w:tc>
        <w:tc>
          <w:tcPr>
            <w:tcW w:type="dxa" w:w="2340"/>
          </w:tcPr>
          <w:p>
            <w:r>
              <w:rPr>
                <w:rFonts w:ascii="Times New Roman" w:hAnsi="Times New Roman" w:eastAsia="Times New Roman"/>
                <w:b w:val="0"/>
                <w:sz w:val="22"/>
              </w:rPr>
              <w:t>Spearman ρ(female, male) = 0.87 across 7 clusters (p = 0.01); 14-cell vs 28-cell stable</w:t>
            </w:r>
          </w:p>
        </w:tc>
        <w:tc>
          <w:tcPr>
            <w:tcW w:type="dxa" w:w="2340"/>
          </w:tcPr>
          <w:p>
            <w:r>
              <w:rPr>
                <w:rFonts w:ascii="Times New Roman" w:hAnsi="Times New Roman" w:eastAsia="Times New Roman"/>
                <w:b w:val="0"/>
                <w:sz w:val="22"/>
              </w:rPr>
              <w:t>CONFIRMED</w:t>
            </w:r>
          </w:p>
        </w:tc>
      </w:tr>
      <w:tr>
        <w:tc>
          <w:tcPr>
            <w:tcW w:type="dxa" w:w="2340"/>
          </w:tcPr>
          <w:p>
            <w:r>
              <w:rPr>
                <w:rFonts w:ascii="Times New Roman" w:hAnsi="Times New Roman" w:eastAsia="Times New Roman"/>
                <w:b w:val="0"/>
                <w:sz w:val="22"/>
              </w:rPr>
              <w:t>H6</w:t>
            </w:r>
          </w:p>
        </w:tc>
        <w:tc>
          <w:tcPr>
            <w:tcW w:type="dxa" w:w="2340"/>
          </w:tcPr>
          <w:p>
            <w:r>
              <w:rPr>
                <w:rFonts w:ascii="Times New Roman" w:hAnsi="Times New Roman" w:eastAsia="Times New Roman"/>
                <w:b w:val="0"/>
                <w:sz w:val="22"/>
              </w:rPr>
              <w:t>Power × gender harassment cluster ranking concordance</w:t>
            </w:r>
          </w:p>
        </w:tc>
        <w:tc>
          <w:tcPr>
            <w:tcW w:type="dxa" w:w="2340"/>
          </w:tcPr>
          <w:p>
            <w:r>
              <w:rPr>
                <w:rFonts w:ascii="Times New Roman" w:hAnsi="Times New Roman" w:eastAsia="Times New Roman"/>
                <w:b w:val="0"/>
                <w:sz w:val="22"/>
              </w:rPr>
              <w:t>Spearman ρ = 0.04 (7-cluster) / 0.14 (14-cell), both p &gt; 0.6</w:t>
            </w:r>
          </w:p>
        </w:tc>
        <w:tc>
          <w:tcPr>
            <w:tcW w:type="dxa" w:w="2340"/>
          </w:tcPr>
          <w:p>
            <w:r>
              <w:rPr>
                <w:rFonts w:ascii="Times New Roman" w:hAnsi="Times New Roman" w:eastAsia="Times New Roman"/>
                <w:b w:val="0"/>
                <w:sz w:val="22"/>
              </w:rPr>
              <w:t>REJECTED</w:t>
            </w:r>
          </w:p>
        </w:tc>
      </w:tr>
      <w:tr>
        <w:tc>
          <w:tcPr>
            <w:tcW w:type="dxa" w:w="2340"/>
          </w:tcPr>
          <w:p>
            <w:r>
              <w:rPr>
                <w:rFonts w:ascii="Times New Roman" w:hAnsi="Times New Roman" w:eastAsia="Times New Roman"/>
                <w:b w:val="0"/>
                <w:sz w:val="22"/>
              </w:rPr>
              <w:t>H7</w:t>
            </w:r>
          </w:p>
        </w:tc>
        <w:tc>
          <w:tcPr>
            <w:tcW w:type="dxa" w:w="2340"/>
          </w:tcPr>
          <w:p>
            <w:r>
              <w:rPr>
                <w:rFonts w:ascii="Times New Roman" w:hAnsi="Times New Roman" w:eastAsia="Times New Roman"/>
                <w:b w:val="0"/>
                <w:sz w:val="22"/>
              </w:rPr>
              <w:t>IUT classification</w:t>
            </w:r>
          </w:p>
        </w:tc>
        <w:tc>
          <w:tcPr>
            <w:tcW w:type="dxa" w:w="2340"/>
          </w:tcPr>
          <w:p>
            <w:r>
              <w:rPr>
                <w:rFonts w:ascii="Times New Roman" w:hAnsi="Times New Roman" w:eastAsia="Times New Roman"/>
                <w:b w:val="0"/>
                <w:sz w:val="22"/>
              </w:rPr>
              <w:t>REVERSAL (robust F=0.3–1.0)</w:t>
            </w:r>
          </w:p>
        </w:tc>
        <w:tc>
          <w:tcPr>
            <w:tcW w:type="dxa" w:w="2340"/>
          </w:tcPr>
          <w:p>
            <w:r>
              <w:rPr>
                <w:rFonts w:ascii="Times New Roman" w:hAnsi="Times New Roman" w:eastAsia="Times New Roman"/>
                <w:b w:val="0"/>
                <w:sz w:val="22"/>
              </w:rPr>
              <w:t>REVERSAL</w:t>
            </w:r>
          </w:p>
        </w:tc>
      </w:tr>
    </w:tbl>
    <w:p>
      <w:pPr>
        <w:spacing w:line="480" w:lineRule="auto" w:before="0" w:after="0"/>
      </w:pPr>
    </w:p>
    <w:p>
      <w:pPr>
        <w:spacing w:line="480" w:lineRule="auto" w:before="0" w:after="0"/>
        <w:jc w:val="center"/>
      </w:pPr>
      <w:r>
        <w:rPr>
          <w:rFonts w:ascii="Times New Roman" w:hAnsi="Times New Roman" w:eastAsia="Times New Roman"/>
          <w:b/>
          <w:sz w:val="24"/>
        </w:rPr>
        <w:t>Figures</w:t>
      </w:r>
    </w:p>
    <w:p>
      <w:pPr>
        <w:spacing w:line="480" w:lineRule="auto" w:before="0" w:after="0"/>
        <w:jc w:val="left"/>
      </w:pPr>
      <w:r>
        <w:rPr>
          <w:rFonts w:ascii="Times New Roman" w:hAnsi="Times New Roman" w:eastAsia="Times New Roman"/>
          <w:b/>
          <w:sz w:val="24"/>
        </w:rPr>
        <w:t>Figure 1. Pipeline Schematic</w:t>
      </w:r>
    </w:p>
    <w:p>
      <w:pPr>
        <w:spacing w:line="480" w:lineRule="auto" w:before="0" w:after="0"/>
      </w:pPr>
      <w:r>
        <w:rPr>
          <w:rFonts w:ascii="Times New Roman" w:hAnsi="Times New Roman" w:eastAsia="Times New Roman"/>
          <w:sz w:val="24"/>
        </w:rPr>
        <w:t xml:space="preserve">A box-and-arrow diagram of the nine pre-registered pipeline stages, showing the data inputs (N=354 individual data; Tokiwa 2026 </w:t>
      </w:r>
      <w:r>
        <w:rPr>
          <w:rFonts w:ascii="Times New Roman" w:hAnsi="Times New Roman" w:eastAsia="Times New Roman"/>
          <w:i/>
          <w:sz w:val="24"/>
        </w:rPr>
        <w:t>IEEE Access</w:t>
      </w:r>
      <w:r>
        <w:rPr>
          <w:rFonts w:ascii="Times New Roman" w:hAnsi="Times New Roman" w:eastAsia="Times New Roman"/>
          <w:sz w:val="24"/>
        </w:rPr>
        <w:t xml:space="preserve"> 7-cluster centroids; Statistics Bureau (MIC) Labor Force Survey 2022) flowing through Stages 0–8 with their HDF5 outputs. Generated as PNG/PDF/SVG by </w:t>
      </w:r>
      <w:r>
        <w:rPr>
          <w:rFonts w:ascii="Times New Roman" w:hAnsi="Times New Roman" w:eastAsia="Times New Roman"/>
          <w:sz w:val="24"/>
        </w:rPr>
        <w:t>simulation/code/figures.py</w:t>
      </w:r>
      <w:r>
        <w:rPr>
          <w:rFonts w:ascii="Times New Roman" w:hAnsi="Times New Roman" w:eastAsia="Times New Roman"/>
          <w:sz w:val="24"/>
        </w:rPr>
        <w:t xml:space="preserve"> (Makefile target </w:t>
      </w:r>
      <w:r>
        <w:rPr>
          <w:rFonts w:ascii="Times New Roman" w:hAnsi="Times New Roman" w:eastAsia="Times New Roman"/>
          <w:sz w:val="24"/>
        </w:rPr>
        <w:t>figures</w:t>
      </w:r>
      <w:r>
        <w:rPr>
          <w:rFonts w:ascii="Times New Roman" w:hAnsi="Times New Roman" w:eastAsia="Times New Roman"/>
          <w:sz w:val="24"/>
        </w:rPr>
        <w:t>).</w:t>
      </w:r>
    </w:p>
    <w:p>
      <w:pPr>
        <w:spacing w:line="480" w:lineRule="auto" w:before="0" w:after="0"/>
      </w:pPr>
      <w:r>
        <w:rPr>
          <w:rFonts w:ascii="Times New Roman" w:hAnsi="Times New Roman" w:eastAsia="Times New Roman"/>
          <w:b/>
          <w:sz w:val="24"/>
        </w:rPr>
        <w:t>Caption.</w:t>
      </w:r>
      <w:r>
        <w:rPr>
          <w:rFonts w:ascii="Times New Roman" w:hAnsi="Times New Roman" w:eastAsia="Times New Roman"/>
          <w:sz w:val="24"/>
        </w:rPr>
        <w:t xml:space="preserve"> </w:t>
      </w:r>
      <w:r>
        <w:rPr>
          <w:rFonts w:ascii="Times New Roman" w:hAnsi="Times New Roman" w:eastAsia="Times New Roman"/>
          <w:i/>
          <w:sz w:val="24"/>
        </w:rPr>
        <w:t>The HEXACO 7-typology workplace harassment microsimulation pipeline. Stage 0 (cell propensity) feeds into Stage 1 (population aggregation, MIC-reweighted) and Stage 2 (H1 four-tier classification). Stage 3 (sensitivity), Stage 4 (baselines), Stage 5 (CMV diagnostic), Stage 6 (target trial PICO), Stage 7 (counterfactuals + H7 IUT), and Stage 8 (transportability) operate in parallel after Stage 2.</w:t>
      </w:r>
    </w:p>
    <w:p>
      <w:pPr>
        <w:spacing w:line="480" w:lineRule="auto" w:before="0" w:after="0"/>
        <w:jc w:val="left"/>
      </w:pPr>
      <w:r>
        <w:rPr>
          <w:rFonts w:ascii="Times New Roman" w:hAnsi="Times New Roman" w:eastAsia="Times New Roman"/>
          <w:b/>
          <w:sz w:val="24"/>
        </w:rPr>
        <w:t>Figure 2. 14-Cell Cell-Level Propensity (Stage 0)</w:t>
      </w:r>
    </w:p>
    <w:p>
      <w:pPr>
        <w:spacing w:line="480" w:lineRule="auto" w:before="0" w:after="0"/>
      </w:pPr>
      <w:r>
        <w:rPr>
          <w:rFonts w:ascii="Times New Roman" w:hAnsi="Times New Roman" w:eastAsia="Times New Roman"/>
          <w:sz w:val="24"/>
        </w:rPr>
        <w:t>A heatmap of P̂_c across 7 HEXACO clusters × 2 genders, with cell sizes overlaid. Cell ordering follows the v2.0 master Section 5.1 convention (cluster × 2 + gender index).</w:t>
      </w:r>
    </w:p>
    <w:p>
      <w:pPr>
        <w:spacing w:line="480" w:lineRule="auto" w:before="0" w:after="0"/>
      </w:pPr>
      <w:r>
        <w:rPr>
          <w:rFonts w:ascii="Times New Roman" w:hAnsi="Times New Roman" w:eastAsia="Times New Roman"/>
          <w:b/>
          <w:sz w:val="24"/>
        </w:rPr>
        <w:t>Caption.</w:t>
      </w:r>
      <w:r>
        <w:rPr>
          <w:rFonts w:ascii="Times New Roman" w:hAnsi="Times New Roman" w:eastAsia="Times New Roman"/>
          <w:sz w:val="24"/>
        </w:rPr>
        <w:t xml:space="preserve"> </w:t>
      </w:r>
      <w:r>
        <w:rPr>
          <w:rFonts w:ascii="Times New Roman" w:hAnsi="Times New Roman" w:eastAsia="Times New Roman"/>
          <w:i/>
          <w:sz w:val="24"/>
        </w:rPr>
        <w:t>Per-cell power-harassment victimization propensities P̂_c with 95% BCa CIs. Cell sizes (N_c) range from 10 to 70 (median 18). Color encodes propensity (blue = low; red = high). Cells with N_c &lt; 20 are demarcated with a dashed boundary.</w:t>
      </w:r>
    </w:p>
    <w:p>
      <w:pPr>
        <w:spacing w:line="480" w:lineRule="auto" w:before="0" w:after="0"/>
        <w:jc w:val="left"/>
      </w:pPr>
      <w:r>
        <w:rPr>
          <w:rFonts w:ascii="Times New Roman" w:hAnsi="Times New Roman" w:eastAsia="Times New Roman"/>
          <w:b/>
          <w:sz w:val="24"/>
        </w:rPr>
        <w:t>Figure 3. National Prevalence vs MHLW Validation Targets</w:t>
      </w:r>
    </w:p>
    <w:p>
      <w:pPr>
        <w:spacing w:line="480" w:lineRule="auto" w:before="0" w:after="0"/>
      </w:pPr>
      <w:r>
        <w:rPr>
          <w:rFonts w:ascii="Times New Roman" w:hAnsi="Times New Roman" w:eastAsia="Times New Roman"/>
          <w:sz w:val="24"/>
        </w:rPr>
        <w:t>A bar chart of model-predicted P̂ = 0.1744 (single bar) overlaid with the three MHLW validation targets (FY2016 = 0.325, FY2020 = 0.314, FY2023 = 0.193) as horizontal reference lines, with the staged enforcement period of the 2020 Power Harassment Prevention Law shaded.</w:t>
      </w:r>
    </w:p>
    <w:p>
      <w:pPr>
        <w:spacing w:line="480" w:lineRule="auto" w:before="0" w:after="0"/>
      </w:pPr>
      <w:r>
        <w:rPr>
          <w:rFonts w:ascii="Times New Roman" w:hAnsi="Times New Roman" w:eastAsia="Times New Roman"/>
          <w:b/>
          <w:sz w:val="24"/>
        </w:rPr>
        <w:t>Caption.</w:t>
      </w:r>
      <w:r>
        <w:rPr>
          <w:rFonts w:ascii="Times New Roman" w:hAnsi="Times New Roman" w:eastAsia="Times New Roman"/>
          <w:sz w:val="24"/>
        </w:rPr>
        <w:t xml:space="preserve"> </w:t>
      </w:r>
      <w:r>
        <w:rPr>
          <w:rFonts w:ascii="Times New Roman" w:hAnsi="Times New Roman" w:eastAsia="Times New Roman"/>
          <w:i/>
          <w:sz w:val="24"/>
        </w:rPr>
        <w:t>Model-based national prevalence (P̂ = 17.44%, blue bar) compared with MHLW past-three-year power-harassment victimization targets across three survey periods. The 2020 Power Harassment Prevention Law's staged enforcement (large enterprises 2020-06; SMEs 2022-04) coincides with the FY2020 → FY2023 decline. Predicted prevalence aligns most closely with the post-law FY2023 target (Standard SUCCESS; CI upper 31.52% narrowly above the 30% Strict threshold).</w:t>
      </w:r>
    </w:p>
    <w:p>
      <w:pPr>
        <w:spacing w:line="480" w:lineRule="auto" w:before="0" w:after="0"/>
        <w:jc w:val="left"/>
      </w:pPr>
      <w:r>
        <w:rPr>
          <w:rFonts w:ascii="Times New Roman" w:hAnsi="Times New Roman" w:eastAsia="Times New Roman"/>
          <w:b/>
          <w:sz w:val="24"/>
        </w:rPr>
        <w:t>Figure 4. OAT Sensitivity Tornado Plot</w:t>
      </w:r>
    </w:p>
    <w:p>
      <w:pPr>
        <w:spacing w:line="480" w:lineRule="auto" w:before="0" w:after="0"/>
      </w:pPr>
      <w:r>
        <w:rPr>
          <w:rFonts w:ascii="Times New Roman" w:hAnsi="Times New Roman" w:eastAsia="Times New Roman"/>
          <w:sz w:val="24"/>
        </w:rPr>
        <w:t>A tornado plot with parameter families on the y-axis and MAPE_FY2016 horizontal bars on the x-axis, ordered by sensitivity magnitude. The two sensitive families (binarization, cluster mass) appear at the top with wide bars; the two stable families (soft τ, EB scale) appear at the bottom with narrow bars. The locked main configuration is marked with a vertical reference line.</w:t>
      </w:r>
    </w:p>
    <w:p>
      <w:pPr>
        <w:spacing w:line="480" w:lineRule="auto" w:before="0" w:after="0"/>
      </w:pPr>
      <w:r>
        <w:rPr>
          <w:rFonts w:ascii="Times New Roman" w:hAnsi="Times New Roman" w:eastAsia="Times New Roman"/>
          <w:b/>
          <w:sz w:val="24"/>
        </w:rPr>
        <w:t>Caption.</w:t>
      </w:r>
      <w:r>
        <w:rPr>
          <w:rFonts w:ascii="Times New Roman" w:hAnsi="Times New Roman" w:eastAsia="Times New Roman"/>
          <w:sz w:val="24"/>
        </w:rPr>
        <w:t xml:space="preserve"> </w:t>
      </w:r>
      <w:r>
        <w:rPr>
          <w:rFonts w:ascii="Times New Roman" w:hAnsi="Times New Roman" w:eastAsia="Times New Roman"/>
          <w:i/>
          <w:sz w:val="24"/>
        </w:rPr>
        <w:t>One-at-a-time sensitivity sweep of FY2016 MAPE. Binarization threshold and cluster mass shift exhibit substantial sensitivity (range 29.6% to 56.5%), whereas soft-assignment τ and empirical Bayes shrinkage scale exhibit negligible sensitivity (range &lt; 0.5%). Vertical line at 45.51% marks the locked v2.0 main configuration.</w:t>
      </w:r>
    </w:p>
    <w:p>
      <w:pPr>
        <w:spacing w:line="480" w:lineRule="auto" w:before="0" w:after="0"/>
        <w:jc w:val="left"/>
      </w:pPr>
      <w:r>
        <w:rPr>
          <w:rFonts w:ascii="Times New Roman" w:hAnsi="Times New Roman" w:eastAsia="Times New Roman"/>
          <w:b/>
          <w:sz w:val="24"/>
        </w:rPr>
        <w:t>Figure 5. Counterfactual ΔP_x Forest Plot</w:t>
      </w:r>
    </w:p>
    <w:p>
      <w:pPr>
        <w:spacing w:line="480" w:lineRule="auto" w:before="0" w:after="0"/>
      </w:pPr>
      <w:r>
        <w:rPr>
          <w:rFonts w:ascii="Times New Roman" w:hAnsi="Times New Roman" w:eastAsia="Times New Roman"/>
          <w:sz w:val="24"/>
        </w:rPr>
        <w:t>A forest plot with three counterfactuals on the y-axis (A, B, C), point estimates with 95% CIs as horizontal whiskers, and a vertical reference line at ΔP = 0. Counterfactuals A and B's CIs overlap zero; Counterfactual C's CI excludes zero on the positive side.</w:t>
      </w:r>
    </w:p>
    <w:p>
      <w:pPr>
        <w:spacing w:line="480" w:lineRule="auto" w:before="0" w:after="0"/>
      </w:pPr>
      <w:r>
        <w:rPr>
          <w:rFonts w:ascii="Times New Roman" w:hAnsi="Times New Roman" w:eastAsia="Times New Roman"/>
          <w:b/>
          <w:sz w:val="24"/>
        </w:rPr>
        <w:t>Caption.</w:t>
      </w:r>
      <w:r>
        <w:rPr>
          <w:rFonts w:ascii="Times New Roman" w:hAnsi="Times New Roman" w:eastAsia="Times New Roman"/>
          <w:sz w:val="24"/>
        </w:rPr>
        <w:t xml:space="preserve"> </w:t>
      </w:r>
      <w:r>
        <w:rPr>
          <w:rFonts w:ascii="Times New Roman" w:hAnsi="Times New Roman" w:eastAsia="Times New Roman"/>
          <w:i/>
          <w:sz w:val="24"/>
        </w:rPr>
        <w:t>Counterfactual ΔP_x estimates and 95% CIs. Personality intervention (A; +0.3 SD on H/A/E for all individuals) and targeted personality intervention (B; +0.40 SD on HH restricted to individuals already in the low-prevalence Cluster {0, 4, 6} subgroup) yield null effects (CIs cross zero). Structural intervention (C; −20% propensity, calibrated against three meta-analyses and the MHLW FY2016–FY2023 Power Harassment Prevention Law natural experiment) yields a positive effect of +3.49 percentage points (CI excludes zero on the positive side). The H7 intersection-union test (Berger &amp; Hsu, 1996) classifies this configuration as REVERSAL.</w:t>
      </w:r>
    </w:p>
    <w:p>
      <w:pPr>
        <w:spacing w:line="480" w:lineRule="auto" w:before="0" w:after="0"/>
        <w:jc w:val="left"/>
      </w:pPr>
      <w:r>
        <w:rPr>
          <w:rFonts w:ascii="Times New Roman" w:hAnsi="Times New Roman" w:eastAsia="Times New Roman"/>
          <w:b/>
          <w:sz w:val="24"/>
        </w:rPr>
        <w:t>Figure 6. Transportability Robustness</w:t>
      </w:r>
    </w:p>
    <w:p>
      <w:pPr>
        <w:spacing w:line="480" w:lineRule="auto" w:before="0" w:after="0"/>
      </w:pPr>
      <w:r>
        <w:rPr>
          <w:rFonts w:ascii="Times New Roman" w:hAnsi="Times New Roman" w:eastAsia="Times New Roman"/>
          <w:sz w:val="24"/>
        </w:rPr>
        <w:t>A line plot with cultural attenuation factor F on the x-axis (0.3 to 1.0) and ΔP_x on the y-axis. Three lines for ΔP_A, ΔP_B, ΔP_C, with 95% CIs as shaded bands. The ΔP_C line remains above zero across the entire factor range; the ΔP_A and ΔP_B lines remain centered on zero.</w:t>
      </w:r>
    </w:p>
    <w:p>
      <w:pPr>
        <w:spacing w:line="480" w:lineRule="auto" w:before="0" w:after="0"/>
      </w:pPr>
      <w:r>
        <w:rPr>
          <w:rFonts w:ascii="Times New Roman" w:hAnsi="Times New Roman" w:eastAsia="Times New Roman"/>
          <w:b/>
          <w:sz w:val="24"/>
        </w:rPr>
        <w:t>Caption.</w:t>
      </w:r>
      <w:r>
        <w:rPr>
          <w:rFonts w:ascii="Times New Roman" w:hAnsi="Times New Roman" w:eastAsia="Times New Roman"/>
          <w:sz w:val="24"/>
        </w:rPr>
        <w:t xml:space="preserve"> </w:t>
      </w:r>
      <w:r>
        <w:rPr>
          <w:rFonts w:ascii="Times New Roman" w:hAnsi="Times New Roman" w:eastAsia="Times New Roman"/>
          <w:i/>
          <w:sz w:val="24"/>
        </w:rPr>
        <w:t>H7 IUT classification under cultural attenuation factors F ∈ {0.3, 0.5, 0.7, 1.0}. The REVERSAL classification (structural dominance) is preserved across all four factors, including the conservative cross-cultural worst-case anchor (F = 0.3) and the Nielsen et al. (2017) Asia/Oceania expected attenuation (F = 0.5).</w:t>
      </w:r>
    </w:p>
    <w:p>
      <w:pPr>
        <w:pStyle w:val="ListBullet"/>
        <w:spacing w:line="480" w:lineRule="auto" w:before="0" w:after="0"/>
      </w:pPr>
      <w:r>
        <w:rPr>
          <w:rFonts w:ascii="Times New Roman" w:hAnsi="Times New Roman" w:eastAsia="Times New Roman"/>
          <w:sz w:val="24"/>
        </w:rPr>
        <w:t>Tables 1–6: Embedded in manuscript_preprint.docx as native Word tables with APA-style formatting (Times New Roman 12 pt, double-spaced, lines below header and final row).</w:t>
      </w:r>
    </w:p>
    <w:p>
      <w:pPr>
        <w:pStyle w:val="ListBullet"/>
        <w:spacing w:line="480" w:lineRule="auto" w:before="0" w:after="0"/>
      </w:pPr>
      <w:r>
        <w:rPr>
          <w:rFonts w:ascii="Times New Roman" w:hAnsi="Times New Roman" w:eastAsia="Times New Roman"/>
          <w:sz w:val="24"/>
        </w:rPr>
        <w:t>Figure 1 (pipeline schematic): Generated by simulation/code/figures.py as simulation/output/figures/figure1_pipeline.{png,pdf,svg}. The pipeline schematic is illustrative; values come from the v2.0 master.</w:t>
      </w:r>
    </w:p>
    <w:p>
      <w:pPr>
        <w:pStyle w:val="ListBullet"/>
        <w:spacing w:line="480" w:lineRule="auto" w:before="0" w:after="0"/>
      </w:pPr>
      <w:r>
        <w:rPr>
          <w:rFonts w:ascii="Times New Roman" w:hAnsi="Times New Roman" w:eastAsia="Times New Roman"/>
          <w:sz w:val="24"/>
        </w:rPr>
        <w:t>Figure 2 (14-cell heatmap): Generated from output/supplementary/stage0_cell_propensity.h5 via matplotlib.</w:t>
      </w:r>
    </w:p>
    <w:p>
      <w:pPr>
        <w:pStyle w:val="ListBullet"/>
        <w:spacing w:line="480" w:lineRule="auto" w:before="0" w:after="0"/>
      </w:pPr>
      <w:r>
        <w:rPr>
          <w:rFonts w:ascii="Times New Roman" w:hAnsi="Times New Roman" w:eastAsia="Times New Roman"/>
          <w:sz w:val="24"/>
        </w:rPr>
        <w:t>Figure 3 (prevalence comparison): Generated from stage1_population_aggregation.h5 and stage2_validation.h5.</w:t>
      </w:r>
    </w:p>
    <w:p>
      <w:pPr>
        <w:pStyle w:val="ListBullet"/>
        <w:spacing w:line="480" w:lineRule="auto" w:before="0" w:after="0"/>
      </w:pPr>
      <w:r>
        <w:rPr>
          <w:rFonts w:ascii="Times New Roman" w:hAnsi="Times New Roman" w:eastAsia="Times New Roman"/>
          <w:sz w:val="24"/>
        </w:rPr>
        <w:t>Figure 4 (sensitivity tornado): Generated from stage3_sensitivity.h5.</w:t>
      </w:r>
    </w:p>
    <w:p>
      <w:pPr>
        <w:pStyle w:val="ListBullet"/>
        <w:spacing w:line="480" w:lineRule="auto" w:before="0" w:after="0"/>
      </w:pPr>
      <w:r>
        <w:rPr>
          <w:rFonts w:ascii="Times New Roman" w:hAnsi="Times New Roman" w:eastAsia="Times New Roman"/>
          <w:sz w:val="24"/>
        </w:rPr>
        <w:t>Figure 5 (counterfactual forest): Generated from stage7_counterfactual.h5.</w:t>
      </w:r>
    </w:p>
    <w:p>
      <w:pPr>
        <w:pStyle w:val="ListBullet"/>
        <w:spacing w:line="480" w:lineRule="auto" w:before="0" w:after="0"/>
      </w:pPr>
      <w:r>
        <w:rPr>
          <w:rFonts w:ascii="Times New Roman" w:hAnsi="Times New Roman" w:eastAsia="Times New Roman"/>
          <w:sz w:val="24"/>
        </w:rPr>
        <w:t>Figure 6 (transportability): Generated from stage8_transportability.h5.</w:t>
      </w:r>
    </w:p>
    <w:p>
      <w:pPr>
        <w:spacing w:line="480" w:lineRule="auto" w:before="0" w:after="0"/>
      </w:pPr>
      <w:r>
        <w:rPr>
          <w:rFonts w:ascii="Times New Roman" w:hAnsi="Times New Roman" w:eastAsia="Times New Roman"/>
          <w:sz w:val="24"/>
        </w:rPr>
        <w:t xml:space="preserve">All figures are saved at 300 DPI in PNG and PDF formats; vector versions (SVG) are also produced for journal submission. PNG embeds are used in </w:t>
      </w:r>
      <w:r>
        <w:rPr>
          <w:rFonts w:ascii="Times New Roman" w:hAnsi="Times New Roman" w:eastAsia="Times New Roman"/>
          <w:sz w:val="24"/>
        </w:rPr>
        <w:t>manuscript_preprint.docx</w:t>
      </w:r>
      <w:r>
        <w:rPr>
          <w:rFonts w:ascii="Times New Roman" w:hAnsi="Times New Roman" w:eastAsia="Times New Roman"/>
          <w:sz w:val="24"/>
        </w:rPr>
        <w:t xml:space="preserve"> and </w:t>
      </w:r>
      <w:r>
        <w:rPr>
          <w:rFonts w:ascii="Times New Roman" w:hAnsi="Times New Roman" w:eastAsia="Times New Roman"/>
          <w:sz w:val="24"/>
        </w:rPr>
        <w:t>manuscript_journal.docx</w:t>
      </w:r>
      <w:r>
        <w:rPr>
          <w:rFonts w:ascii="Times New Roman" w:hAnsi="Times New Roman" w:eastAsia="Times New Roman"/>
          <w:sz w:val="24"/>
        </w:rPr>
        <w:t>; PDF/SVG accompany the journal submission as separate files (per RSOS Stage 2 RR submission requirements).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jc w:val="left"/>
    </w:pPr>
    <w:r>
      <w:rPr>
        <w:rFonts w:ascii="Times New Roman" w:hAnsi="Times New Roman" w:eastAsia="Times New Roman"/>
        <w:b w:val="0"/>
        <w:sz w:val="24"/>
      </w:rPr>
      <w:t>STRUCTURE DOMINATES PERSONALITY</w:t>
    </w:r>
    <w:r>
      <w:rPr>
        <w:rFonts w:ascii="Times New Roman" w:hAnsi="Times New Roman" w:eastAsia="Times New Roman"/>
        <w:sz w:val="24"/>
      </w:rPr>
      <w:tab/>
    </w:r>
    <w:r>
      <w:rPr>
        <w:rFonts w:ascii="Times New Roman" w:hAnsi="Times New Roman" w:eastAsia="Times New Roman"/>
        <w:sz w:val="24"/>
      </w:rPr>
      <w:fldChar w:fldCharType="begin"/>
      <w:instrText>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