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Pre-Registered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(independent researcher; correspondence c/o SUNBLAZE Co., Ltd., Tokyo, Japan; ORCID 0009-0009-7124-6669; eisuke.tokiwa@sunblaze.jp) </w:t>
      </w:r>
      <w:r>
        <w:rPr>
          <w:rFonts w:ascii="Times New Roman" w:hAnsi="Times New Roman" w:eastAsia="Times New Roman"/>
          <w:b/>
          <w:sz w:val="24"/>
        </w:rPr>
        <w:t>Pre-registration</w:t>
      </w:r>
      <w:r>
        <w:rPr>
          <w:rFonts w:ascii="Times New Roman" w:hAnsi="Times New Roman" w:eastAsia="Times New Roman"/>
          <w:sz w:val="24"/>
        </w:rPr>
        <w:t xml:space="preserve">: OSF DOI 10.17605/OSF.IO/3Y54U (v2.0; locked 2026-04-30) </w:t>
      </w:r>
      <w:r>
        <w:rPr>
          <w:rFonts w:ascii="Times New Roman" w:hAnsi="Times New Roman" w:eastAsia="Times New Roman"/>
          <w:b/>
          <w:sz w:val="24"/>
        </w:rPr>
        <w:t>Reporting standard</w:t>
      </w:r>
      <w:r>
        <w:rPr>
          <w:rFonts w:ascii="Times New Roman" w:hAnsi="Times New Roman" w:eastAsia="Times New Roman"/>
          <w:sz w:val="24"/>
        </w:rPr>
        <w:t xml:space="preserve">: Stage 2 Registered Report (post-data) following the v2.0 pre-registration </w:t>
      </w:r>
      <w:r>
        <w:rPr>
          <w:rFonts w:ascii="Times New Roman" w:hAnsi="Times New Roman" w:eastAsia="Times New Roman"/>
          <w:b/>
          <w:sz w:val="24"/>
        </w:rPr>
        <w:t>Funding and conflicts of interest</w:t>
      </w:r>
      <w:r>
        <w:rPr>
          <w:rFonts w:ascii="Times New Roman" w:hAnsi="Times New Roman" w:eastAsia="Times New Roman"/>
          <w:sz w:val="24"/>
        </w:rPr>
        <w:t>: This study received no external grant funding. The author conducted the research as an independent academic project; SUNBLAZE Co., Ltd. provided the postal correspondence address but did not commission, fund, sponsor, or otherwise direct the research, and has no commercial product or service related to the topic of the study. The author declares no competing interests.</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indicating that the cell-level structural-intervention contrast (Counterfactual C; −20% propensity, calibrated against three meta-analyses)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and verifies that the structural-intervention contrast does not differentially fail any subgroup, but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