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(k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(r range = .068 to .49), TIPI-J (r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N &gt; 500 (Wang 2023 N = 1,625; Yu 2021 N = 1,152; Alkış &amp; Temizel 2018 N = 316 online subset; Bahçekapılı &amp; Karaman 2020 N = 525; Kaspar et al. 2023 N = 413; Quigley et al. 2022 N = 301; Rodrigues et al. 2024 N = 260; Zheng &amp; Zheng 2023 N = 282) produced smaller pooled Conscientiousness estimates (r ≈ .10) than studies with N &lt; 200 (r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(2021)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b/>
                <w:sz w:val="20"/>
              </w:rPr>
              <w:t>Q(df), 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independent samples contributing a direct Pearson r or Peterson-Brown-converted β to the trait pool. N = total pooled sample size. r = random-effects REML pooled correlation on the Fisher z scale, back-transformed to r for display. 95% CI = Hartung-Knapp-Sidik-Jonkman–adjusted confidence interval. 95% PI = prediction interval for true effects in a new study. I² = Higgins &amp; Thompson's heterogeneity index. τ² = REML between-study variance. Q = Cochran's heterogeneity statistic; df = degrees of freedom; p = associated p-value. Traits are sorted by pooled r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Q_between(df), 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studies contributing to each subgroup. Q_between = between-subgroup heterogeneity statistic testing whether subgroups' pooled effects differ significantly. Dagger (†) indicates the two significant subgroup differences at p &lt; .001 after Holm-Bonferroni correction within the Extraversion trait pool. Categorical levels: Asia = East or Middle Eastern samples; non-Asia = European, North American, or Other regions. Era: pre-COVID = data collected ≤2019; COVID-era = 2020–2022. Post-COVID studies (k = 2) were insufficient for subgroup isolation. Outcome type: objective = GPA, course grade, standardized exam, or MOOC platform composite; self-rated = student self-reported performance.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