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r>
        <w:rPr>
          <w:rFonts w:ascii="Times New Roman" w:hAnsi="Times New Roman" w:eastAsia="Times New Roman"/>
          <w:sz w:val="14"/>
        </w:rPr>
        <w:t>Date of publication xxxx 00, 0000, date of current version xxxx 00, 0000.</w:t>
      </w:r>
    </w:p>
    <w:p>
      <w:pPr>
        <w:spacing w:line="240" w:lineRule="auto" w:before="0" w:after="160"/>
      </w:pPr>
      <w:r>
        <w:rPr>
          <w:rFonts w:ascii="Times New Roman" w:hAnsi="Times New Roman" w:eastAsia="Times New Roman"/>
          <w:i/>
          <w:sz w:val="12"/>
        </w:rPr>
        <w:t>Digital Object Identifier 10.1109/ACCESS.20XX.DOI</w:t>
      </w:r>
    </w:p>
    <w:p>
      <w:pPr>
        <w:spacing w:line="240" w:lineRule="auto" w:before="0" w:after="200"/>
        <w:jc w:val="left"/>
      </w:pPr>
      <w:r>
        <w:rPr>
          <w:rFonts w:ascii="Times New Roman" w:hAnsi="Times New Roman" w:eastAsia="Times New Roman"/>
          <w:b/>
          <w:sz w:val="44"/>
        </w:rPr>
        <w:t>Person-Level versus System-Level Anti-Harassment Interventions: HEXACO 7-Typology Evidence That Structure Dominates Personality in Japanese Workplaces</w:t>
      </w:r>
    </w:p>
    <w:p>
      <w:pPr>
        <w:spacing w:line="240" w:lineRule="auto" w:before="0" w:after="40"/>
        <w:jc w:val="left"/>
      </w:pPr>
      <w:r>
        <w:rPr>
          <w:rFonts w:ascii="Times New Roman" w:hAnsi="Times New Roman" w:eastAsia="Times New Roman"/>
          <w:b/>
          <w:sz w:val="20"/>
        </w:rPr>
        <w:t>E. TOKIWA</w:t>
      </w:r>
      <w:r>
        <w:rPr>
          <w:rFonts w:ascii="Times New Roman" w:hAnsi="Times New Roman" w:eastAsia="Times New Roman"/>
          <w:b/>
          <w:sz w:val="14"/>
          <w:vertAlign w:val="superscript"/>
        </w:rPr>
        <w:t>1</w:t>
      </w:r>
    </w:p>
    <w:p>
      <w:pPr>
        <w:spacing w:line="240" w:lineRule="auto" w:before="0" w:after="40"/>
      </w:pPr>
      <w:r>
        <w:rPr>
          <w:rFonts w:ascii="Times New Roman" w:hAnsi="Times New Roman" w:eastAsia="Times New Roman"/>
          <w:sz w:val="14"/>
          <w:vertAlign w:val="superscript"/>
        </w:rPr>
        <w:t>1</w:t>
      </w:r>
      <w:r>
        <w:rPr>
          <w:rFonts w:ascii="Times New Roman" w:hAnsi="Times New Roman" w:eastAsia="Times New Roman"/>
          <w:sz w:val="14"/>
        </w:rPr>
        <w:t>SUNBLAZE Co., Ltd., Nishi-Shinjuku 3-3-13, Shinjuku-ku, Tokyo 160-0023, Japan</w:t>
      </w:r>
    </w:p>
    <w:p>
      <w:pPr>
        <w:spacing w:line="240" w:lineRule="auto" w:before="0" w:after="40"/>
      </w:pPr>
      <w:r>
        <w:rPr>
          <w:rFonts w:ascii="Times New Roman" w:hAnsi="Times New Roman" w:eastAsia="Times New Roman"/>
          <w:sz w:val="16"/>
        </w:rPr>
        <w:t>Corresponding author: E. Tokiwa (e-mail: eisuke.tokiwa@sunblaze.jp).</w:t>
      </w:r>
    </w:p>
    <w:p>
      <w:pPr>
        <w:spacing w:line="240" w:lineRule="auto" w:before="0" w:after="200"/>
        <w:jc w:val="both"/>
      </w:pPr>
      <w:r>
        <w:rPr>
          <w:rFonts w:ascii="Times New Roman" w:hAnsi="Times New Roman" w:eastAsia="Times New Roman"/>
          <w:sz w:val="16"/>
        </w:rPr>
        <w:t>This research received no external funding.</w:t>
      </w:r>
    </w:p>
    <w:p>
      <w:pPr>
        <w:spacing w:line="240" w:lineRule="auto" w:before="0" w:after="80"/>
        <w:jc w:val="both"/>
      </w:pPr>
      <w:r>
        <w:rPr>
          <w:rFonts w:ascii="Times New Roman" w:hAnsi="Times New Roman" w:eastAsia="Times New Roman"/>
          <w:b/>
          <w:sz w:val="20"/>
        </w:rPr>
        <w:t>ABSTRACT</w:t>
      </w:r>
      <w:r>
        <w:rPr>
          <w:rFonts w:ascii="Times New Roman" w:hAnsi="Times New Roman" w:eastAsia="Times New Roman"/>
          <w:sz w:val="20"/>
        </w:rPr>
        <w:t xml:space="preserve"> Workplace harassment imposes major public-health costs in Japan, where Ministry of Health, Labour and Welfare (MHLW) surveys document past-three-year power-harassment victimization declining from 32.5% (FY2016) to 19.3% (FY2023) following the 2020 Power Harassment Prevention Law. Whether this decline reflects structural intervention or what realistic personality interventions could achieve remains untested. We pre-registered (OSF DOI 10.17605/OSF.IO/3Y54U) a 7-typology HEXACO microsimulation emulating a target trial of three counterfactuals: (A) universal +0.3 SD shift on Honesty-Humility, Agreeableness, and Emotionality; (B) targeted +0.40 SD Honesty-Humility shift restricted to individuals already in three low-prevalence typologies (Clusters {0, 4, 6}); (C) structural cell-level propensity reduction of 20%, calibrated against three meta-analyses. Using N = 354 individual-level data partitioned into 14 cells (7 typologies × 2 genders) with cell-stratified bootstrap (B = 10,000), Beta-Binomial empirical Bayes shrinkage, and a four-step BCa confidence-interval cascade, ΔP_A = −0.0061 ([−0.0207, +0.0062]) and ΔP_B = −0.0059 ([−0.0207, +0.0066]) are null, whereas ΔP_C = +0.0349 ([+0.0264, +0.0435]) is positive and robust. The intersection-union test classifies this configuration as REVERSAL — structural intervention dominates personality intervention by ~5.7×. Robustness holds across cultural attenuation factors of 0.3–1.0 and nine pre-registered analytic choices. HEXACO 7-typology serves as a stratification variable identifying differentially exposed populations, not an intervention target; we reject victim-blaming framings of harassment exposure.</w:t>
      </w:r>
    </w:p>
    <w:p>
      <w:pPr>
        <w:spacing w:line="240" w:lineRule="auto" w:before="0" w:after="200"/>
        <w:jc w:val="both"/>
      </w:pPr>
      <w:r>
        <w:rPr>
          <w:rFonts w:ascii="Times New Roman" w:hAnsi="Times New Roman" w:eastAsia="Times New Roman"/>
          <w:b/>
          <w:sz w:val="20"/>
        </w:rPr>
        <w:t>INDEX TERMS</w:t>
      </w:r>
      <w:r>
        <w:rPr>
          <w:rFonts w:ascii="Times New Roman" w:hAnsi="Times New Roman" w:eastAsia="Times New Roman"/>
          <w:sz w:val="20"/>
        </w:rPr>
        <w:t xml:space="preserve"> Bootstrap, counterfactual analysis, HEXACO model, intersection-union test, microsimulation, target trial emulation, workplace harassment.</w:t>
      </w:r>
    </w:p>
    <w:p>
      <w:pPr>
        <w:sectPr>
          <w:type w:val="continuous"/>
          <w:pgSz w:w="11520" w:h="15660"/>
          <w:pgMar w:top="1280" w:bottom="1040" w:left="740" w:right="740"/>
          <w:cols w:num="1"/>
        </w:sectPr>
      </w:pPr>
    </w:p>
    <w:p>
      <w:pPr>
        <w:spacing w:line="240" w:lineRule="auto" w:before="0" w:after="0"/>
        <w:ind w:firstLine="180"/>
        <w:jc w:val="both"/>
      </w:pPr>
      <w:r>
        <w:rPr>
          <w:rFonts w:ascii="Times New Roman" w:hAnsi="Times New Roman" w:eastAsia="Times New Roman"/>
          <w:sz w:val="20"/>
        </w:rPr>
        <w:t>Person-Level versus System-Level Anti-Harassment Interventions: HEXACO 7-Typology Evidence That Structure Dominates Personality in Japanese Workplaces</w:t>
      </w:r>
    </w:p>
    <w:p>
      <w:pPr>
        <w:spacing w:line="240" w:lineRule="auto" w:before="120" w:after="40"/>
      </w:pPr>
      <w:r>
        <w:rPr>
          <w:rFonts w:ascii="Times New Roman" w:hAnsi="Times New Roman" w:eastAsia="Times New Roman"/>
          <w:b/>
          <w:sz w:val="18"/>
        </w:rPr>
        <w:t>INTRODUCTION</w:t>
      </w:r>
    </w:p>
    <w:p>
      <w:pPr>
        <w:spacing w:line="240" w:lineRule="auto" w:before="80" w:after="40"/>
      </w:pPr>
      <w:r>
        <w:rPr>
          <w:rFonts w:ascii="Times New Roman" w:hAnsi="Times New Roman" w:eastAsia="Times New Roman"/>
          <w:b/>
          <w:sz w:val="20"/>
        </w:rPr>
        <w:t>Workplace harassment as a public-health and policy problem</w:t>
      </w:r>
    </w:p>
    <w:p>
      <w:pPr>
        <w:spacing w:line="240" w:lineRule="auto" w:before="0" w:after="0"/>
        <w:ind w:firstLine="180"/>
        <w:jc w:val="both"/>
      </w:pPr>
      <w:r>
        <w:rPr>
          <w:rFonts w:ascii="Times New Roman" w:hAnsi="Times New Roman" w:eastAsia="Times New Roman"/>
          <w:sz w:val="20"/>
        </w:rPr>
        <w:t>Workplace harassment is a leading driver of psychiatric morbidity, voluntary turnover, and lost productivity in industrialized economies [1, 2]. In Japan, the Ministry of Health, Labour and Welfare (MHLW) has documented past-three-year power-harassment victimization rates of 32.5% in FY2016, 31.4% in FY2020, and 19.3% in FY2023 [3]. The 13.2 percentage-point decline between FY2016 and FY2023 coincides closely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240" w:lineRule="auto" w:before="0" w:after="0"/>
        <w:ind w:firstLine="180"/>
        <w:jc w:val="both"/>
      </w:pPr>
      <w:r>
        <w:rPr>
          <w:rFonts w:ascii="Times New Roman" w:hAnsi="Times New Roman" w:eastAsia="Times New Roman"/>
          <w:sz w:val="20"/>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[4, 5]. The former approach assumes that harassment is largely driven by individual disposition; the latter, that it is largely driven by environmental affordance. Despite extensive research linking personality traits to bullying and harassment [6, 7], the relative population-level efficacy of person-level versus system-level interventions has not been quantitatively compared in a counterfactually rigorous framework.</w:t>
      </w:r>
    </w:p>
    <w:p>
      <w:pPr>
        <w:spacing w:line="240" w:lineRule="auto" w:before="80" w:after="40"/>
      </w:pPr>
      <w:r>
        <w:rPr>
          <w:rFonts w:ascii="Times New Roman" w:hAnsi="Times New Roman" w:eastAsia="Times New Roman"/>
          <w:b/>
          <w:sz w:val="20"/>
        </w:rPr>
        <w:t>HEXACO 7-typology and its prior connection to workplace harassment</w:t>
      </w:r>
    </w:p>
    <w:p>
      <w:pPr>
        <w:spacing w:line="240" w:lineRule="auto" w:before="0" w:after="0"/>
        <w:ind w:firstLine="180"/>
        <w:jc w:val="both"/>
      </w:pPr>
      <w:r>
        <w:rPr>
          <w:rFonts w:ascii="Times New Roman" w:hAnsi="Times New Roman" w:eastAsia="Times New Roman"/>
          <w:sz w:val="20"/>
        </w:rPr>
        <w:t>The HEXACO model of personality [8]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[6, 9, 10, 11]. However, the magnitude of these associations is generally modest [6] (uncorrected r typically in the range 0.10–0.30), and recent meta-analyses suggest considerable cross-cultural heterogeneity in workplace bullying acceptability and effect sizes [6, 12].</w:t>
      </w:r>
    </w:p>
    <w:p>
      <w:pPr>
        <w:spacing w:line="240" w:lineRule="auto" w:before="0" w:after="0"/>
        <w:ind w:firstLine="180"/>
        <w:jc w:val="both"/>
      </w:pPr>
      <w:r>
        <w:rPr>
          <w:rFonts w:ascii="Times New Roman" w:hAnsi="Times New Roman" w:eastAsia="Times New Roman"/>
          <w:sz w:val="20"/>
        </w:rPr>
        <w:t>In a companion study, our research group identified seven robust HEXACO clusters in a Japanese sample of N = 13,668 [13] (herein "the centroid study"). The seven typologies — labeled here as types 0 through 6 — span the joint distribution of HEXACO domains and provide a parsimonious taxonomy for categorizing individuals according to their personality profile. The present study leverages these IEEE Access–published centroids as fixed parameters for stratifying a smaller harassment-focused subsample [14] (N = 354).</w:t>
      </w:r>
    </w:p>
    <w:p>
      <w:pPr>
        <w:spacing w:line="240" w:lineRule="auto" w:before="0" w:after="0"/>
        <w:ind w:firstLine="180"/>
        <w:jc w:val="both"/>
      </w:pPr>
      <w:r>
        <w:rPr>
          <w:rFonts w:ascii="Times New Roman" w:hAnsi="Times New Roman" w:eastAsia="Times New Roman"/>
          <w:sz w:val="20"/>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240" w:lineRule="auto" w:before="80" w:after="40"/>
      </w:pPr>
      <w:r>
        <w:rPr>
          <w:rFonts w:ascii="Times New Roman" w:hAnsi="Times New Roman" w:eastAsia="Times New Roman"/>
          <w:b/>
          <w:sz w:val="20"/>
        </w:rPr>
        <w:t>Microsimulation as a methodological bridge</w:t>
      </w:r>
    </w:p>
    <w:p>
      <w:pPr>
        <w:spacing w:line="240" w:lineRule="auto" w:before="0" w:after="0"/>
        <w:ind w:firstLine="180"/>
        <w:jc w:val="both"/>
      </w:pPr>
      <w:r>
        <w:rPr>
          <w:rFonts w:ascii="Times New Roman" w:hAnsi="Times New Roman" w:eastAsia="Times New Roman"/>
          <w:sz w:val="20"/>
        </w:rPr>
        <w:t>Microsimulation methods, originating in demographic and economic policy analysis [15] and extended into epidemiology and public health [16],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240" w:lineRule="auto" w:before="0" w:after="0"/>
        <w:ind w:firstLine="180"/>
        <w:jc w:val="both"/>
      </w:pPr>
      <w:r>
        <w:rPr>
          <w:rFonts w:ascii="Times New Roman" w:hAnsi="Times New Roman" w:eastAsia="Times New Roman"/>
          <w:sz w:val="20"/>
        </w:rPr>
        <w:t>The present study adopts the framework of target trial emulation [17]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[18] (SUTVA). We address each assumption explicitly in the Methods and Discussion.</w:t>
      </w:r>
    </w:p>
    <w:p>
      <w:pPr>
        <w:spacing w:line="240" w:lineRule="auto" w:before="0" w:after="0"/>
        <w:ind w:firstLine="180"/>
        <w:jc w:val="both"/>
      </w:pPr>
      <w:r>
        <w:rPr>
          <w:rFonts w:ascii="Times New Roman" w:hAnsi="Times New Roman" w:eastAsia="Times New Roman"/>
          <w:sz w:val="20"/>
        </w:rPr>
        <w:t>Counterfactual contrasts are formulated using the Pearl [29] do-operator. Specifically, we define three pre-registered interventions:</w:t>
      </w:r>
    </w:p>
    <w:p>
      <w:pPr>
        <w:pStyle w:val="ListBullet"/>
        <w:spacing w:line="240" w:lineRule="auto" w:before="0" w:after="0"/>
        <w:jc w:val="both"/>
      </w:pPr>
      <w:r>
        <w:rPr>
          <w:rFonts w:ascii="Times New Roman" w:hAnsi="Times New Roman" w:eastAsia="Times New Roman"/>
          <w:sz w:val="20"/>
        </w:rPr>
        <w:t>Counterfactual A (personality intervention): do(HH ← HH + 0.3 σ_HH; A ← A + 0.3 σ_A; E ← E + 0.3 σ_E). The +0.3 SD calibration is derived from the upper bound of effect sizes reported in personality-training meta-analyses [19, 20].</w:t>
      </w:r>
    </w:p>
    <w:p>
      <w:pPr>
        <w:pStyle w:val="ListBullet"/>
        <w:spacing w:line="240" w:lineRule="auto" w:before="0" w:after="0"/>
        <w:jc w:val="both"/>
      </w:pPr>
      <w:r>
        <w:rPr>
          <w:rFonts w:ascii="Times New Roman" w:hAnsi="Times New Roman" w:eastAsia="Times New Roman"/>
          <w:sz w:val="20"/>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240" w:lineRule="auto" w:before="0" w:after="0"/>
        <w:jc w:val="both"/>
      </w:pPr>
      <w:r>
        <w:rPr>
          <w:rFonts w:ascii="Times New Roman" w:hAnsi="Times New Roman" w:eastAsia="Times New Roman"/>
          <w:sz w:val="20"/>
        </w:rPr>
        <w:t>Counterfactual C (structural reform): do(P_{c, x = power} ← 0.8 × P_{c, x = power}). Cell-level propensity is reduced by 20% uniformly across all cluster × gender cells, calibrated against three meta-analyses of organizational anti-harassment interventions [5, 21, 22], as well as the empirical −13.2 percentage-point reduction observed in the MHLW survey series between FY2016 and FY2023, spanning the 2020 Power Harassment Prevention Law's staged enforcement.</w:t>
      </w:r>
    </w:p>
    <w:p>
      <w:pPr>
        <w:spacing w:line="240" w:lineRule="auto" w:before="0" w:after="0"/>
        <w:ind w:firstLine="180"/>
        <w:jc w:val="both"/>
      </w:pPr>
      <w:r>
        <w:rPr>
          <w:rFonts w:ascii="Times New Roman" w:hAnsi="Times New Roman" w:eastAsia="Times New Roman"/>
          <w:sz w:val="20"/>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240" w:lineRule="auto" w:before="80" w:after="40"/>
      </w:pPr>
      <w:r>
        <w:rPr>
          <w:rFonts w:ascii="Times New Roman" w:hAnsi="Times New Roman" w:eastAsia="Times New Roman"/>
          <w:b/>
          <w:sz w:val="20"/>
        </w:rPr>
        <w:t>Hypotheses</w:t>
      </w:r>
    </w:p>
    <w:p>
      <w:pPr>
        <w:spacing w:line="240" w:lineRule="auto" w:before="0" w:after="0"/>
        <w:ind w:firstLine="180"/>
        <w:jc w:val="both"/>
      </w:pPr>
      <w:r>
        <w:rPr>
          <w:rFonts w:ascii="Times New Roman" w:hAnsi="Times New Roman" w:eastAsia="Times New Roman"/>
          <w:sz w:val="20"/>
        </w:rPr>
        <w:t>The pre-registration v2.0 (OSF DOI 10.17605/OSF.IO/3Y54U) specifies seven primary hypotheses:</w:t>
      </w:r>
    </w:p>
    <w:p>
      <w:pPr>
        <w:pStyle w:val="ListBullet"/>
        <w:spacing w:line="240" w:lineRule="auto" w:before="0" w:after="0"/>
        <w:jc w:val="both"/>
      </w:pPr>
      <w:r>
        <w:rPr>
          <w:rFonts w:ascii="Times New Roman" w:hAnsi="Times New Roman" w:eastAsia="Times New Roman"/>
          <w:sz w:val="20"/>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240" w:lineRule="auto" w:before="0" w:after="0"/>
        <w:jc w:val="both"/>
      </w:pPr>
      <w:r>
        <w:rPr>
          <w:rFonts w:ascii="Times New Roman" w:hAnsi="Times New Roman" w:eastAsia="Times New Roman"/>
          <w:sz w:val="20"/>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240" w:lineRule="auto" w:before="0" w:after="0"/>
        <w:jc w:val="both"/>
      </w:pPr>
      <w:r>
        <w:rPr>
          <w:rFonts w:ascii="Times New Roman" w:hAnsi="Times New Roman" w:eastAsia="Times New Roman"/>
          <w:sz w:val="20"/>
        </w:rPr>
        <w:t>H3 (centroid concordance): The IEEE Access–published centroids [13] fitted in the N = 13,668 sample are reproduced within sampling error in the N = 354 subsample [14].</w:t>
      </w:r>
    </w:p>
    <w:p>
      <w:pPr>
        <w:pStyle w:val="ListBullet"/>
        <w:spacing w:line="240" w:lineRule="auto" w:before="0" w:after="0"/>
        <w:jc w:val="both"/>
      </w:pPr>
      <w:r>
        <w:rPr>
          <w:rFonts w:ascii="Times New Roman" w:hAnsi="Times New Roman" w:eastAsia="Times New Roman"/>
          <w:sz w:val="20"/>
        </w:rPr>
        <w:t>H4 (cell-stratified internal consistency): Per-cell propensity estimates p̂_c are stable across alternative bootstrap procedures within each cell.</w:t>
      </w:r>
    </w:p>
    <w:p>
      <w:pPr>
        <w:pStyle w:val="ListBullet"/>
        <w:spacing w:line="240" w:lineRule="auto" w:before="0" w:after="0"/>
        <w:jc w:val="both"/>
      </w:pPr>
      <w:r>
        <w:rPr>
          <w:rFonts w:ascii="Times New Roman" w:hAnsi="Times New Roman" w:eastAsia="Times New Roman"/>
          <w:sz w:val="20"/>
        </w:rPr>
        <w:t>H5 (gender invariance): The HEXACO-harassment association is qualitatively similar across genders (verified via 14-cell vs 28-cell sensitivity).</w:t>
      </w:r>
    </w:p>
    <w:p>
      <w:pPr>
        <w:pStyle w:val="ListBullet"/>
        <w:spacing w:line="240" w:lineRule="auto" w:before="0" w:after="0"/>
        <w:jc w:val="both"/>
      </w:pPr>
      <w:r>
        <w:rPr>
          <w:rFonts w:ascii="Times New Roman" w:hAnsi="Times New Roman" w:eastAsia="Times New Roman"/>
          <w:sz w:val="20"/>
        </w:rPr>
        <w:t>H6 (cross-domain triangulation): Power and gender harassment scales [23, 24] yield concordant cluster-level rankings.</w:t>
      </w:r>
    </w:p>
    <w:p>
      <w:pPr>
        <w:pStyle w:val="ListBullet"/>
        <w:spacing w:line="240" w:lineRule="auto" w:before="0" w:after="0"/>
        <w:jc w:val="both"/>
      </w:pPr>
      <w:r>
        <w:rPr>
          <w:rFonts w:ascii="Times New Roman" w:hAnsi="Times New Roman" w:eastAsia="Times New Roman"/>
          <w:sz w:val="20"/>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240" w:lineRule="auto" w:before="80" w:after="40"/>
      </w:pPr>
      <w:r>
        <w:rPr>
          <w:rFonts w:ascii="Times New Roman" w:hAnsi="Times New Roman" w:eastAsia="Times New Roman"/>
          <w:b/>
          <w:sz w:val="20"/>
        </w:rPr>
        <w:t>Contribution and roadmap</w:t>
      </w:r>
    </w:p>
    <w:p>
      <w:pPr>
        <w:spacing w:line="240" w:lineRule="auto" w:before="0" w:after="0"/>
        <w:ind w:firstLine="180"/>
        <w:jc w:val="both"/>
      </w:pPr>
      <w:r>
        <w:rPr>
          <w:rFonts w:ascii="Times New Roman" w:hAnsi="Times New Roman" w:eastAsia="Times New Roman"/>
          <w:sz w:val="20"/>
        </w:rPr>
        <w:t>This study makes four contributions:</w:t>
      </w:r>
    </w:p>
    <w:p>
      <w:pPr>
        <w:pStyle w:val="ListBullet"/>
        <w:spacing w:line="240" w:lineRule="auto" w:before="0" w:after="0"/>
        <w:jc w:val="both"/>
      </w:pPr>
      <w:r>
        <w:rPr>
          <w:rFonts w:ascii="Times New Roman" w:hAnsi="Times New Roman" w:eastAsia="Times New Roman"/>
          <w:sz w:val="20"/>
        </w:rPr>
        <w:t>Methodological: It demonstrates an end-to-end pre-registered counterfactual microsimulation pipeline for workplace harassment research, with full reproducibility (HDF5 artifacts, fixed seed = 20260429, Docker container, MIT-licensed code; public supplementary archive at OSF DOI 10.17605/OSF.IO/3Y54U), open aggregate data (Stage 0–8 HDF5 + figures + canonical numerical record, freely downloadable from OSF), and IRB-restricted individual-level access (the N = 354 raw dataset is hosted in a Private OSF component with a documented access-request mechanism; methodology described in Tokiwa 2025, Research Square preprint; centroids retrieved from the IEEE Access clustering paper, Tokiwa 2026).</w:t>
      </w:r>
    </w:p>
    <w:p>
      <w:pPr>
        <w:pStyle w:val="ListBullet"/>
        <w:spacing w:line="240" w:lineRule="auto" w:before="0" w:after="0"/>
        <w:jc w:val="both"/>
      </w:pPr>
      <w:r>
        <w:rPr>
          <w:rFonts w:ascii="Times New Roman" w:hAnsi="Times New Roman" w:eastAsia="Times New Roman"/>
          <w:sz w:val="20"/>
        </w:rPr>
        <w:t>Empirical: It provides the first quantitative apples-to-apples comparison of person-level and system-level intervention effects on Japanese workplace harassment prevalence, leveraging effect-size calibrations from prior meta-analyses.</w:t>
      </w:r>
    </w:p>
    <w:p>
      <w:pPr>
        <w:pStyle w:val="ListBullet"/>
        <w:spacing w:line="240" w:lineRule="auto" w:before="0" w:after="0"/>
        <w:jc w:val="both"/>
      </w:pPr>
      <w:r>
        <w:rPr>
          <w:rFonts w:ascii="Times New Roman" w:hAnsi="Times New Roman" w:eastAsia="Times New Roman"/>
          <w:sz w:val="20"/>
        </w:rPr>
        <w:t>Substantive: It rejects the conventional reading of HEXACO 7-typology as an intervention target, repositioning it as a stratification lens for identifying differentially exposed populations.</w:t>
      </w:r>
    </w:p>
    <w:p>
      <w:pPr>
        <w:pStyle w:val="ListBullet"/>
        <w:spacing w:line="240" w:lineRule="auto" w:before="0" w:after="0"/>
        <w:jc w:val="both"/>
      </w:pPr>
      <w:r>
        <w:rPr>
          <w:rFonts w:ascii="Times New Roman" w:hAnsi="Times New Roman" w:eastAsia="Times New Roman"/>
          <w:sz w:val="20"/>
        </w:rPr>
        <w:t>Policy-relevant: It provides counterfactual evidence that the 2020 Power Harassment Prevention Law's structural mechanism is approximately 5.7× more effective at the population level than the personality-training interventions to which Japanese corporate HR programs allocate the majority of harassment-prevention budget.</w:t>
      </w:r>
    </w:p>
    <w:p>
      <w:pPr>
        <w:spacing w:line="240" w:lineRule="auto" w:before="0" w:after="0"/>
        <w:ind w:firstLine="180"/>
        <w:jc w:val="both"/>
      </w:pPr>
      <w:r>
        <w:rPr>
          <w:rFonts w:ascii="Times New Roman" w:hAnsi="Times New Roman" w:eastAsia="Times New Roman"/>
          <w:sz w:val="20"/>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pPr>
        <w:spacing w:line="240" w:lineRule="auto" w:before="0" w:after="0"/>
        <w:ind w:firstLine="180"/>
        <w:jc w:val="both"/>
      </w:pPr>
      <w:r>
        <w:rPr>
          <w:rFonts w:ascii="Times New Roman" w:hAnsi="Times New Roman" w:eastAsia="Times New Roman"/>
          <w:sz w:val="20"/>
        </w:rPr>
        <w:t>All procedures were pre-registered at OSF prior to data analysis (DOI 10.17605/OSF.IO/3Y54U; v2.0 registered/locked 2026-04-30).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240" w:lineRule="auto" w:before="120" w:after="40"/>
      </w:pPr>
      <w:r>
        <w:rPr>
          <w:rFonts w:ascii="Times New Roman" w:hAnsi="Times New Roman" w:eastAsia="Times New Roman"/>
          <w:b/>
          <w:sz w:val="18"/>
        </w:rPr>
        <w:t>DATA SOURCES</w:t>
      </w:r>
    </w:p>
    <w:p>
      <w:pPr>
        <w:spacing w:line="240" w:lineRule="auto" w:before="80" w:after="40"/>
      </w:pPr>
      <w:r>
        <w:rPr>
          <w:rFonts w:ascii="Times New Roman" w:hAnsi="Times New Roman" w:eastAsia="Times New Roman"/>
          <w:b/>
          <w:sz w:val="20"/>
        </w:rPr>
        <w:t>Individual-level harassment data (N = 354)</w:t>
      </w:r>
    </w:p>
    <w:p>
      <w:pPr>
        <w:spacing w:line="240" w:lineRule="auto" w:before="0" w:after="0"/>
        <w:ind w:firstLine="180"/>
        <w:jc w:val="both"/>
      </w:pPr>
      <w:r>
        <w:rPr>
          <w:rFonts w:ascii="Times New Roman" w:hAnsi="Times New Roman" w:eastAsia="Times New Roman"/>
          <w:sz w:val="20"/>
        </w:rPr>
        <w:t>We use the Tokiwa harassment preprint dataset [14] (IRB-approved), comprising N = 354 Japanese workplace participants who completed the following self-report measures:</w:t>
      </w:r>
    </w:p>
    <w:p>
      <w:pPr>
        <w:pStyle w:val="ListBullet"/>
        <w:spacing w:line="240" w:lineRule="auto" w:before="0" w:after="0"/>
        <w:jc w:val="both"/>
      </w:pPr>
      <w:r>
        <w:rPr>
          <w:rFonts w:ascii="Times New Roman" w:hAnsi="Times New Roman" w:eastAsia="Times New Roman"/>
          <w:sz w:val="20"/>
        </w:rPr>
        <w:t>HEXACO-60 [25] (Japanese adaptation of Ashton &amp; Lee, 2009): 60-item Likert 1-5 scale yielding six domain scores (H, E, X, A, C, O).</w:t>
      </w:r>
    </w:p>
    <w:p>
      <w:pPr>
        <w:pStyle w:val="ListBullet"/>
        <w:spacing w:line="240" w:lineRule="auto" w:before="0" w:after="0"/>
        <w:jc w:val="both"/>
      </w:pPr>
      <w:r>
        <w:rPr>
          <w:rFonts w:ascii="Times New Roman" w:hAnsi="Times New Roman" w:eastAsia="Times New Roman"/>
          <w:sz w:val="20"/>
        </w:rPr>
        <w:t>Dark Triad scales (Machiavellianism, Narcissism, Psychopathy): used in the common-method-variance diagnostic (Stage 5, below) but not in the primary analysis.</w:t>
      </w:r>
    </w:p>
    <w:p>
      <w:pPr>
        <w:pStyle w:val="ListBullet"/>
        <w:spacing w:line="240" w:lineRule="auto" w:before="0" w:after="0"/>
        <w:jc w:val="both"/>
      </w:pPr>
      <w:r>
        <w:rPr>
          <w:rFonts w:ascii="Times New Roman" w:hAnsi="Times New Roman" w:eastAsia="Times New Roman"/>
          <w:sz w:val="20"/>
        </w:rPr>
        <w:t>Workplace Power Harassment Scale [23]: continuous severity scale measuring past-three-year power-harassment victimization frequency in the participant's workplace.</w:t>
      </w:r>
    </w:p>
    <w:p>
      <w:pPr>
        <w:pStyle w:val="ListBullet"/>
        <w:spacing w:line="240" w:lineRule="auto" w:before="0" w:after="0"/>
        <w:jc w:val="both"/>
      </w:pPr>
      <w:r>
        <w:rPr>
          <w:rFonts w:ascii="Times New Roman" w:hAnsi="Times New Roman" w:eastAsia="Times New Roman"/>
          <w:sz w:val="20"/>
        </w:rPr>
        <w:t>Gender Harassment Scale [24]: continuous severity scale; used as triangulation outcome (H6).</w:t>
      </w:r>
    </w:p>
    <w:p>
      <w:pPr>
        <w:pStyle w:val="ListBullet"/>
        <w:spacing w:line="240" w:lineRule="auto" w:before="0" w:after="0"/>
        <w:jc w:val="both"/>
      </w:pPr>
      <w:r>
        <w:rPr>
          <w:rFonts w:ascii="Times New Roman" w:hAnsi="Times New Roman" w:eastAsia="Times New Roman"/>
          <w:sz w:val="20"/>
        </w:rPr>
        <w:t>Demographics: binary self-reported gender (0 = female, 1 = male), age (continuous), prefecture-level region (categorical).</w:t>
      </w:r>
    </w:p>
    <w:p>
      <w:pPr>
        <w:spacing w:line="240" w:lineRule="auto" w:before="80" w:after="40"/>
      </w:pPr>
      <w:r>
        <w:rPr>
          <w:rFonts w:ascii="Times New Roman" w:hAnsi="Times New Roman" w:eastAsia="Times New Roman"/>
          <w:b/>
          <w:sz w:val="20"/>
        </w:rPr>
        <w:t>Cluster centroids [13] (N = 13,668)</w:t>
      </w:r>
    </w:p>
    <w:p>
      <w:pPr>
        <w:spacing w:line="240" w:lineRule="auto" w:before="0" w:after="0"/>
        <w:ind w:firstLine="180"/>
        <w:jc w:val="both"/>
      </w:pPr>
      <w:r>
        <w:rPr>
          <w:rFonts w:ascii="Times New Roman" w:hAnsi="Times New Roman" w:eastAsia="Times New Roman"/>
          <w:sz w:val="20"/>
        </w:rPr>
        <w:t>Seven HEXACO cluster centroids were taken from the previously published Tokiwa [13]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240" w:lineRule="auto" w:before="80" w:after="40"/>
      </w:pPr>
      <w:r>
        <w:rPr>
          <w:rFonts w:ascii="Times New Roman" w:hAnsi="Times New Roman" w:eastAsia="Times New Roman"/>
          <w:b/>
          <w:sz w:val="20"/>
        </w:rPr>
        <w:t>Population reweighting (Statistics Bureau Labor Force Survey 2022)</w:t>
      </w:r>
    </w:p>
    <w:p>
      <w:pPr>
        <w:spacing w:line="240" w:lineRule="auto" w:before="0" w:after="0"/>
        <w:ind w:firstLine="180"/>
        <w:jc w:val="both"/>
      </w:pPr>
      <w:r>
        <w:rPr>
          <w:rFonts w:ascii="Times New Roman" w:hAnsi="Times New Roman" w:eastAsia="Times New Roman"/>
          <w:sz w:val="20"/>
        </w:rPr>
        <w:t>Marginal gender-by-age proportions for the Japanese working population were obtained from the Labor Force Survey Basic Tabulation 2022 Annual Average, published by the Statistics Bureau, Ministry of Internal Affairs and Communications [26] (PDF retrieved from e-Stat on 2026-04-30 by the investigator and archived at simulation/data/).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240" w:lineRule="auto" w:before="80" w:after="40"/>
      </w:pPr>
      <w:r>
        <w:rPr>
          <w:rFonts w:ascii="Times New Roman" w:hAnsi="Times New Roman" w:eastAsia="Times New Roman"/>
          <w:b/>
          <w:sz w:val="20"/>
        </w:rPr>
        <w:t>MHLW power-harassment victimization targets</w:t>
      </w:r>
    </w:p>
    <w:p>
      <w:pPr>
        <w:spacing w:line="240" w:lineRule="auto" w:before="0" w:after="0"/>
        <w:ind w:firstLine="180"/>
        <w:jc w:val="both"/>
      </w:pPr>
      <w:r>
        <w:rPr>
          <w:rFonts w:ascii="Times New Roman" w:hAnsi="Times New Roman" w:eastAsia="Times New Roman"/>
          <w:sz w:val="20"/>
        </w:rPr>
        <w:t>Past-three-year power-harassment victimization rates from three MHLW Workplace Harassment Surveys [3] serve as external validation targets for H1:</w:t>
      </w:r>
    </w:p>
    <w:p>
      <w:pPr>
        <w:pStyle w:val="ListBullet"/>
        <w:spacing w:line="240" w:lineRule="auto" w:before="0" w:after="0"/>
        <w:jc w:val="both"/>
      </w:pPr>
      <w:r>
        <w:rPr>
          <w:rFonts w:ascii="Times New Roman" w:hAnsi="Times New Roman" w:eastAsia="Times New Roman"/>
          <w:sz w:val="20"/>
        </w:rPr>
        <w:t>FY2016 (32.5%) — pre-law, primary target;</w:t>
      </w:r>
    </w:p>
    <w:p>
      <w:pPr>
        <w:pStyle w:val="ListBullet"/>
        <w:spacing w:line="240" w:lineRule="auto" w:before="0" w:after="0"/>
        <w:jc w:val="both"/>
      </w:pPr>
      <w:r>
        <w:rPr>
          <w:rFonts w:ascii="Times New Roman" w:hAnsi="Times New Roman" w:eastAsia="Times New Roman"/>
          <w:sz w:val="20"/>
        </w:rPr>
        <w:t>FY2020 (31.4%) — transition period, secondary target;</w:t>
      </w:r>
    </w:p>
    <w:p>
      <w:pPr>
        <w:pStyle w:val="ListBullet"/>
        <w:spacing w:line="240" w:lineRule="auto" w:before="0" w:after="0"/>
        <w:jc w:val="both"/>
      </w:pPr>
      <w:r>
        <w:rPr>
          <w:rFonts w:ascii="Times New Roman" w:hAnsi="Times New Roman" w:eastAsia="Times New Roman"/>
          <w:sz w:val="20"/>
        </w:rPr>
        <w:t>FY2023 (19.3%) — post-law, secondary target.</w:t>
      </w:r>
    </w:p>
    <w:p>
      <w:pPr>
        <w:spacing w:line="240" w:lineRule="auto" w:before="120" w:after="40"/>
      </w:pPr>
      <w:r>
        <w:rPr>
          <w:rFonts w:ascii="Times New Roman" w:hAnsi="Times New Roman" w:eastAsia="Times New Roman"/>
          <w:b/>
          <w:sz w:val="18"/>
        </w:rPr>
        <w:t>PRE-REGISTERED ANALYTIC PIPELINE</w:t>
      </w:r>
    </w:p>
    <w:p>
      <w:pPr>
        <w:spacing w:line="240" w:lineRule="auto" w:before="0" w:after="0"/>
        <w:ind w:firstLine="180"/>
        <w:jc w:val="both"/>
      </w:pPr>
      <w:r>
        <w:rPr>
          <w:rFonts w:ascii="Times New Roman" w:hAnsi="Times New Roman" w:eastAsia="Times New Roman"/>
          <w:sz w:val="20"/>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240" w:lineRule="auto" w:before="80" w:after="40"/>
      </w:pPr>
      <w:r>
        <w:rPr>
          <w:rFonts w:ascii="Times New Roman" w:hAnsi="Times New Roman" w:eastAsia="Times New Roman"/>
          <w:b/>
          <w:sz w:val="20"/>
        </w:rPr>
        <w:t>Stage 0: Type assignment, cell propensity, and 28-cell empirical Bayes</w:t>
      </w:r>
    </w:p>
    <w:p>
      <w:pPr>
        <w:spacing w:line="240" w:lineRule="auto" w:before="0" w:after="0"/>
        <w:ind w:firstLine="180"/>
        <w:jc w:val="both"/>
      </w:pPr>
      <w:r>
        <w:rPr>
          <w:rFonts w:ascii="Times New Roman" w:hAnsi="Times New Roman" w:eastAsia="Times New Roman"/>
          <w:sz w:val="20"/>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240" w:lineRule="auto" w:before="0" w:after="0"/>
        <w:ind w:firstLine="180"/>
        <w:jc w:val="both"/>
      </w:pPr>
      <w:r>
        <w:rPr>
          <w:rFonts w:ascii="Times New Roman" w:hAnsi="Times New Roman" w:eastAsia="Times New Roman"/>
          <w:sz w:val="20"/>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pStyle w:val="ListBullet"/>
        <w:spacing w:line="240" w:lineRule="auto" w:before="0" w:after="0"/>
        <w:jc w:val="both"/>
      </w:pPr>
      <w:r>
        <w:rPr>
          <w:rFonts w:ascii="Times New Roman" w:hAnsi="Times New Roman" w:eastAsia="Times New Roman"/>
          <w:sz w:val="20"/>
        </w:rPr>
        <w:t>Clopper-Pearson exact binomial interval for degenerate cells (X_c ∈ {0, N_c});</w:t>
      </w:r>
    </w:p>
    <w:p>
      <w:pPr>
        <w:pStyle w:val="ListBullet"/>
        <w:spacing w:line="240" w:lineRule="auto" w:before="0" w:after="0"/>
        <w:jc w:val="both"/>
      </w:pPr>
      <w:r>
        <w:rPr>
          <w:rFonts w:ascii="Times New Roman" w:hAnsi="Times New Roman" w:eastAsia="Times New Roman"/>
          <w:sz w:val="20"/>
        </w:rPr>
        <w:t>BCa [27] (Bias-Corrected accelerated) with jackknife acceleration parameter â (Methods Clarification m4) when |a| ≤ 10;</w:t>
      </w:r>
    </w:p>
    <w:p>
      <w:pPr>
        <w:pStyle w:val="ListBullet"/>
        <w:spacing w:line="240" w:lineRule="auto" w:before="0" w:after="0"/>
        <w:jc w:val="both"/>
      </w:pPr>
      <w:r>
        <w:rPr>
          <w:rFonts w:ascii="Times New Roman" w:hAnsi="Times New Roman" w:eastAsia="Times New Roman"/>
          <w:sz w:val="20"/>
        </w:rPr>
        <w:t>BC (bias-corrected only) when BCa fails or |a| &gt; 10;</w:t>
      </w:r>
    </w:p>
    <w:p>
      <w:pPr>
        <w:pStyle w:val="ListBullet"/>
        <w:spacing w:line="240" w:lineRule="auto" w:before="0" w:after="0"/>
        <w:jc w:val="both"/>
      </w:pPr>
      <w:r>
        <w:rPr>
          <w:rFonts w:ascii="Times New Roman" w:hAnsi="Times New Roman" w:eastAsia="Times New Roman"/>
          <w:sz w:val="20"/>
        </w:rPr>
        <w:t>Percentile as a final fallback.</w:t>
      </w:r>
    </w:p>
    <w:p>
      <w:pPr>
        <w:spacing w:line="240" w:lineRule="auto" w:before="0" w:after="0"/>
        <w:ind w:firstLine="180"/>
        <w:jc w:val="both"/>
      </w:pPr>
      <w:r>
        <w:rPr>
          <w:rFonts w:ascii="Times New Roman" w:hAnsi="Times New Roman" w:eastAsia="Times New Roman"/>
          <w:sz w:val="20"/>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240" w:lineRule="auto" w:before="80" w:after="40"/>
      </w:pPr>
      <w:r>
        <w:rPr>
          <w:rFonts w:ascii="Times New Roman" w:hAnsi="Times New Roman" w:eastAsia="Times New Roman"/>
          <w:b/>
          <w:sz w:val="20"/>
        </w:rPr>
        <w:t>Stage 1: National prevalence aggregation</w:t>
      </w:r>
    </w:p>
    <w:p>
      <w:pPr>
        <w:spacing w:line="240" w:lineRule="auto" w:before="0" w:after="0"/>
        <w:ind w:firstLine="180"/>
        <w:jc w:val="both"/>
      </w:pPr>
      <w:r>
        <w:rPr>
          <w:rFonts w:ascii="Times New Roman" w:hAnsi="Times New Roman" w:eastAsia="Times New Roman"/>
          <w:sz w:val="20"/>
        </w:rPr>
        <w:t>The national prevalence is computed as the weighted sum P̂_t = Σ_c (p̂_c × W_c) / Σ_c W_c, where W_c is the cluster × gender population weight. Cluster proportions remain at the Tokiwa [13] values (M3-fixed; m8 limitation: cluster membership is not in the MHLW data); only the gender marginal is updated to the 2022 working-population value.</w:t>
      </w:r>
    </w:p>
    <w:p>
      <w:pPr>
        <w:spacing w:line="240" w:lineRule="auto" w:before="80" w:after="40"/>
      </w:pPr>
      <w:r>
        <w:rPr>
          <w:rFonts w:ascii="Times New Roman" w:hAnsi="Times New Roman" w:eastAsia="Times New Roman"/>
          <w:b/>
          <w:sz w:val="20"/>
        </w:rPr>
        <w:t>Stage 2: H1 four-tier classification</w:t>
      </w:r>
    </w:p>
    <w:p>
      <w:pPr>
        <w:spacing w:line="240" w:lineRule="auto" w:before="0" w:after="0"/>
        <w:ind w:firstLine="180"/>
        <w:jc w:val="both"/>
      </w:pPr>
      <w:r>
        <w:rPr>
          <w:rFonts w:ascii="Times New Roman" w:hAnsi="Times New Roman" w:eastAsia="Times New Roman"/>
          <w:sz w:val="20"/>
        </w:rPr>
        <w:t>Per the v2.0 master Section 5.4, the four-tier H1 hierarchy is:</w:t>
      </w:r>
    </w:p>
    <w:p>
      <w:pPr>
        <w:pStyle w:val="ListBullet"/>
        <w:spacing w:line="240" w:lineRule="auto" w:before="0" w:after="0"/>
        <w:jc w:val="both"/>
      </w:pPr>
      <w:r>
        <w:rPr>
          <w:rFonts w:ascii="Times New Roman" w:hAnsi="Times New Roman" w:eastAsia="Times New Roman"/>
          <w:sz w:val="20"/>
        </w:rPr>
        <w:t>Strict SUCCESS: point MAPE_FY2016 ≤ 30% AND CI upper bound ≤ 30%</w:t>
      </w:r>
    </w:p>
    <w:p>
      <w:pPr>
        <w:pStyle w:val="ListBullet"/>
        <w:spacing w:line="240" w:lineRule="auto" w:before="0" w:after="0"/>
        <w:jc w:val="both"/>
      </w:pPr>
      <w:r>
        <w:rPr>
          <w:rFonts w:ascii="Times New Roman" w:hAnsi="Times New Roman" w:eastAsia="Times New Roman"/>
          <w:sz w:val="20"/>
        </w:rPr>
        <w:t>Standard SUCCESS: point MAPE ≤ 30% (CI upper bound &gt; 30% permitted)</w:t>
      </w:r>
    </w:p>
    <w:p>
      <w:pPr>
        <w:pStyle w:val="ListBullet"/>
        <w:spacing w:line="240" w:lineRule="auto" w:before="0" w:after="0"/>
        <w:jc w:val="both"/>
      </w:pPr>
      <w:r>
        <w:rPr>
          <w:rFonts w:ascii="Times New Roman" w:hAnsi="Times New Roman" w:eastAsia="Times New Roman"/>
          <w:sz w:val="20"/>
        </w:rPr>
        <w:t>PARTIAL SUCCESS: 30% &lt; point MAPE ≤ 60%</w:t>
      </w:r>
    </w:p>
    <w:p>
      <w:pPr>
        <w:pStyle w:val="ListBullet"/>
        <w:spacing w:line="240" w:lineRule="auto" w:before="0" w:after="0"/>
        <w:jc w:val="both"/>
      </w:pPr>
      <w:r>
        <w:rPr>
          <w:rFonts w:ascii="Times New Roman" w:hAnsi="Times New Roman" w:eastAsia="Times New Roman"/>
          <w:sz w:val="20"/>
        </w:rPr>
        <w:t>FAILURE: point MAPE &gt; 60%</w:t>
      </w:r>
    </w:p>
    <w:p>
      <w:pPr>
        <w:spacing w:line="240" w:lineRule="auto" w:before="0" w:after="0"/>
        <w:ind w:firstLine="180"/>
        <w:jc w:val="both"/>
      </w:pPr>
      <w:r>
        <w:rPr>
          <w:rFonts w:ascii="Times New Roman" w:hAnsi="Times New Roman" w:eastAsia="Times New Roman"/>
          <w:sz w:val="20"/>
        </w:rPr>
        <w:t>Per Methods Clarification m3, the headline national MAPE bootstrap uses B = 10,000; per-cell bootstrap remains at B = 2,000.</w:t>
      </w:r>
    </w:p>
    <w:p>
      <w:pPr>
        <w:spacing w:line="240" w:lineRule="auto" w:before="80" w:after="40"/>
      </w:pPr>
      <w:r>
        <w:rPr>
          <w:rFonts w:ascii="Times New Roman" w:hAnsi="Times New Roman" w:eastAsia="Times New Roman"/>
          <w:b/>
          <w:sz w:val="20"/>
        </w:rPr>
        <w:t>Stage 3: Sensitivity sweep</w:t>
      </w:r>
    </w:p>
    <w:p>
      <w:pPr>
        <w:spacing w:line="240" w:lineRule="auto" w:before="0" w:after="0"/>
        <w:ind w:firstLine="180"/>
        <w:jc w:val="both"/>
      </w:pPr>
      <w:r>
        <w:rPr>
          <w:rFonts w:ascii="Times New Roman" w:hAnsi="Times New Roman" w:eastAsia="Times New Roman"/>
          <w:sz w:val="20"/>
        </w:rPr>
        <w:t>A one-at-a-time (OAT) sensitivity sweep around the locked main configuration is computed over four parameter families with B = 2,000 per row:</w:t>
      </w:r>
    </w:p>
    <w:p>
      <w:pPr>
        <w:pStyle w:val="ListBullet"/>
        <w:spacing w:line="240" w:lineRule="auto" w:before="0" w:after="0"/>
        <w:jc w:val="both"/>
      </w:pPr>
      <w:r>
        <w:rPr>
          <w:rFonts w:ascii="Times New Roman" w:hAnsi="Times New Roman" w:eastAsia="Times New Roman"/>
          <w:sz w:val="20"/>
        </w:rPr>
        <w:t>Binarization threshold ∈ {mean + 0.25 SD, mean + 0.5 SD (main), mean + 1.0 SD};</w:t>
      </w:r>
    </w:p>
    <w:p>
      <w:pPr>
        <w:pStyle w:val="ListBullet"/>
        <w:spacing w:line="240" w:lineRule="auto" w:before="0" w:after="0"/>
        <w:jc w:val="both"/>
      </w:pPr>
      <w:r>
        <w:rPr>
          <w:rFonts w:ascii="Times New Roman" w:hAnsi="Times New Roman" w:eastAsia="Times New Roman"/>
          <w:sz w:val="20"/>
        </w:rPr>
        <w:t>Soft-assignment τ factor ∈ {0.5, 1.0, 2.0} × median NN distance (Methods Clarification M2);</w:t>
      </w:r>
    </w:p>
    <w:p>
      <w:pPr>
        <w:pStyle w:val="ListBullet"/>
        <w:spacing w:line="240" w:lineRule="auto" w:before="0" w:after="0"/>
        <w:jc w:val="both"/>
      </w:pPr>
      <w:r>
        <w:rPr>
          <w:rFonts w:ascii="Times New Roman" w:hAnsi="Times New Roman" w:eastAsia="Times New Roman"/>
          <w:sz w:val="20"/>
        </w:rPr>
        <w:t>Empirical Bayes shrinkage scale ∈ {0.5×, 1.0× (main), 2.0×} prior pseudocount;</w:t>
      </w:r>
    </w:p>
    <w:p>
      <w:pPr>
        <w:pStyle w:val="ListBullet"/>
        <w:spacing w:line="240" w:lineRule="auto" w:before="0" w:after="0"/>
        <w:jc w:val="both"/>
      </w:pPr>
      <w:r>
        <w:rPr>
          <w:rFonts w:ascii="Times New Roman" w:hAnsi="Times New Roman" w:eastAsia="Times New Roman"/>
          <w:sz w:val="20"/>
        </w:rPr>
        <w:t>Cluster-proportion mass shift ∈ {−0.10, 0.0 (main), +0.10} (proxy for V/f1/f2 uncertainty per v2.0 Section 6.4; full Cartesian sweep deferred to follow-up work due to combinatorial cost).</w:t>
      </w:r>
    </w:p>
    <w:p>
      <w:pPr>
        <w:spacing w:line="240" w:lineRule="auto" w:before="80" w:after="40"/>
      </w:pPr>
      <w:r>
        <w:rPr>
          <w:rFonts w:ascii="Times New Roman" w:hAnsi="Times New Roman" w:eastAsia="Times New Roman"/>
          <w:b/>
          <w:sz w:val="20"/>
        </w:rPr>
        <w:t>Stage 4: Baseline comparison and H2 ordinal trend</w:t>
      </w:r>
    </w:p>
    <w:p>
      <w:pPr>
        <w:spacing w:line="240" w:lineRule="auto" w:before="0" w:after="0"/>
        <w:ind w:firstLine="180"/>
        <w:jc w:val="both"/>
      </w:pPr>
      <w:r>
        <w:rPr>
          <w:rFonts w:ascii="Times New Roman" w:hAnsi="Times New Roman" w:eastAsia="Times New Roman"/>
          <w:sz w:val="20"/>
        </w:rPr>
        <w:t>Five baselines (B0–B4) of increasing sophistication are compared via cell-stratified bootstrap MAPE_FY2016:</w:t>
      </w:r>
    </w:p>
    <w:p>
      <w:pPr>
        <w:pStyle w:val="ListBullet"/>
        <w:spacing w:line="240" w:lineRule="auto" w:before="0" w:after="0"/>
        <w:jc w:val="both"/>
      </w:pPr>
      <w:r>
        <w:rPr>
          <w:rFonts w:ascii="Times New Roman" w:hAnsi="Times New Roman" w:eastAsia="Times New Roman"/>
          <w:sz w:val="20"/>
        </w:rPr>
        <w:t>B0: predicts MHLW grand mean (uniform);</w:t>
      </w:r>
    </w:p>
    <w:p>
      <w:pPr>
        <w:pStyle w:val="ListBullet"/>
        <w:spacing w:line="240" w:lineRule="auto" w:before="0" w:after="0"/>
        <w:jc w:val="both"/>
      </w:pPr>
      <w:r>
        <w:rPr>
          <w:rFonts w:ascii="Times New Roman" w:hAnsi="Times New Roman" w:eastAsia="Times New Roman"/>
          <w:sz w:val="20"/>
        </w:rPr>
        <w:t>B1: gender-only logistic regression;</w:t>
      </w:r>
    </w:p>
    <w:p>
      <w:pPr>
        <w:pStyle w:val="ListBullet"/>
        <w:spacing w:line="240" w:lineRule="auto" w:before="0" w:after="0"/>
        <w:jc w:val="both"/>
      </w:pPr>
      <w:r>
        <w:rPr>
          <w:rFonts w:ascii="Times New Roman" w:hAnsi="Times New Roman" w:eastAsia="Times New Roman"/>
          <w:sz w:val="20"/>
        </w:rPr>
        <w:t>B2: HEXACO 6-domain logistic regression;</w:t>
      </w:r>
    </w:p>
    <w:p>
      <w:pPr>
        <w:pStyle w:val="ListBullet"/>
        <w:spacing w:line="240" w:lineRule="auto" w:before="0" w:after="0"/>
        <w:jc w:val="both"/>
      </w:pPr>
      <w:r>
        <w:rPr>
          <w:rFonts w:ascii="Times New Roman" w:hAnsi="Times New Roman" w:eastAsia="Times New Roman"/>
          <w:sz w:val="20"/>
        </w:rPr>
        <w:t>B3: 14-cell conditional propensity (the main pipeline);</w:t>
      </w:r>
    </w:p>
    <w:p>
      <w:pPr>
        <w:pStyle w:val="ListBullet"/>
        <w:spacing w:line="240" w:lineRule="auto" w:before="0" w:after="0"/>
        <w:jc w:val="both"/>
      </w:pPr>
      <w:r>
        <w:rPr>
          <w:rFonts w:ascii="Times New Roman" w:hAnsi="Times New Roman" w:eastAsia="Times New Roman"/>
          <w:sz w:val="20"/>
        </w:rPr>
        <w:t>B4: extended with age and age × cluster interactions (industry breakdown deferred to follow-up; m8 limitation).</w:t>
      </w:r>
    </w:p>
    <w:p>
      <w:pPr>
        <w:spacing w:line="240" w:lineRule="auto" w:before="0" w:after="0"/>
        <w:ind w:firstLine="180"/>
        <w:jc w:val="both"/>
      </w:pPr>
      <w:r>
        <w:rPr>
          <w:rFonts w:ascii="Times New Roman" w:hAnsi="Times New Roman" w:eastAsia="Times New Roman"/>
          <w:sz w:val="20"/>
        </w:rPr>
        <w:t>H2 is tested via the Bonferroni-Holm-corrected family of pairwise inequalities (B0–B1, B1–B2, B2–B3, B3–B4) with a one-sided α = 0.05; Page's L (1963) ordinal trend test is reported as auxiliary (Methods Clarification n4).</w:t>
      </w:r>
    </w:p>
    <w:p>
      <w:pPr>
        <w:spacing w:line="240" w:lineRule="auto" w:before="80" w:after="40"/>
      </w:pPr>
      <w:r>
        <w:rPr>
          <w:rFonts w:ascii="Times New Roman" w:hAnsi="Times New Roman" w:eastAsia="Times New Roman"/>
          <w:b/>
          <w:sz w:val="20"/>
        </w:rPr>
        <w:t>Stage 5: Common-method-variance diagnostic</w:t>
      </w:r>
    </w:p>
    <w:p>
      <w:pPr>
        <w:spacing w:line="240" w:lineRule="auto" w:before="0" w:after="0"/>
        <w:ind w:firstLine="180"/>
        <w:jc w:val="both"/>
      </w:pPr>
      <w:r>
        <w:rPr>
          <w:rFonts w:ascii="Times New Roman" w:hAnsi="Times New Roman" w:eastAsia="Times New Roman"/>
          <w:sz w:val="20"/>
        </w:rPr>
        <w:t>CMV is assessed via Harman's single-factor test [28]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240" w:lineRule="auto" w:before="80" w:after="40"/>
      </w:pPr>
      <w:r>
        <w:rPr>
          <w:rFonts w:ascii="Times New Roman" w:hAnsi="Times New Roman" w:eastAsia="Times New Roman"/>
          <w:b/>
          <w:sz w:val="20"/>
        </w:rPr>
        <w:t>Stage 6: Target trial PICO documentation</w:t>
      </w:r>
    </w:p>
    <w:p>
      <w:pPr>
        <w:spacing w:line="240" w:lineRule="auto" w:before="0" w:after="0"/>
        <w:ind w:firstLine="180"/>
        <w:jc w:val="both"/>
      </w:pPr>
      <w:r>
        <w:rPr>
          <w:rFonts w:ascii="Times New Roman" w:hAnsi="Times New Roman" w:eastAsia="Times New Roman"/>
          <w:sz w:val="20"/>
        </w:rPr>
        <w:t>Stage 6 produces a metadata-only artifact documenting the target trial [17] PICO and four identifying assumptions: consistency, exchangeability, positivity, and SUTVA (strengthened with Hudgens &amp; Halloran, 2008 peer-effect framework per Methods Clarification m6).</w:t>
      </w:r>
    </w:p>
    <w:p>
      <w:pPr>
        <w:spacing w:line="240" w:lineRule="auto" w:before="80" w:after="40"/>
      </w:pPr>
      <w:r>
        <w:rPr>
          <w:rFonts w:ascii="Times New Roman" w:hAnsi="Times New Roman" w:eastAsia="Times New Roman"/>
          <w:b/>
          <w:sz w:val="20"/>
        </w:rPr>
        <w:t>Stage 7: Counterfactual ΔP_A, ΔP_B, ΔP_C and H7 IUT</w:t>
      </w:r>
    </w:p>
    <w:p>
      <w:pPr>
        <w:spacing w:line="240" w:lineRule="auto" w:before="0" w:after="0"/>
        <w:ind w:firstLine="180"/>
        <w:jc w:val="both"/>
      </w:pPr>
      <w:r>
        <w:rPr>
          <w:rFonts w:ascii="Times New Roman" w:hAnsi="Times New Roman" w:eastAsia="Times New Roman"/>
          <w:sz w:val="20"/>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240" w:lineRule="auto" w:before="0" w:after="0"/>
        <w:ind w:firstLine="180"/>
        <w:jc w:val="both"/>
      </w:pPr>
      <w:r>
        <w:rPr>
          <w:rFonts w:ascii="Times New Roman" w:hAnsi="Times New Roman" w:eastAsia="Times New Roman"/>
          <w:sz w:val="20"/>
        </w:rPr>
        <w:t>Counterfactual B applies a +0.40 SD shift in Honesty-Humility (code/stage7_counterfactual.py:DELTA_B_MAIN_SD) only to individuals whose baseline nearest-centroid cluster is already in the pre-registered low-prevalence target set {0, 4, 6},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pre-registration v2.0 Section 5.7 ("HH := HH + δ_B × SD(HH) for individuals in Cluster ∈ {0, 4, 6}") and Methods Clarifications Log n3 [29] (HH_i otherwise"). Positivity is computed via ρ_{c, B} = (count of individuals reassigned into target Cluster c after the shift) / (count of individuals in target Cluster c at baseline) and is downgraded by the same m5 rule as Counterfactual A.</w:t>
      </w:r>
    </w:p>
    <w:p>
      <w:pPr>
        <w:spacing w:line="240" w:lineRule="auto" w:before="0" w:after="0"/>
        <w:ind w:firstLine="180"/>
        <w:jc w:val="both"/>
      </w:pPr>
      <w:r>
        <w:rPr>
          <w:rFonts w:ascii="Times New Roman" w:hAnsi="Times New Roman" w:eastAsia="Times New Roman"/>
          <w:sz w:val="20"/>
        </w:rPr>
        <w:t>Counterfactual C multiplies cell-level propensity by 0.80 uniformly across all cells while leaving HEXACO scores unchanged. The 20% reduction is calibrated against three meta-analyses [5, 21, 22] and the MHLW FY2016–FY2023 natural experiment (32.5% → 19.3%; −13.2pp ≈ −40.6% relative). Positivity for C is trivially preserved (ρ ≡ 1) per pre-registration v2.0 Section 5.7.</w:t>
      </w:r>
    </w:p>
    <w:p>
      <w:pPr>
        <w:spacing w:line="240" w:lineRule="auto" w:before="0" w:after="0"/>
        <w:ind w:firstLine="180"/>
        <w:jc w:val="both"/>
      </w:pPr>
      <w:r>
        <w:rPr>
          <w:rFonts w:ascii="Times New Roman" w:hAnsi="Times New Roman" w:eastAsia="Times New Roman"/>
          <w:sz w:val="20"/>
        </w:rPr>
        <w:t>The H7 intersection-union test [30] (Methods Clarification m7) computes one-sided 95% lower bounds L_BA and L_BC for ΔP_B − ΔP_A and ΔP_B − ΔP_C, respectively, with bootstrap-resampled cell data (B = 2,000). The configuration is classified per the m7 priority cascade implemented in code/stage7_counterfactual.py:h7_iut:</w:t>
      </w:r>
    </w:p>
    <w:p>
      <w:pPr>
        <w:pStyle w:val="ListBullet"/>
        <w:spacing w:line="240" w:lineRule="auto" w:before="0" w:after="0"/>
        <w:jc w:val="both"/>
      </w:pPr>
      <w:r>
        <w:rPr>
          <w:rFonts w:ascii="Times New Roman" w:hAnsi="Times New Roman" w:eastAsia="Times New Roman"/>
          <w:sz w:val="20"/>
        </w:rPr>
        <w:t>REVERSAL (priority 1): point ΔP_B &lt; point ΔP_A OR point ΔP_B &lt; point ΔP_C (B is dominated by A or C in point estimate, indicating that the pre-registered hypothesis ordering ΔP_B &gt; {ΔP_A, ΔP_C} is reversed);</w:t>
      </w:r>
    </w:p>
    <w:p>
      <w:pPr>
        <w:pStyle w:val="ListBullet"/>
        <w:spacing w:line="240" w:lineRule="auto" w:before="0" w:after="0"/>
        <w:jc w:val="both"/>
      </w:pPr>
      <w:r>
        <w:rPr>
          <w:rFonts w:ascii="Times New Roman" w:hAnsi="Times New Roman" w:eastAsia="Times New Roman"/>
          <w:sz w:val="20"/>
        </w:rPr>
        <w:t>CONFIRMED: L_BA &gt; 0 AND L_BC &gt; 0 (B dominates both A and C in CI lower bound);</w:t>
      </w:r>
    </w:p>
    <w:p>
      <w:pPr>
        <w:pStyle w:val="ListBullet"/>
        <w:spacing w:line="240" w:lineRule="auto" w:before="0" w:after="0"/>
        <w:jc w:val="both"/>
      </w:pPr>
      <w:r>
        <w:rPr>
          <w:rFonts w:ascii="Times New Roman" w:hAnsi="Times New Roman" w:eastAsia="Times New Roman"/>
          <w:sz w:val="20"/>
        </w:rPr>
        <w:t>PARTIAL: exactly one of L_BA, L_BC &gt; 0;</w:t>
      </w:r>
    </w:p>
    <w:p>
      <w:pPr>
        <w:pStyle w:val="ListBullet"/>
        <w:spacing w:line="240" w:lineRule="auto" w:before="0" w:after="0"/>
        <w:jc w:val="both"/>
      </w:pPr>
      <w:r>
        <w:rPr>
          <w:rFonts w:ascii="Times New Roman" w:hAnsi="Times New Roman" w:eastAsia="Times New Roman"/>
          <w:sz w:val="20"/>
        </w:rPr>
        <w:t>AMBIGUOUS: neither lower bound &gt; 0 (CIs allow zero or reversal).</w:t>
      </w:r>
    </w:p>
    <w:p>
      <w:pPr>
        <w:spacing w:line="240" w:lineRule="auto" w:before="80" w:after="40"/>
      </w:pPr>
      <w:r>
        <w:rPr>
          <w:rFonts w:ascii="Times New Roman" w:hAnsi="Times New Roman" w:eastAsia="Times New Roman"/>
          <w:b/>
          <w:sz w:val="20"/>
        </w:rPr>
        <w:t>Stage 8: Transportability factor sweep</w:t>
      </w:r>
    </w:p>
    <w:p>
      <w:pPr>
        <w:spacing w:line="240" w:lineRule="auto" w:before="0" w:after="0"/>
        <w:ind w:firstLine="180"/>
        <w:jc w:val="both"/>
      </w:pPr>
      <w:r>
        <w:rPr>
          <w:rFonts w:ascii="Times New Roman" w:hAnsi="Times New Roman" w:eastAsia="Times New Roman"/>
          <w:sz w:val="20"/>
        </w:rPr>
        <w:t>Per v2.0 Section 5.8 (cultural attenuation), the bootstrap distribution of each ΔP_x is multiplied by a transportability factor F ∈ {0.3, 0.5, 0.7, 1.0}, anchored as:</w:t>
      </w:r>
    </w:p>
    <w:p>
      <w:pPr>
        <w:pStyle w:val="ListBullet"/>
        <w:spacing w:line="240" w:lineRule="auto" w:before="0" w:after="0"/>
        <w:jc w:val="both"/>
      </w:pPr>
      <w:r>
        <w:rPr>
          <w:rFonts w:ascii="Times New Roman" w:hAnsi="Times New Roman" w:eastAsia="Times New Roman"/>
          <w:sz w:val="20"/>
        </w:rPr>
        <w:t>F = 0.3: Conservative cross-cultural attenuation (worst-case anchor; supported by Power et al. 2013 cross-continent variability findings);</w:t>
      </w:r>
    </w:p>
    <w:p>
      <w:pPr>
        <w:pStyle w:val="ListBullet"/>
        <w:spacing w:line="240" w:lineRule="auto" w:before="0" w:after="0"/>
        <w:jc w:val="both"/>
      </w:pPr>
      <w:r>
        <w:rPr>
          <w:rFonts w:ascii="Times New Roman" w:hAnsi="Times New Roman" w:eastAsia="Times New Roman"/>
          <w:sz w:val="20"/>
        </w:rPr>
        <w:t>F = 0.5: Nielsen et al. [6] Asia/Oceania attenuation expected (r = .16 vs European r = .33);</w:t>
      </w:r>
    </w:p>
    <w:p>
      <w:pPr>
        <w:pStyle w:val="ListBullet"/>
        <w:spacing w:line="240" w:lineRule="auto" w:before="0" w:after="0"/>
        <w:jc w:val="both"/>
      </w:pPr>
      <w:r>
        <w:rPr>
          <w:rFonts w:ascii="Times New Roman" w:hAnsi="Times New Roman" w:eastAsia="Times New Roman"/>
          <w:sz w:val="20"/>
        </w:rPr>
        <w:t>F = 0.7: Mild attenuation (intermediate);</w:t>
      </w:r>
    </w:p>
    <w:p>
      <w:pPr>
        <w:pStyle w:val="ListBullet"/>
        <w:spacing w:line="240" w:lineRule="auto" w:before="0" w:after="0"/>
        <w:jc w:val="both"/>
      </w:pPr>
      <w:r>
        <w:rPr>
          <w:rFonts w:ascii="Times New Roman" w:hAnsi="Times New Roman" w:eastAsia="Times New Roman"/>
          <w:sz w:val="20"/>
        </w:rPr>
        <w:t>F = 1.0: Reference (no attenuation).</w:t>
      </w:r>
    </w:p>
    <w:p>
      <w:pPr>
        <w:spacing w:line="240" w:lineRule="auto" w:before="0" w:after="0"/>
        <w:ind w:firstLine="180"/>
        <w:jc w:val="both"/>
      </w:pPr>
      <w:r>
        <w:rPr>
          <w:rFonts w:ascii="Times New Roman" w:hAnsi="Times New Roman" w:eastAsia="Times New Roman"/>
          <w:sz w:val="20"/>
        </w:rPr>
        <w:t>H7 is re-classified per attenuated factor to verify robustness.</w:t>
      </w:r>
    </w:p>
    <w:p>
      <w:pPr>
        <w:spacing w:line="240" w:lineRule="auto" w:before="120" w:after="40"/>
      </w:pPr>
      <w:r>
        <w:rPr>
          <w:rFonts w:ascii="Times New Roman" w:hAnsi="Times New Roman" w:eastAsia="Times New Roman"/>
          <w:b/>
          <w:sz w:val="18"/>
        </w:rPr>
        <w:t>REPRODUCIBILITY</w:t>
      </w:r>
    </w:p>
    <w:p>
      <w:pPr>
        <w:spacing w:line="240" w:lineRule="auto" w:before="0" w:after="0"/>
        <w:ind w:firstLine="180"/>
        <w:jc w:val="both"/>
      </w:pPr>
      <w:r>
        <w:rPr>
          <w:rFonts w:ascii="Times New Roman" w:hAnsi="Times New Roman" w:eastAsia="Times New Roman"/>
          <w:sz w:val="20"/>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56-test pytest suite (including the MHLW loader tests activated under Phase 1) guards against regression in core utilities.</w:t>
      </w:r>
    </w:p>
    <w:p>
      <w:pPr>
        <w:spacing w:line="240" w:lineRule="auto" w:before="120" w:after="40"/>
      </w:pPr>
      <w:r>
        <w:rPr>
          <w:rFonts w:ascii="Times New Roman" w:hAnsi="Times New Roman" w:eastAsia="Times New Roman"/>
          <w:b/>
          <w:sz w:val="18"/>
        </w:rPr>
        <w:t>SOFTWARE AND STATISTICAL ENVIRONMENT</w:t>
      </w:r>
    </w:p>
    <w:p>
      <w:pPr>
        <w:spacing w:line="240" w:lineRule="auto" w:before="0" w:after="0"/>
        <w:ind w:firstLine="180"/>
        <w:jc w:val="both"/>
      </w:pPr>
      <w:r>
        <w:rPr>
          <w:rFonts w:ascii="Times New Roman" w:hAnsi="Times New Roman" w:eastAsia="Times New Roman"/>
          <w:sz w:val="20"/>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pPr>
        <w:spacing w:line="240" w:lineRule="auto" w:before="120" w:after="40"/>
      </w:pPr>
      <w:r>
        <w:rPr>
          <w:rFonts w:ascii="Times New Roman" w:hAnsi="Times New Roman" w:eastAsia="Times New Roman"/>
          <w:b/>
          <w:sz w:val="18"/>
        </w:rPr>
        <w:t>DATA AVAILABILITY</w:t>
      </w:r>
    </w:p>
    <w:p>
      <w:pPr>
        <w:spacing w:line="240" w:lineRule="auto" w:before="0" w:after="0"/>
        <w:ind w:firstLine="180"/>
        <w:jc w:val="both"/>
      </w:pPr>
      <w:r>
        <w:rPr>
          <w:rFonts w:ascii="Times New Roman" w:hAnsi="Times New Roman" w:eastAsia="Times New Roman"/>
          <w:sz w:val="20"/>
        </w:rPr>
        <w:t>This study's data and reproducibility artifacts are deposited on a tiered basis:</w:t>
      </w:r>
    </w:p>
    <w:p>
      <w:pPr>
        <w:pStyle w:val="ListBullet"/>
        <w:spacing w:line="240" w:lineRule="auto" w:before="0" w:after="0"/>
        <w:jc w:val="both"/>
      </w:pPr>
      <w:r>
        <w:rPr>
          <w:rFonts w:ascii="Times New Roman" w:hAnsi="Times New Roman" w:eastAsia="Times New Roman"/>
          <w:sz w:val="20"/>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240" w:lineRule="auto" w:before="0" w:after="0"/>
        <w:jc w:val="both"/>
      </w:pPr>
      <w:r>
        <w:rPr>
          <w:rFonts w:ascii="Times New Roman" w:hAnsi="Times New Roman" w:eastAsia="Times New Roman"/>
          <w:sz w:val="20"/>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Research Square preprint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[14].</w:t>
      </w:r>
    </w:p>
    <w:p>
      <w:pPr>
        <w:pStyle w:val="ListBullet"/>
        <w:spacing w:line="240" w:lineRule="auto" w:before="0" w:after="0"/>
        <w:jc w:val="both"/>
      </w:pPr>
      <w:r>
        <w:rPr>
          <w:rFonts w:ascii="Times New Roman" w:hAnsi="Times New Roman" w:eastAsia="Times New Roman"/>
          <w:sz w:val="20"/>
        </w:rPr>
        <w:t>External public sources: The Statistics Bureau (MIC) Labour Force Survey 2022 Annual Average tabulations used for population reweighting are publicly archived in the repository at simulation/data/mhlw_labor_force_2022.csv (provenance: e-Stat retrieval 2026-04-30).</w:t>
      </w:r>
    </w:p>
    <w:p>
      <w:pPr>
        <w:pStyle w:val="ListBullet"/>
        <w:spacing w:line="240" w:lineRule="auto" w:before="0" w:after="0"/>
        <w:jc w:val="both"/>
      </w:pPr>
      <w:r>
        <w:rPr>
          <w:rFonts w:ascii="Times New Roman" w:hAnsi="Times New Roman" w:eastAsia="Times New Roman"/>
          <w:sz w:val="20"/>
        </w:rPr>
        <w:t>Pre-registration: v2.0 master document, v1.1 → v2.0 public diff, and the Section 6.5 Level 1 Methods Clarifications Log are publicly accessible at the v2.0 registration page (osf.io/3y54u, DOI 10.17605/OSF.IO/3Y54U).</w:t>
      </w:r>
    </w:p>
    <w:p>
      <w:pPr>
        <w:spacing w:line="240" w:lineRule="auto" w:before="0" w:after="0"/>
        <w:ind w:firstLine="180"/>
        <w:jc w:val="both"/>
      </w:pPr>
      <w:r>
        <w:rPr>
          <w:rFonts w:ascii="Times New Roman" w:hAnsi="Times New Roman" w:eastAsia="Times New Roman"/>
          <w:sz w:val="20"/>
        </w:rPr>
        <w:t>All results are reported using the locked seed 20260429. Numerical values are reproduced verbatim from the HDF5 artifacts under output/supplementary/. The full numerical record (~ 600 KB of HDF5 artifacts across 9 pipeline stages, plus ~ 2.2 MB of figures in PNG/PDF/SVG, totaling ~ 2.8 MB) is publicly archived at OSF DOI 10.17605/OSF.IO/3Y54U; SHA-256 hashes for byte-identical reproduction verification are committed in simulation/output/reference_hashes.json.</w:t>
      </w:r>
    </w:p>
    <w:p>
      <w:pPr>
        <w:spacing w:line="240" w:lineRule="auto" w:before="120" w:after="40"/>
      </w:pPr>
      <w:r>
        <w:rPr>
          <w:rFonts w:ascii="Times New Roman" w:hAnsi="Times New Roman" w:eastAsia="Times New Roman"/>
          <w:b/>
          <w:sz w:val="18"/>
        </w:rPr>
        <w:t>SAMPLE CHARACTERISTICS AND 14-CELL PROPENSITY (STAGE 0)</w:t>
      </w:r>
    </w:p>
    <w:p>
      <w:pPr>
        <w:spacing w:line="240" w:lineRule="auto" w:before="0" w:after="0"/>
        <w:ind w:firstLine="180"/>
        <w:jc w:val="both"/>
      </w:pPr>
      <w:r>
        <w:rPr>
          <w:rFonts w:ascii="Times New Roman" w:hAnsi="Times New Roman" w:eastAsia="Times New Roman"/>
          <w:sz w:val="20"/>
        </w:rPr>
        <w:t>The N = 354 sample was assigned to 14 cells (7 HEXACO clusters × 2 genders) via Euclidean nearest-centroid hard-assignment, using the Tokiwa [13] centroids as fixed parameters. Cell sizes ranged from 10 to 70 individuals (median = 18), with no degenerate (N = 0) cells. Cell-level past-three-year power-harassment victimization rates ranged from 0.000 to 0.400 (mean across cells = 0.181).</w:t>
      </w:r>
    </w:p>
    <w:p>
      <w:pPr>
        <w:spacing w:line="240" w:lineRule="auto" w:before="0" w:after="0"/>
        <w:ind w:firstLine="180"/>
        <w:jc w:val="both"/>
      </w:pPr>
      <w:r>
        <w:rPr>
          <w:rFonts w:ascii="Times New Roman" w:hAnsi="Times New Roman" w:eastAsia="Times New Roman"/>
          <w:sz w:val="20"/>
        </w:rPr>
        <w:t>Per-cell 95% confidence intervals followed the four-step priority cascade described in Methods (Stage 0 specification). Of the 14 cells, 13 were resolved at the BCa stage and 1 cell (cluster × gender index 11; N = 12, X = 0) was resolved at the Clopper-Pearson stage as the M4 cascade prescribes for degenerate cells (X_c ∈ {0, N_c}). No cells required the BC or Percentile fallbacks, confirming that the v2.0 master Section 5.1 priority cascade operates as designed for the realized data structure.</w:t>
      </w:r>
    </w:p>
    <w:p>
      <w:pPr>
        <w:spacing w:line="240" w:lineRule="auto" w:before="120" w:after="40"/>
      </w:pPr>
      <w:r>
        <w:rPr>
          <w:rFonts w:ascii="Times New Roman" w:hAnsi="Times New Roman" w:eastAsia="Times New Roman"/>
          <w:b/>
          <w:sz w:val="18"/>
        </w:rPr>
        <w:t>NATIONAL PREVALENCE AND H1 FOUR-TIER CLASSIFICATION (STAGES 1–2)</w:t>
      </w:r>
    </w:p>
    <w:p>
      <w:pPr>
        <w:spacing w:line="240" w:lineRule="auto" w:before="0" w:after="0"/>
        <w:ind w:firstLine="180"/>
        <w:jc w:val="both"/>
      </w:pPr>
      <w:r>
        <w:rPr>
          <w:rFonts w:ascii="Times New Roman" w:hAnsi="Times New Roman" w:eastAsia="Times New Roman"/>
          <w:sz w:val="20"/>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240" w:lineRule="auto" w:before="0" w:after="0"/>
        <w:ind w:firstLine="180"/>
        <w:jc w:val="both"/>
      </w:pPr>
      <w:r>
        <w:rPr>
          <w:rFonts w:ascii="Times New Roman" w:hAnsi="Times New Roman" w:eastAsia="Times New Roman"/>
          <w:sz w:val="20"/>
        </w:rPr>
        <w:t>Per the v2.0 master Section 5.4 four-tier judgment hierarchy, the H1 results across three MHLW validation periods are summarized in Table 1.</w:t>
      </w:r>
    </w:p>
    <w:p>
      <w:pPr>
        <w:spacing w:line="240" w:lineRule="auto" w:before="0" w:after="0"/>
        <w:ind w:firstLine="180"/>
        <w:jc w:val="both"/>
      </w:pPr>
      <w:r>
        <w:rPr>
          <w:rFonts w:ascii="Times New Roman" w:hAnsi="Times New Roman" w:eastAsia="Times New Roman"/>
          <w:sz w:val="20"/>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673"/>
        <w:gridCol w:w="1673"/>
        <w:gridCol w:w="1673"/>
        <w:gridCol w:w="1673"/>
        <w:gridCol w:w="1673"/>
        <w:gridCol w:w="1673"/>
      </w:tblGrid>
      <w:tr>
        <w:tc>
          <w:tcPr>
            <w:tcW w:type="dxa" w:w="1673"/>
          </w:tcPr>
          <w:p>
            <w:r>
              <w:rPr>
                <w:rFonts w:ascii="Times New Roman" w:hAnsi="Times New Roman" w:eastAsia="Times New Roman"/>
                <w:b/>
                <w:sz w:val="16"/>
              </w:rPr>
              <w:t>Period (MHLW)</w:t>
            </w:r>
          </w:p>
        </w:tc>
        <w:tc>
          <w:tcPr>
            <w:tcW w:type="dxa" w:w="1673"/>
          </w:tcPr>
          <w:p>
            <w:r>
              <w:rPr>
                <w:rFonts w:ascii="Times New Roman" w:hAnsi="Times New Roman" w:eastAsia="Times New Roman"/>
                <w:b/>
                <w:sz w:val="16"/>
              </w:rPr>
              <w:t>Observed</w:t>
            </w:r>
          </w:p>
        </w:tc>
        <w:tc>
          <w:tcPr>
            <w:tcW w:type="dxa" w:w="1673"/>
          </w:tcPr>
          <w:p>
            <w:r>
              <w:rPr>
                <w:rFonts w:ascii="Times New Roman" w:hAnsi="Times New Roman" w:eastAsia="Times New Roman"/>
                <w:b/>
                <w:sz w:val="16"/>
              </w:rPr>
              <w:t>Predicted</w:t>
            </w:r>
          </w:p>
        </w:tc>
        <w:tc>
          <w:tcPr>
            <w:tcW w:type="dxa" w:w="1673"/>
          </w:tcPr>
          <w:p>
            <w:r>
              <w:rPr>
                <w:rFonts w:ascii="Times New Roman" w:hAnsi="Times New Roman" w:eastAsia="Times New Roman"/>
                <w:b/>
                <w:sz w:val="16"/>
              </w:rPr>
              <w:t>MAPE</w:t>
            </w:r>
          </w:p>
        </w:tc>
        <w:tc>
          <w:tcPr>
            <w:tcW w:type="dxa" w:w="1673"/>
          </w:tcPr>
          <w:p>
            <w:r>
              <w:rPr>
                <w:rFonts w:ascii="Times New Roman" w:hAnsi="Times New Roman" w:eastAsia="Times New Roman"/>
                <w:b/>
                <w:sz w:val="16"/>
              </w:rPr>
              <w:t>95% CI</w:t>
            </w:r>
          </w:p>
        </w:tc>
        <w:tc>
          <w:tcPr>
            <w:tcW w:type="dxa" w:w="1673"/>
          </w:tcPr>
          <w:p>
            <w:r>
              <w:rPr>
                <w:rFonts w:ascii="Times New Roman" w:hAnsi="Times New Roman" w:eastAsia="Times New Roman"/>
                <w:b/>
                <w:sz w:val="16"/>
              </w:rPr>
              <w:t>Tier</w:t>
            </w:r>
          </w:p>
        </w:tc>
      </w:tr>
      <w:tr>
        <w:tc>
          <w:tcPr>
            <w:tcW w:type="dxa" w:w="1673"/>
          </w:tcPr>
          <w:p>
            <w:r>
              <w:rPr>
                <w:rFonts w:ascii="Times New Roman" w:hAnsi="Times New Roman" w:eastAsia="Times New Roman"/>
                <w:sz w:val="16"/>
              </w:rPr>
              <w:t>FY2016 (32.5%, primary)</w:t>
            </w:r>
          </w:p>
        </w:tc>
        <w:tc>
          <w:tcPr>
            <w:tcW w:type="dxa" w:w="1673"/>
          </w:tcPr>
          <w:p>
            <w:r>
              <w:rPr>
                <w:rFonts w:ascii="Times New Roman" w:hAnsi="Times New Roman" w:eastAsia="Times New Roman"/>
                <w:sz w:val="16"/>
              </w:rPr>
              <w:t>0.325</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46.34%</w:t>
            </w:r>
          </w:p>
        </w:tc>
        <w:tc>
          <w:tcPr>
            <w:tcW w:type="dxa" w:w="1673"/>
          </w:tcPr>
          <w:p>
            <w:r>
              <w:rPr>
                <w:rFonts w:ascii="Times New Roman" w:hAnsi="Times New Roman" w:eastAsia="Times New Roman"/>
                <w:sz w:val="16"/>
              </w:rPr>
              <w:t>[32.36, 59.30]</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FY2020 (31.4%, secondary)</w:t>
            </w:r>
          </w:p>
        </w:tc>
        <w:tc>
          <w:tcPr>
            <w:tcW w:type="dxa" w:w="1673"/>
          </w:tcPr>
          <w:p>
            <w:r>
              <w:rPr>
                <w:rFonts w:ascii="Times New Roman" w:hAnsi="Times New Roman" w:eastAsia="Times New Roman"/>
                <w:sz w:val="16"/>
              </w:rPr>
              <w:t>0.314</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44.46%</w:t>
            </w:r>
          </w:p>
        </w:tc>
        <w:tc>
          <w:tcPr>
            <w:tcW w:type="dxa" w:w="1673"/>
          </w:tcPr>
          <w:p>
            <w:r>
              <w:rPr>
                <w:rFonts w:ascii="Times New Roman" w:hAnsi="Times New Roman" w:eastAsia="Times New Roman"/>
                <w:sz w:val="16"/>
              </w:rPr>
              <w:t>[30.00, 57.88]</w:t>
            </w:r>
          </w:p>
        </w:tc>
        <w:tc>
          <w:tcPr>
            <w:tcW w:type="dxa" w:w="1673"/>
          </w:tcPr>
          <w:p>
            <w:r>
              <w:rPr>
                <w:rFonts w:ascii="Times New Roman" w:hAnsi="Times New Roman" w:eastAsia="Times New Roman"/>
                <w:sz w:val="16"/>
              </w:rPr>
              <w:t>PARTIAL SUCCESS</w:t>
            </w:r>
          </w:p>
        </w:tc>
      </w:tr>
      <w:tr>
        <w:tc>
          <w:tcPr>
            <w:tcW w:type="dxa" w:w="1673"/>
          </w:tcPr>
          <w:p>
            <w:r>
              <w:rPr>
                <w:rFonts w:ascii="Times New Roman" w:hAnsi="Times New Roman" w:eastAsia="Times New Roman"/>
                <w:sz w:val="16"/>
              </w:rPr>
              <w:t>FY2023 (19.3%, secondary)</w:t>
            </w:r>
          </w:p>
        </w:tc>
        <w:tc>
          <w:tcPr>
            <w:tcW w:type="dxa" w:w="1673"/>
          </w:tcPr>
          <w:p>
            <w:r>
              <w:rPr>
                <w:rFonts w:ascii="Times New Roman" w:hAnsi="Times New Roman" w:eastAsia="Times New Roman"/>
                <w:sz w:val="16"/>
              </w:rPr>
              <w:t>0.193</w:t>
            </w:r>
          </w:p>
        </w:tc>
        <w:tc>
          <w:tcPr>
            <w:tcW w:type="dxa" w:w="1673"/>
          </w:tcPr>
          <w:p>
            <w:r>
              <w:rPr>
                <w:rFonts w:ascii="Times New Roman" w:hAnsi="Times New Roman" w:eastAsia="Times New Roman"/>
                <w:sz w:val="16"/>
              </w:rPr>
              <w:t>0.1744</w:t>
            </w:r>
          </w:p>
        </w:tc>
        <w:tc>
          <w:tcPr>
            <w:tcW w:type="dxa" w:w="1673"/>
          </w:tcPr>
          <w:p>
            <w:r>
              <w:rPr>
                <w:rFonts w:ascii="Times New Roman" w:hAnsi="Times New Roman" w:eastAsia="Times New Roman"/>
                <w:sz w:val="16"/>
              </w:rPr>
              <w:t>9.65%</w:t>
            </w:r>
          </w:p>
        </w:tc>
        <w:tc>
          <w:tcPr>
            <w:tcW w:type="dxa" w:w="1673"/>
          </w:tcPr>
          <w:p>
            <w:r>
              <w:rPr>
                <w:rFonts w:ascii="Times New Roman" w:hAnsi="Times New Roman" w:eastAsia="Times New Roman"/>
                <w:sz w:val="16"/>
              </w:rPr>
              <w:t>[0.52, 31.52]</w:t>
            </w:r>
          </w:p>
        </w:tc>
        <w:tc>
          <w:tcPr>
            <w:tcW w:type="dxa" w:w="1673"/>
          </w:tcPr>
          <w:p>
            <w:r>
              <w:rPr>
                <w:rFonts w:ascii="Times New Roman" w:hAnsi="Times New Roman" w:eastAsia="Times New Roman"/>
                <w:sz w:val="16"/>
              </w:rPr>
              <w:t>Standard SUCCESS</w:t>
            </w:r>
          </w:p>
        </w:tc>
      </w:tr>
    </w:tbl>
    <w:p>
      <w:pPr>
        <w:spacing w:line="240" w:lineRule="auto" w:before="0" w:after="0"/>
        <w:ind w:firstLine="180"/>
        <w:jc w:val="both"/>
      </w:pPr>
      <w:r>
        <w:rPr>
          <w:rFonts w:ascii="Times New Roman" w:hAnsi="Times New Roman" w:eastAsia="Times New Roman"/>
          <w:sz w:val="20"/>
        </w:rPr>
        <w:t>The FY2016 primary classification is PARTIAL SUCCESS (point MAPE &gt; 30%, ≤ 60%). However, the post-Power-Harassment-Prevention-Law FY2023 result attains Standard SUCCESS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240" w:lineRule="auto" w:before="120" w:after="40"/>
      </w:pPr>
      <w:r>
        <w:rPr>
          <w:rFonts w:ascii="Times New Roman" w:hAnsi="Times New Roman" w:eastAsia="Times New Roman"/>
          <w:b/>
          <w:sz w:val="18"/>
        </w:rPr>
        <w:t>SENSITIVITY SWEEP (STAGE 3)</w:t>
      </w:r>
    </w:p>
    <w:p>
      <w:pPr>
        <w:spacing w:line="240" w:lineRule="auto" w:before="0" w:after="0"/>
        <w:ind w:firstLine="180"/>
        <w:jc w:val="both"/>
      </w:pPr>
      <w:r>
        <w:rPr>
          <w:rFonts w:ascii="Times New Roman" w:hAnsi="Times New Roman" w:eastAsia="Times New Roman"/>
          <w:sz w:val="20"/>
        </w:rPr>
        <w:t>The pre-registered one-at-a-time sweep over four parameter families produced 13 rows. Results are presented in Table 2.</w:t>
      </w:r>
    </w:p>
    <w:p>
      <w:pPr>
        <w:spacing w:line="240" w:lineRule="auto" w:before="0" w:after="0"/>
        <w:ind w:firstLine="180"/>
        <w:jc w:val="both"/>
      </w:pPr>
      <w:r>
        <w:rPr>
          <w:rFonts w:ascii="Times New Roman" w:hAnsi="Times New Roman" w:eastAsia="Times New Roman"/>
          <w:sz w:val="20"/>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Family</w:t>
            </w:r>
          </w:p>
        </w:tc>
        <w:tc>
          <w:tcPr>
            <w:tcW w:type="dxa" w:w="2008"/>
          </w:tcPr>
          <w:p>
            <w:r>
              <w:rPr>
                <w:rFonts w:ascii="Times New Roman" w:hAnsi="Times New Roman" w:eastAsia="Times New Roman"/>
                <w:b/>
                <w:sz w:val="16"/>
              </w:rPr>
              <w:t>Value</w:t>
            </w:r>
          </w:p>
        </w:tc>
        <w:tc>
          <w:tcPr>
            <w:tcW w:type="dxa" w:w="2008"/>
          </w:tcPr>
          <w:p>
            <w:r>
              <w:rPr>
                <w:rFonts w:ascii="Times New Roman" w:hAnsi="Times New Roman" w:eastAsia="Times New Roman"/>
                <w:b/>
                <w:sz w:val="16"/>
              </w:rPr>
              <w:t>MAPE</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Tier</w:t>
            </w:r>
          </w:p>
        </w:tc>
      </w:tr>
      <w:tr>
        <w:tc>
          <w:tcPr>
            <w:tcW w:type="dxa" w:w="2008"/>
          </w:tcPr>
          <w:p>
            <w:r>
              <w:rPr>
                <w:rFonts w:ascii="Times New Roman" w:hAnsi="Times New Roman" w:eastAsia="Times New Roman"/>
                <w:sz w:val="16"/>
              </w:rPr>
              <w:t>Baseline</w:t>
            </w:r>
          </w:p>
        </w:tc>
        <w:tc>
          <w:tcPr>
            <w:tcW w:type="dxa" w:w="2008"/>
          </w:tcPr>
          <w:p>
            <w:r>
              <w:rPr>
                <w:rFonts w:ascii="Times New Roman" w:hAnsi="Times New Roman" w:eastAsia="Times New Roman"/>
                <w:sz w:val="16"/>
              </w:rPr>
              <w:t>main_v2.0</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[31.5, 59.5]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mean+0.25 SD</w:t>
            </w:r>
          </w:p>
        </w:tc>
        <w:tc>
          <w:tcPr>
            <w:tcW w:type="dxa" w:w="2008"/>
          </w:tcPr>
          <w:p>
            <w:r>
              <w:rPr>
                <w:rFonts w:ascii="Times New Roman" w:hAnsi="Times New Roman" w:eastAsia="Times New Roman"/>
                <w:sz w:val="16"/>
              </w:rPr>
              <w:t>29.58%</w:t>
            </w:r>
          </w:p>
        </w:tc>
        <w:tc>
          <w:tcPr>
            <w:tcW w:type="dxa" w:w="2008"/>
          </w:tcPr>
          <w:p>
            <w:r>
              <w:rPr>
                <w:rFonts w:ascii="Times New Roman" w:hAnsi="Times New Roman" w:eastAsia="Times New Roman"/>
                <w:sz w:val="16"/>
              </w:rPr>
              <w:t>[13.7, 45.2]</w:t>
            </w:r>
          </w:p>
        </w:tc>
        <w:tc>
          <w:tcPr>
            <w:tcW w:type="dxa" w:w="2008"/>
          </w:tcPr>
          <w:p>
            <w:r>
              <w:rPr>
                <w:rFonts w:ascii="Times New Roman" w:hAnsi="Times New Roman" w:eastAsia="Times New Roman"/>
                <w:sz w:val="16"/>
              </w:rPr>
              <w:t>Standard SUCCESS</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mean+0.5 SD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[30.5,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Binarization</w:t>
            </w:r>
          </w:p>
        </w:tc>
        <w:tc>
          <w:tcPr>
            <w:tcW w:type="dxa" w:w="2008"/>
          </w:tcPr>
          <w:p>
            <w:r>
              <w:rPr>
                <w:rFonts w:ascii="Times New Roman" w:hAnsi="Times New Roman" w:eastAsia="Times New Roman"/>
                <w:sz w:val="16"/>
              </w:rPr>
              <w:t>mean+1.0 SD</w:t>
            </w:r>
          </w:p>
        </w:tc>
        <w:tc>
          <w:tcPr>
            <w:tcW w:type="dxa" w:w="2008"/>
          </w:tcPr>
          <w:p>
            <w:r>
              <w:rPr>
                <w:rFonts w:ascii="Times New Roman" w:hAnsi="Times New Roman" w:eastAsia="Times New Roman"/>
                <w:sz w:val="16"/>
              </w:rPr>
              <w:t>48.95%</w:t>
            </w:r>
          </w:p>
        </w:tc>
        <w:tc>
          <w:tcPr>
            <w:tcW w:type="dxa" w:w="2008"/>
          </w:tcPr>
          <w:p>
            <w:r>
              <w:rPr>
                <w:rFonts w:ascii="Times New Roman" w:hAnsi="Times New Roman" w:eastAsia="Times New Roman"/>
                <w:sz w:val="16"/>
              </w:rPr>
              <w:t>[34.0, 62.4]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45.04%</w:t>
            </w:r>
          </w:p>
        </w:tc>
        <w:tc>
          <w:tcPr>
            <w:tcW w:type="dxa" w:w="2008"/>
          </w:tcPr>
          <w:p>
            <w:r>
              <w:rPr>
                <w:rFonts w:ascii="Times New Roman" w:hAnsi="Times New Roman" w:eastAsia="Times New Roman"/>
                <w:sz w:val="16"/>
              </w:rPr>
              <w:t>[43.8, 46.3]</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45.22%</w:t>
            </w:r>
          </w:p>
        </w:tc>
        <w:tc>
          <w:tcPr>
            <w:tcW w:type="dxa" w:w="2008"/>
          </w:tcPr>
          <w:p>
            <w:r>
              <w:rPr>
                <w:rFonts w:ascii="Times New Roman" w:hAnsi="Times New Roman" w:eastAsia="Times New Roman"/>
                <w:sz w:val="16"/>
              </w:rPr>
              <w:t>[43.9, 46.5]</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Soft τ × median NN</w:t>
            </w:r>
          </w:p>
        </w:tc>
        <w:tc>
          <w:tcPr>
            <w:tcW w:type="dxa" w:w="2008"/>
          </w:tcPr>
          <w:p>
            <w:r>
              <w:rPr>
                <w:rFonts w:ascii="Times New Roman" w:hAnsi="Times New Roman" w:eastAsia="Times New Roman"/>
                <w:sz w:val="16"/>
              </w:rPr>
              <w:t>2.0×</w:t>
            </w:r>
          </w:p>
        </w:tc>
        <w:tc>
          <w:tcPr>
            <w:tcW w:type="dxa" w:w="2008"/>
          </w:tcPr>
          <w:p>
            <w:r>
              <w:rPr>
                <w:rFonts w:ascii="Times New Roman" w:hAnsi="Times New Roman" w:eastAsia="Times New Roman"/>
                <w:sz w:val="16"/>
              </w:rPr>
              <w:t>45.24%</w:t>
            </w:r>
          </w:p>
        </w:tc>
        <w:tc>
          <w:tcPr>
            <w:tcW w:type="dxa" w:w="2008"/>
          </w:tcPr>
          <w:p>
            <w:r>
              <w:rPr>
                <w:rFonts w:ascii="Times New Roman" w:hAnsi="Times New Roman" w:eastAsia="Times New Roman"/>
                <w:sz w:val="16"/>
              </w:rPr>
              <w:t>[43.9, 46.4]</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0.5× pseudocount</w:t>
            </w:r>
          </w:p>
        </w:tc>
        <w:tc>
          <w:tcPr>
            <w:tcW w:type="dxa" w:w="2008"/>
          </w:tcPr>
          <w:p>
            <w:r>
              <w:rPr>
                <w:rFonts w:ascii="Times New Roman" w:hAnsi="Times New Roman" w:eastAsia="Times New Roman"/>
                <w:sz w:val="16"/>
              </w:rPr>
              <w:t>45.90%</w:t>
            </w:r>
          </w:p>
        </w:tc>
        <w:tc>
          <w:tcPr>
            <w:tcW w:type="dxa" w:w="2008"/>
          </w:tcPr>
          <w:p>
            <w:r>
              <w:rPr>
                <w:rFonts w:ascii="Times New Roman" w:hAnsi="Times New Roman" w:eastAsia="Times New Roman"/>
                <w:sz w:val="16"/>
              </w:rPr>
              <w:t>[32.1, 58.7]</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1.0×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59.0]</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EB scale</w:t>
            </w:r>
          </w:p>
        </w:tc>
        <w:tc>
          <w:tcPr>
            <w:tcW w:type="dxa" w:w="2008"/>
          </w:tcPr>
          <w:p>
            <w:r>
              <w:rPr>
                <w:rFonts w:ascii="Times New Roman" w:hAnsi="Times New Roman" w:eastAsia="Times New Roman"/>
                <w:sz w:val="16"/>
              </w:rPr>
              <w:t>2.0× pseudocount</w:t>
            </w:r>
          </w:p>
        </w:tc>
        <w:tc>
          <w:tcPr>
            <w:tcW w:type="dxa" w:w="2008"/>
          </w:tcPr>
          <w:p>
            <w:r>
              <w:rPr>
                <w:rFonts w:ascii="Times New Roman" w:hAnsi="Times New Roman" w:eastAsia="Times New Roman"/>
                <w:sz w:val="16"/>
              </w:rPr>
              <w:t>45.80%</w:t>
            </w:r>
          </w:p>
        </w:tc>
        <w:tc>
          <w:tcPr>
            <w:tcW w:type="dxa" w:w="2008"/>
          </w:tcPr>
          <w:p>
            <w:r>
              <w:rPr>
                <w:rFonts w:ascii="Times New Roman" w:hAnsi="Times New Roman" w:eastAsia="Times New Roman"/>
                <w:sz w:val="16"/>
              </w:rPr>
              <w:t>[32.3, 58.9]</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56.47%</w:t>
            </w:r>
          </w:p>
        </w:tc>
        <w:tc>
          <w:tcPr>
            <w:tcW w:type="dxa" w:w="2008"/>
          </w:tcPr>
          <w:p>
            <w:r>
              <w:rPr>
                <w:rFonts w:ascii="Times New Roman" w:hAnsi="Times New Roman" w:eastAsia="Times New Roman"/>
                <w:sz w:val="16"/>
              </w:rPr>
              <w:t>[42.8, 68.8]</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0.0 (main)</w:t>
            </w:r>
          </w:p>
        </w:tc>
        <w:tc>
          <w:tcPr>
            <w:tcW w:type="dxa" w:w="2008"/>
          </w:tcPr>
          <w:p>
            <w:r>
              <w:rPr>
                <w:rFonts w:ascii="Times New Roman" w:hAnsi="Times New Roman" w:eastAsia="Times New Roman"/>
                <w:sz w:val="16"/>
              </w:rPr>
              <w:t>45.51%</w:t>
            </w:r>
          </w:p>
        </w:tc>
        <w:tc>
          <w:tcPr>
            <w:tcW w:type="dxa" w:w="2008"/>
          </w:tcPr>
          <w:p>
            <w:r>
              <w:rPr>
                <w:rFonts w:ascii="Times New Roman" w:hAnsi="Times New Roman" w:eastAsia="Times New Roman"/>
                <w:sz w:val="16"/>
              </w:rPr>
              <w:t>[31.4, 59.2]</w:t>
            </w:r>
          </w:p>
        </w:tc>
        <w:tc>
          <w:tcPr>
            <w:tcW w:type="dxa" w:w="2008"/>
          </w:tcPr>
          <w:p>
            <w:r>
              <w:rPr>
                <w:rFonts w:ascii="Times New Roman" w:hAnsi="Times New Roman" w:eastAsia="Times New Roman"/>
                <w:sz w:val="16"/>
              </w:rPr>
              <w:t>PARTIAL</w:t>
            </w:r>
          </w:p>
        </w:tc>
      </w:tr>
      <w:tr>
        <w:tc>
          <w:tcPr>
            <w:tcW w:type="dxa" w:w="2008"/>
          </w:tcPr>
          <w:p>
            <w:r>
              <w:rPr>
                <w:rFonts w:ascii="Times New Roman" w:hAnsi="Times New Roman" w:eastAsia="Times New Roman"/>
                <w:sz w:val="16"/>
              </w:rPr>
              <w:t>Cluster mass shift δ</w:t>
            </w:r>
          </w:p>
        </w:tc>
        <w:tc>
          <w:tcPr>
            <w:tcW w:type="dxa" w:w="2008"/>
          </w:tcPr>
          <w:p>
            <w:r>
              <w:rPr>
                <w:rFonts w:ascii="Times New Roman" w:hAnsi="Times New Roman" w:eastAsia="Times New Roman"/>
                <w:sz w:val="16"/>
              </w:rPr>
              <w:t>+0.10 high−low</w:t>
            </w:r>
          </w:p>
        </w:tc>
        <w:tc>
          <w:tcPr>
            <w:tcW w:type="dxa" w:w="2008"/>
          </w:tcPr>
          <w:p>
            <w:r>
              <w:rPr>
                <w:rFonts w:ascii="Times New Roman" w:hAnsi="Times New Roman" w:eastAsia="Times New Roman"/>
                <w:sz w:val="16"/>
              </w:rPr>
              <w:t>34.55%</w:t>
            </w:r>
          </w:p>
        </w:tc>
        <w:tc>
          <w:tcPr>
            <w:tcW w:type="dxa" w:w="2008"/>
          </w:tcPr>
          <w:p>
            <w:r>
              <w:rPr>
                <w:rFonts w:ascii="Times New Roman" w:hAnsi="Times New Roman" w:eastAsia="Times New Roman"/>
                <w:sz w:val="16"/>
              </w:rPr>
              <w:t>[16.6, 51.8]</w:t>
            </w:r>
          </w:p>
        </w:tc>
        <w:tc>
          <w:tcPr>
            <w:tcW w:type="dxa" w:w="2008"/>
          </w:tcPr>
          <w:p>
            <w:r>
              <w:rPr>
                <w:rFonts w:ascii="Times New Roman" w:hAnsi="Times New Roman" w:eastAsia="Times New Roman"/>
                <w:sz w:val="16"/>
              </w:rPr>
              <w:t>PARTIAL</w:t>
            </w:r>
          </w:p>
        </w:tc>
      </w:tr>
    </w:tbl>
    <w:p>
      <w:pPr>
        <w:spacing w:line="240" w:lineRule="auto" w:before="0" w:after="0"/>
        <w:ind w:firstLine="180"/>
        <w:jc w:val="both"/>
      </w:pPr>
      <w:r>
        <w:rPr>
          <w:rFonts w:ascii="Times New Roman" w:hAnsi="Times New Roman" w:eastAsia="Times New Roman"/>
          <w:sz w:val="20"/>
        </w:rPr>
        <w:t>Two parameter families show substantial sensitivity:</w:t>
      </w:r>
    </w:p>
    <w:p>
      <w:pPr>
        <w:pStyle w:val="ListBullet"/>
        <w:spacing w:line="240" w:lineRule="auto" w:before="0" w:after="0"/>
        <w:jc w:val="both"/>
      </w:pPr>
      <w:r>
        <w:rPr>
          <w:rFonts w:ascii="Times New Roman" w:hAnsi="Times New Roman" w:eastAsia="Times New Roman"/>
          <w:sz w:val="20"/>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240" w:lineRule="auto" w:before="0" w:after="0"/>
        <w:jc w:val="both"/>
      </w:pPr>
      <w:r>
        <w:rPr>
          <w:rFonts w:ascii="Times New Roman" w:hAnsi="Times New Roman" w:eastAsia="Times New Roman"/>
          <w:sz w:val="20"/>
        </w:rPr>
        <w:t>Cluster proportion mass shift (range: 34.55% to 56.47%): underscores the centrality of the Tokiwa [13] cluster proportions to the conclusion (m8 limitation per pre-registration v2.0).</w:t>
      </w:r>
    </w:p>
    <w:p>
      <w:pPr>
        <w:spacing w:line="240" w:lineRule="auto" w:before="0" w:after="0"/>
        <w:ind w:firstLine="180"/>
        <w:jc w:val="both"/>
      </w:pPr>
      <w:r>
        <w:rPr>
          <w:rFonts w:ascii="Times New Roman" w:hAnsi="Times New Roman" w:eastAsia="Times New Roman"/>
          <w:sz w:val="20"/>
        </w:rPr>
        <w:t>Two parameter families show negligible sensitivity:</w:t>
      </w:r>
    </w:p>
    <w:p>
      <w:pPr>
        <w:pStyle w:val="ListBullet"/>
        <w:spacing w:line="240" w:lineRule="auto" w:before="0" w:after="0"/>
        <w:jc w:val="both"/>
      </w:pPr>
      <w:r>
        <w:rPr>
          <w:rFonts w:ascii="Times New Roman" w:hAnsi="Times New Roman" w:eastAsia="Times New Roman"/>
          <w:sz w:val="20"/>
        </w:rPr>
        <w:t>Soft-assignment τ (range: 45.04% to 45.24%; 0.20 percentage-point spread): cluster-membership-fuzziness is essentially irrelevant to the conclusion;</w:t>
      </w:r>
    </w:p>
    <w:p>
      <w:pPr>
        <w:pStyle w:val="ListBullet"/>
        <w:spacing w:line="240" w:lineRule="auto" w:before="0" w:after="0"/>
        <w:jc w:val="both"/>
      </w:pPr>
      <w:r>
        <w:rPr>
          <w:rFonts w:ascii="Times New Roman" w:hAnsi="Times New Roman" w:eastAsia="Times New Roman"/>
          <w:sz w:val="20"/>
        </w:rPr>
        <w:t>Empirical Bayes shrinkage scale (range: 45.51% to 45.90%; 0.40 percentage-point spread): the empirical Bayes prior-pseudocount magnitude is negligible.</w:t>
      </w:r>
    </w:p>
    <w:p>
      <w:pPr>
        <w:spacing w:line="240" w:lineRule="auto" w:before="0" w:after="0"/>
        <w:ind w:firstLine="180"/>
        <w:jc w:val="both"/>
      </w:pPr>
      <w:r>
        <w:rPr>
          <w:rFonts w:ascii="Times New Roman" w:hAnsi="Times New Roman" w:eastAsia="Times New Roman"/>
          <w:sz w:val="20"/>
        </w:rPr>
        <w:t>The two stable axes provide affirmative robustness evidence; the two sensitive axes circumscribe the assumptions on which the conclusion explicitly depends.</w:t>
      </w:r>
    </w:p>
    <w:p>
      <w:pPr>
        <w:spacing w:line="240" w:lineRule="auto" w:before="120" w:after="40"/>
      </w:pPr>
      <w:r>
        <w:rPr>
          <w:rFonts w:ascii="Times New Roman" w:hAnsi="Times New Roman" w:eastAsia="Times New Roman"/>
          <w:b/>
          <w:sz w:val="18"/>
        </w:rPr>
        <w:t>BASELINE COMPARISON AND H2 ORDINAL TREND (STAGE 4)</w:t>
      </w:r>
    </w:p>
    <w:p>
      <w:pPr>
        <w:spacing w:line="240" w:lineRule="auto" w:before="0" w:after="0"/>
        <w:ind w:firstLine="180"/>
        <w:jc w:val="both"/>
      </w:pPr>
      <w:r>
        <w:rPr>
          <w:rFonts w:ascii="Times New Roman" w:hAnsi="Times New Roman" w:eastAsia="Times New Roman"/>
          <w:sz w:val="20"/>
        </w:rPr>
        <w:t>The pre-registered B0–B4 baseline ladder yielded the following MAPE_FY2016 estimates (Table 3).</w:t>
      </w:r>
    </w:p>
    <w:p>
      <w:pPr>
        <w:spacing w:line="240" w:lineRule="auto" w:before="0" w:after="0"/>
        <w:ind w:firstLine="180"/>
        <w:jc w:val="both"/>
      </w:pPr>
      <w:r>
        <w:rPr>
          <w:rFonts w:ascii="Times New Roman" w:hAnsi="Times New Roman" w:eastAsia="Times New Roman"/>
          <w:sz w:val="20"/>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Baseline</w:t>
            </w:r>
          </w:p>
        </w:tc>
        <w:tc>
          <w:tcPr>
            <w:tcW w:type="dxa" w:w="2510"/>
          </w:tcPr>
          <w:p>
            <w:r>
              <w:rPr>
                <w:rFonts w:ascii="Times New Roman" w:hAnsi="Times New Roman" w:eastAsia="Times New Roman"/>
                <w:b/>
                <w:sz w:val="16"/>
              </w:rPr>
              <w:t>Description</w:t>
            </w:r>
          </w:p>
        </w:tc>
        <w:tc>
          <w:tcPr>
            <w:tcW w:type="dxa" w:w="2510"/>
          </w:tcPr>
          <w:p>
            <w:r>
              <w:rPr>
                <w:rFonts w:ascii="Times New Roman" w:hAnsi="Times New Roman" w:eastAsia="Times New Roman"/>
                <w:b/>
                <w:sz w:val="16"/>
              </w:rPr>
              <w:t>MAPE</w:t>
            </w:r>
          </w:p>
        </w:tc>
        <w:tc>
          <w:tcPr>
            <w:tcW w:type="dxa" w:w="2510"/>
          </w:tcPr>
          <w:p>
            <w:r>
              <w:rPr>
                <w:rFonts w:ascii="Times New Roman" w:hAnsi="Times New Roman" w:eastAsia="Times New Roman"/>
                <w:b/>
                <w:sz w:val="16"/>
              </w:rPr>
              <w:t>95% CI</w:t>
            </w:r>
          </w:p>
        </w:tc>
      </w:tr>
      <w:tr>
        <w:tc>
          <w:tcPr>
            <w:tcW w:type="dxa" w:w="2510"/>
          </w:tcPr>
          <w:p>
            <w:r>
              <w:rPr>
                <w:rFonts w:ascii="Times New Roman" w:hAnsi="Times New Roman" w:eastAsia="Times New Roman"/>
                <w:sz w:val="16"/>
              </w:rPr>
              <w:t>B0</w:t>
            </w:r>
          </w:p>
        </w:tc>
        <w:tc>
          <w:tcPr>
            <w:tcW w:type="dxa" w:w="2510"/>
          </w:tcPr>
          <w:p>
            <w:r>
              <w:rPr>
                <w:rFonts w:ascii="Times New Roman" w:hAnsi="Times New Roman" w:eastAsia="Times New Roman"/>
                <w:sz w:val="16"/>
              </w:rPr>
              <w:t>Uniform = MHLW grand mean</w:t>
            </w:r>
          </w:p>
        </w:tc>
        <w:tc>
          <w:tcPr>
            <w:tcW w:type="dxa" w:w="2510"/>
          </w:tcPr>
          <w:p>
            <w:r>
              <w:rPr>
                <w:rFonts w:ascii="Times New Roman" w:hAnsi="Times New Roman" w:eastAsia="Times New Roman"/>
                <w:sz w:val="16"/>
              </w:rPr>
              <w:t>0.00%</w:t>
            </w:r>
          </w:p>
        </w:tc>
        <w:tc>
          <w:tcPr>
            <w:tcW w:type="dxa" w:w="2510"/>
          </w:tcPr>
          <w:p>
            <w:r>
              <w:rPr>
                <w:rFonts w:ascii="Times New Roman" w:hAnsi="Times New Roman" w:eastAsia="Times New Roman"/>
                <w:sz w:val="16"/>
              </w:rPr>
              <w:t>[0.00, 0.00]</w:t>
            </w:r>
          </w:p>
        </w:tc>
      </w:tr>
      <w:tr>
        <w:tc>
          <w:tcPr>
            <w:tcW w:type="dxa" w:w="2510"/>
          </w:tcPr>
          <w:p>
            <w:r>
              <w:rPr>
                <w:rFonts w:ascii="Times New Roman" w:hAnsi="Times New Roman" w:eastAsia="Times New Roman"/>
                <w:sz w:val="16"/>
              </w:rPr>
              <w:t>B1</w:t>
            </w:r>
          </w:p>
        </w:tc>
        <w:tc>
          <w:tcPr>
            <w:tcW w:type="dxa" w:w="2510"/>
          </w:tcPr>
          <w:p>
            <w:r>
              <w:rPr>
                <w:rFonts w:ascii="Times New Roman" w:hAnsi="Times New Roman" w:eastAsia="Times New Roman"/>
                <w:sz w:val="16"/>
              </w:rPr>
              <w:t>Gender logistic</w:t>
            </w:r>
          </w:p>
        </w:tc>
        <w:tc>
          <w:tcPr>
            <w:tcW w:type="dxa" w:w="2510"/>
          </w:tcPr>
          <w:p>
            <w:r>
              <w:rPr>
                <w:rFonts w:ascii="Times New Roman" w:hAnsi="Times New Roman" w:eastAsia="Times New Roman"/>
                <w:sz w:val="16"/>
              </w:rPr>
              <w:t>46.02%</w:t>
            </w:r>
          </w:p>
        </w:tc>
        <w:tc>
          <w:tcPr>
            <w:tcW w:type="dxa" w:w="2510"/>
          </w:tcPr>
          <w:p>
            <w:r>
              <w:rPr>
                <w:rFonts w:ascii="Times New Roman" w:hAnsi="Times New Roman" w:eastAsia="Times New Roman"/>
                <w:sz w:val="16"/>
              </w:rPr>
              <w:t>[46.02, 46.02]</w:t>
            </w:r>
          </w:p>
        </w:tc>
      </w:tr>
      <w:tr>
        <w:tc>
          <w:tcPr>
            <w:tcW w:type="dxa" w:w="2510"/>
          </w:tcPr>
          <w:p>
            <w:r>
              <w:rPr>
                <w:rFonts w:ascii="Times New Roman" w:hAnsi="Times New Roman" w:eastAsia="Times New Roman"/>
                <w:sz w:val="16"/>
              </w:rPr>
              <w:t>B2</w:t>
            </w:r>
          </w:p>
        </w:tc>
        <w:tc>
          <w:tcPr>
            <w:tcW w:type="dxa" w:w="2510"/>
          </w:tcPr>
          <w:p>
            <w:r>
              <w:rPr>
                <w:rFonts w:ascii="Times New Roman" w:hAnsi="Times New Roman" w:eastAsia="Times New Roman"/>
                <w:sz w:val="16"/>
              </w:rPr>
              <w:t>HEXACO 6-domain logistic</w:t>
            </w:r>
          </w:p>
        </w:tc>
        <w:tc>
          <w:tcPr>
            <w:tcW w:type="dxa" w:w="2510"/>
          </w:tcPr>
          <w:p>
            <w:r>
              <w:rPr>
                <w:rFonts w:ascii="Times New Roman" w:hAnsi="Times New Roman" w:eastAsia="Times New Roman"/>
                <w:sz w:val="16"/>
              </w:rPr>
              <w:t>43.98%</w:t>
            </w:r>
          </w:p>
        </w:tc>
        <w:tc>
          <w:tcPr>
            <w:tcW w:type="dxa" w:w="2510"/>
          </w:tcPr>
          <w:p>
            <w:r>
              <w:rPr>
                <w:rFonts w:ascii="Times New Roman" w:hAnsi="Times New Roman" w:eastAsia="Times New Roman"/>
                <w:sz w:val="16"/>
              </w:rPr>
              <w:t>[40.33, 47.35]</w:t>
            </w:r>
          </w:p>
        </w:tc>
      </w:tr>
      <w:tr>
        <w:tc>
          <w:tcPr>
            <w:tcW w:type="dxa" w:w="2510"/>
          </w:tcPr>
          <w:p>
            <w:r>
              <w:rPr>
                <w:rFonts w:ascii="Times New Roman" w:hAnsi="Times New Roman" w:eastAsia="Times New Roman"/>
                <w:sz w:val="16"/>
              </w:rPr>
              <w:t>B3</w:t>
            </w:r>
          </w:p>
        </w:tc>
        <w:tc>
          <w:tcPr>
            <w:tcW w:type="dxa" w:w="2510"/>
          </w:tcPr>
          <w:p>
            <w:r>
              <w:rPr>
                <w:rFonts w:ascii="Times New Roman" w:hAnsi="Times New Roman" w:eastAsia="Times New Roman"/>
                <w:sz w:val="16"/>
              </w:rPr>
              <w:t>14-cell conditional</w:t>
            </w:r>
          </w:p>
        </w:tc>
        <w:tc>
          <w:tcPr>
            <w:tcW w:type="dxa" w:w="2510"/>
          </w:tcPr>
          <w:p>
            <w:r>
              <w:rPr>
                <w:rFonts w:ascii="Times New Roman" w:hAnsi="Times New Roman" w:eastAsia="Times New Roman"/>
                <w:sz w:val="16"/>
              </w:rPr>
              <w:t>46.34%</w:t>
            </w:r>
          </w:p>
        </w:tc>
        <w:tc>
          <w:tcPr>
            <w:tcW w:type="dxa" w:w="2510"/>
          </w:tcPr>
          <w:p>
            <w:r>
              <w:rPr>
                <w:rFonts w:ascii="Times New Roman" w:hAnsi="Times New Roman" w:eastAsia="Times New Roman"/>
                <w:sz w:val="16"/>
              </w:rPr>
              <w:t>[46.34, 46.34]</w:t>
            </w:r>
          </w:p>
        </w:tc>
      </w:tr>
      <w:tr>
        <w:tc>
          <w:tcPr>
            <w:tcW w:type="dxa" w:w="2510"/>
          </w:tcPr>
          <w:p>
            <w:r>
              <w:rPr>
                <w:rFonts w:ascii="Times New Roman" w:hAnsi="Times New Roman" w:eastAsia="Times New Roman"/>
                <w:sz w:val="16"/>
              </w:rPr>
              <w:t>B4</w:t>
            </w:r>
          </w:p>
        </w:tc>
        <w:tc>
          <w:tcPr>
            <w:tcW w:type="dxa" w:w="2510"/>
          </w:tcPr>
          <w:p>
            <w:r>
              <w:rPr>
                <w:rFonts w:ascii="Times New Roman" w:hAnsi="Times New Roman" w:eastAsia="Times New Roman"/>
                <w:sz w:val="16"/>
              </w:rPr>
              <w:t>Extended (age + age × cluster)</w:t>
            </w:r>
          </w:p>
        </w:tc>
        <w:tc>
          <w:tcPr>
            <w:tcW w:type="dxa" w:w="2510"/>
          </w:tcPr>
          <w:p>
            <w:r>
              <w:rPr>
                <w:rFonts w:ascii="Times New Roman" w:hAnsi="Times New Roman" w:eastAsia="Times New Roman"/>
                <w:sz w:val="16"/>
              </w:rPr>
              <w:t>47.04%</w:t>
            </w:r>
          </w:p>
        </w:tc>
        <w:tc>
          <w:tcPr>
            <w:tcW w:type="dxa" w:w="2510"/>
          </w:tcPr>
          <w:p>
            <w:r>
              <w:rPr>
                <w:rFonts w:ascii="Times New Roman" w:hAnsi="Times New Roman" w:eastAsia="Times New Roman"/>
                <w:sz w:val="16"/>
              </w:rPr>
              <w:t>[45.02, 49.05]</w:t>
            </w:r>
          </w:p>
        </w:tc>
      </w:tr>
    </w:tbl>
    <w:p>
      <w:pPr>
        <w:spacing w:line="240" w:lineRule="auto" w:before="0" w:after="0"/>
        <w:ind w:firstLine="180"/>
        <w:jc w:val="both"/>
      </w:pPr>
      <w:r>
        <w:rPr>
          <w:rFonts w:ascii="Times New Roman" w:hAnsi="Times New Roman" w:eastAsia="Times New Roman"/>
          <w:sz w:val="20"/>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240" w:lineRule="auto" w:before="0" w:after="0"/>
        <w:ind w:firstLine="180"/>
        <w:jc w:val="both"/>
      </w:pPr>
      <w:r>
        <w:rPr>
          <w:rFonts w:ascii="Times New Roman" w:hAnsi="Times New Roman" w:eastAsia="Times New Roman"/>
          <w:sz w:val="20"/>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240" w:lineRule="auto" w:before="120" w:after="40"/>
      </w:pPr>
      <w:r>
        <w:rPr>
          <w:rFonts w:ascii="Times New Roman" w:hAnsi="Times New Roman" w:eastAsia="Times New Roman"/>
          <w:b/>
          <w:sz w:val="18"/>
        </w:rPr>
        <w:t>COMMON-METHOD-VARIANCE DIAGNOSTIC (STAGE 5)</w:t>
      </w:r>
    </w:p>
    <w:p>
      <w:pPr>
        <w:spacing w:line="240" w:lineRule="auto" w:before="0" w:after="0"/>
        <w:ind w:firstLine="180"/>
        <w:jc w:val="both"/>
      </w:pPr>
      <w:r>
        <w:rPr>
          <w:rFonts w:ascii="Times New Roman" w:hAnsi="Times New Roman" w:eastAsia="Times New Roman"/>
          <w:sz w:val="20"/>
        </w:rPr>
        <w:t>Harman's single-factor test on 11 standardized variables (6 HEXACO + 3 Dark Triad + 2 harassment continuous scales; N = 353 used after listwise deletion) yielded:</w:t>
      </w:r>
    </w:p>
    <w:p>
      <w:pPr>
        <w:pStyle w:val="ListBullet"/>
        <w:spacing w:line="240" w:lineRule="auto" w:before="0" w:after="0"/>
        <w:jc w:val="both"/>
      </w:pPr>
      <w:r>
        <w:rPr>
          <w:rFonts w:ascii="Times New Roman" w:hAnsi="Times New Roman" w:eastAsia="Times New Roman"/>
          <w:sz w:val="20"/>
        </w:rPr>
        <w:t>First-factor variance: 24.08% (well below the 50% concern threshold);</w:t>
      </w:r>
    </w:p>
    <w:p>
      <w:pPr>
        <w:pStyle w:val="ListBullet"/>
        <w:spacing w:line="240" w:lineRule="auto" w:before="0" w:after="0"/>
        <w:jc w:val="both"/>
      </w:pPr>
      <w:r>
        <w:rPr>
          <w:rFonts w:ascii="Times New Roman" w:hAnsi="Times New Roman" w:eastAsia="Times New Roman"/>
          <w:sz w:val="20"/>
        </w:rPr>
        <w:t>CMV concern flag: False;</w:t>
      </w:r>
    </w:p>
    <w:p>
      <w:pPr>
        <w:pStyle w:val="ListBullet"/>
        <w:spacing w:line="240" w:lineRule="auto" w:before="0" w:after="0"/>
        <w:jc w:val="both"/>
      </w:pPr>
      <w:r>
        <w:rPr>
          <w:rFonts w:ascii="Times New Roman" w:hAnsi="Times New Roman" w:eastAsia="Times New Roman"/>
          <w:sz w:val="20"/>
        </w:rPr>
        <w:t>Marker-variable correction [31] using HEXACO Openness as theoretical marker:</w:t>
      </w:r>
    </w:p>
    <w:p>
      <w:pPr>
        <w:pStyle w:val="ListBullet"/>
        <w:spacing w:line="240" w:lineRule="auto" w:before="0" w:after="0"/>
        <w:jc w:val="both"/>
      </w:pPr>
      <w:r>
        <w:rPr>
          <w:rFonts w:ascii="Times New Roman" w:hAnsi="Times New Roman" w:eastAsia="Times New Roman"/>
          <w:sz w:val="20"/>
        </w:rPr>
        <w:t>r(O, power harassment) = +0.068 (CMV estimate);</w:t>
      </w:r>
    </w:p>
    <w:p>
      <w:pPr>
        <w:pStyle w:val="ListBullet"/>
        <w:spacing w:line="240" w:lineRule="auto" w:before="0" w:after="0"/>
        <w:jc w:val="both"/>
      </w:pPr>
      <w:r>
        <w:rPr>
          <w:rFonts w:ascii="Times New Roman" w:hAnsi="Times New Roman" w:eastAsia="Times New Roman"/>
          <w:sz w:val="20"/>
        </w:rPr>
        <w:t>r(O, gender harassment) = −0.181;</w:t>
      </w:r>
    </w:p>
    <w:p>
      <w:pPr>
        <w:pStyle w:val="ListBullet"/>
        <w:spacing w:line="240" w:lineRule="auto" w:before="0" w:after="0"/>
        <w:jc w:val="both"/>
      </w:pPr>
      <w:r>
        <w:rPr>
          <w:rFonts w:ascii="Times New Roman" w:hAnsi="Times New Roman" w:eastAsia="Times New Roman"/>
          <w:sz w:val="20"/>
        </w:rPr>
        <w:t>Honesty-Humility–power harassment association: r_raw = −0.265 → r_adjusted = −0.356 (slightly strengthened after CMV correction);</w:t>
      </w:r>
    </w:p>
    <w:p>
      <w:pPr>
        <w:pStyle w:val="ListBullet"/>
        <w:spacing w:line="240" w:lineRule="auto" w:before="0" w:after="0"/>
        <w:jc w:val="both"/>
      </w:pPr>
      <w:r>
        <w:rPr>
          <w:rFonts w:ascii="Times New Roman" w:hAnsi="Times New Roman" w:eastAsia="Times New Roman"/>
          <w:sz w:val="20"/>
        </w:rPr>
        <w:t>Psychopathy–power harassment association: r_raw = +0.391 → r_adjusted = +0.347.</w:t>
      </w:r>
    </w:p>
    <w:p>
      <w:pPr>
        <w:spacing w:line="240" w:lineRule="auto" w:before="0" w:after="0"/>
        <w:ind w:firstLine="180"/>
        <w:jc w:val="both"/>
      </w:pPr>
      <w:r>
        <w:rPr>
          <w:rFonts w:ascii="Times New Roman" w:hAnsi="Times New Roman" w:eastAsia="Times New Roman"/>
          <w:sz w:val="20"/>
        </w:rPr>
        <w:t>Common-method bias does not pose substantial concern for the present data, and the post-correction associations remain in the expected directions.</w:t>
      </w:r>
    </w:p>
    <w:p>
      <w:pPr>
        <w:spacing w:line="240" w:lineRule="auto" w:before="120" w:after="40"/>
      </w:pPr>
      <w:r>
        <w:rPr>
          <w:rFonts w:ascii="Times New Roman" w:hAnsi="Times New Roman" w:eastAsia="Times New Roman"/>
          <w:b/>
          <w:sz w:val="18"/>
        </w:rPr>
        <w:t>COUNTERFACTUAL CONTRASTS AND H7 IUT (STAGE 7)</w:t>
      </w:r>
    </w:p>
    <w:p>
      <w:pPr>
        <w:spacing w:line="240" w:lineRule="auto" w:before="0" w:after="0"/>
        <w:ind w:firstLine="180"/>
        <w:jc w:val="both"/>
      </w:pPr>
      <w:r>
        <w:rPr>
          <w:rFonts w:ascii="Times New Roman" w:hAnsi="Times New Roman" w:eastAsia="Times New Roman"/>
          <w:sz w:val="20"/>
        </w:rPr>
        <w:t>The three pre-registered counterfactual interventions produced the following ΔP_x estimates (Table 4).</w:t>
      </w:r>
    </w:p>
    <w:p>
      <w:pPr>
        <w:spacing w:line="240" w:lineRule="auto" w:before="0" w:after="0"/>
        <w:ind w:firstLine="180"/>
        <w:jc w:val="both"/>
      </w:pPr>
      <w:r>
        <w:rPr>
          <w:rFonts w:ascii="Times New Roman" w:hAnsi="Times New Roman" w:eastAsia="Times New Roman"/>
          <w:sz w:val="20"/>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Intervention</w:t>
            </w:r>
          </w:p>
        </w:tc>
        <w:tc>
          <w:tcPr>
            <w:tcW w:type="dxa" w:w="2008"/>
          </w:tcPr>
          <w:p>
            <w:r>
              <w:rPr>
                <w:rFonts w:ascii="Times New Roman" w:hAnsi="Times New Roman" w:eastAsia="Times New Roman"/>
                <w:b/>
                <w:sz w:val="16"/>
              </w:rPr>
              <w:t>Operationalization</w:t>
            </w:r>
          </w:p>
        </w:tc>
        <w:tc>
          <w:tcPr>
            <w:tcW w:type="dxa" w:w="2008"/>
          </w:tcPr>
          <w:p>
            <w:r>
              <w:rPr>
                <w:rFonts w:ascii="Times New Roman" w:hAnsi="Times New Roman" w:eastAsia="Times New Roman"/>
                <w:b/>
                <w:sz w:val="16"/>
              </w:rPr>
              <w:t>ΔP point</w:t>
            </w:r>
          </w:p>
        </w:tc>
        <w:tc>
          <w:tcPr>
            <w:tcW w:type="dxa" w:w="2008"/>
          </w:tcPr>
          <w:p>
            <w:r>
              <w:rPr>
                <w:rFonts w:ascii="Times New Roman" w:hAnsi="Times New Roman" w:eastAsia="Times New Roman"/>
                <w:b/>
                <w:sz w:val="16"/>
              </w:rPr>
              <w:t>95% CI</w:t>
            </w:r>
          </w:p>
        </w:tc>
        <w:tc>
          <w:tcPr>
            <w:tcW w:type="dxa" w:w="2008"/>
          </w:tcPr>
          <w:p>
            <w:r>
              <w:rPr>
                <w:rFonts w:ascii="Times New Roman" w:hAnsi="Times New Roman" w:eastAsia="Times New Roman"/>
                <w:b/>
                <w:sz w:val="16"/>
              </w:rPr>
              <w:t>Decision (CI excludes 0?)</w:t>
            </w:r>
          </w:p>
        </w:tc>
      </w:tr>
      <w:tr>
        <w:tc>
          <w:tcPr>
            <w:tcW w:type="dxa" w:w="2008"/>
          </w:tcPr>
          <w:p>
            <w:r>
              <w:rPr>
                <w:rFonts w:ascii="Times New Roman" w:hAnsi="Times New Roman" w:eastAsia="Times New Roman"/>
                <w:sz w:val="16"/>
              </w:rPr>
              <w:t>Counterfactual A</w:t>
            </w:r>
          </w:p>
        </w:tc>
        <w:tc>
          <w:tcPr>
            <w:tcW w:type="dxa" w:w="2008"/>
          </w:tcPr>
          <w:p>
            <w:r>
              <w:rPr>
                <w:rFonts w:ascii="Times New Roman" w:hAnsi="Times New Roman" w:eastAsia="Times New Roman"/>
                <w:sz w:val="16"/>
              </w:rPr>
              <w:t>do(HH ← HH + 0.3σ; A ← A + 0.3σ; E ← E + 0.3σ)</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[−0.0207, +0.0062]</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B</w:t>
            </w:r>
          </w:p>
        </w:tc>
        <w:tc>
          <w:tcPr>
            <w:tcW w:type="dxa" w:w="2008"/>
          </w:tcPr>
          <w:p>
            <w:r>
              <w:rPr>
                <w:rFonts w:ascii="Times New Roman" w:hAnsi="Times New Roman" w:eastAsia="Times New Roman"/>
                <w:sz w:val="16"/>
              </w:rPr>
              <w:t>do(HH := HH + 0.40σ_HH) for individuals whose baseline cluster ∈ {0, 4, 6}</w:t>
            </w:r>
          </w:p>
        </w:tc>
        <w:tc>
          <w:tcPr>
            <w:tcW w:type="dxa" w:w="2008"/>
          </w:tcPr>
          <w:p>
            <w:r>
              <w:rPr>
                <w:rFonts w:ascii="Times New Roman" w:hAnsi="Times New Roman" w:eastAsia="Times New Roman"/>
                <w:sz w:val="16"/>
              </w:rPr>
              <w:t>−0.0059</w:t>
            </w:r>
          </w:p>
        </w:tc>
        <w:tc>
          <w:tcPr>
            <w:tcW w:type="dxa" w:w="2008"/>
          </w:tcPr>
          <w:p>
            <w:r>
              <w:rPr>
                <w:rFonts w:ascii="Times New Roman" w:hAnsi="Times New Roman" w:eastAsia="Times New Roman"/>
                <w:sz w:val="16"/>
              </w:rPr>
              <w:t>[−0.0207, +0.0066]</w:t>
            </w:r>
          </w:p>
        </w:tc>
        <w:tc>
          <w:tcPr>
            <w:tcW w:type="dxa" w:w="2008"/>
          </w:tcPr>
          <w:p>
            <w:r>
              <w:rPr>
                <w:rFonts w:ascii="Times New Roman" w:hAnsi="Times New Roman" w:eastAsia="Times New Roman"/>
                <w:sz w:val="16"/>
              </w:rPr>
              <w:t>No (null)</w:t>
            </w:r>
          </w:p>
        </w:tc>
      </w:tr>
      <w:tr>
        <w:tc>
          <w:tcPr>
            <w:tcW w:type="dxa" w:w="2008"/>
          </w:tcPr>
          <w:p>
            <w:r>
              <w:rPr>
                <w:rFonts w:ascii="Times New Roman" w:hAnsi="Times New Roman" w:eastAsia="Times New Roman"/>
                <w:sz w:val="16"/>
              </w:rPr>
              <w:t>Counterfactual C</w:t>
            </w:r>
          </w:p>
        </w:tc>
        <w:tc>
          <w:tcPr>
            <w:tcW w:type="dxa" w:w="2008"/>
          </w:tcPr>
          <w:p>
            <w:r>
              <w:rPr>
                <w:rFonts w:ascii="Times New Roman" w:hAnsi="Times New Roman" w:eastAsia="Times New Roman"/>
                <w:sz w:val="16"/>
              </w:rPr>
              <w:t>do(P_{c, x} ← 0.80 × P_{c, x})</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[+0.0264, +0.0435]</w:t>
            </w:r>
          </w:p>
        </w:tc>
        <w:tc>
          <w:tcPr>
            <w:tcW w:type="dxa" w:w="2008"/>
          </w:tcPr>
          <w:p>
            <w:r>
              <w:rPr>
                <w:rFonts w:ascii="Times New Roman" w:hAnsi="Times New Roman" w:eastAsia="Times New Roman"/>
                <w:sz w:val="16"/>
              </w:rPr>
              <w:t>Yes (positive)</w:t>
            </w:r>
          </w:p>
        </w:tc>
      </w:tr>
    </w:tbl>
    <w:p>
      <w:pPr>
        <w:spacing w:line="240" w:lineRule="auto" w:before="0" w:after="0"/>
        <w:ind w:firstLine="180"/>
        <w:jc w:val="both"/>
      </w:pPr>
      <w:r>
        <w:rPr>
          <w:rFonts w:ascii="Times New Roman" w:hAnsi="Times New Roman" w:eastAsia="Times New Roman"/>
          <w:sz w:val="20"/>
        </w:rPr>
        <w:t>The intersection-union test [30] produced one-sided 95% lower bounds L_BA = −0.0011 and L_BC = −0.0544. Because point ΔP_B = −0.0059 is less than point ΔP_C = +0.0349, the m7 priority-1 condition is satisfied and H7 is classified as REVERSAL (consistent with L_BC &lt; 0 in the CI-based cascade; L_BA also lies just below zero, ruling out the CONFIRMED branch).</w:t>
      </w:r>
    </w:p>
    <w:p>
      <w:pPr>
        <w:spacing w:line="240" w:lineRule="auto" w:before="0" w:after="0"/>
        <w:ind w:firstLine="180"/>
        <w:jc w:val="both"/>
      </w:pPr>
      <w:r>
        <w:rPr>
          <w:rFonts w:ascii="Times New Roman" w:hAnsi="Times New Roman" w:eastAsia="Times New Roman"/>
          <w:sz w:val="20"/>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240" w:lineRule="auto" w:before="0" w:after="0"/>
        <w:ind w:firstLine="180"/>
        <w:jc w:val="both"/>
      </w:pPr>
      <w:r>
        <w:rPr>
          <w:rFonts w:ascii="Times New Roman" w:hAnsi="Times New Roman" w:eastAsia="Times New Roman"/>
          <w:sz w:val="20"/>
        </w:rPr>
        <w:t>Positivity diagnostic. Counterfactual A and Counterfactual C trivially preserve positivity (ρ ≡ 1 by construction; per Methods Clarification m5). Counterfactual B's cell positivity ratio ρ_{c, B} was 44.5% flagged (i.e., 44.5%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240" w:lineRule="auto" w:before="120" w:after="40"/>
      </w:pPr>
      <w:r>
        <w:rPr>
          <w:rFonts w:ascii="Times New Roman" w:hAnsi="Times New Roman" w:eastAsia="Times New Roman"/>
          <w:b/>
          <w:sz w:val="18"/>
        </w:rPr>
        <w:t>TRANSPORTABILITY SENSITIVITY (STAGE 8)</w:t>
      </w:r>
    </w:p>
    <w:p>
      <w:pPr>
        <w:spacing w:line="240" w:lineRule="auto" w:before="0" w:after="0"/>
        <w:ind w:firstLine="180"/>
        <w:jc w:val="both"/>
      </w:pPr>
      <w:r>
        <w:rPr>
          <w:rFonts w:ascii="Times New Roman" w:hAnsi="Times New Roman" w:eastAsia="Times New Roman"/>
          <w:sz w:val="20"/>
        </w:rPr>
        <w:t>Per the v2.0 master Section 5.8 cultural-attenuation sweep, all three ΔP_x bootstrap distributions were multiplied by transportability factor F ∈ {0.3, 0.5, 0.7, 1.0}, and the H7 IUT was re-classified per factor (Table 5).</w:t>
      </w:r>
    </w:p>
    <w:p>
      <w:pPr>
        <w:spacing w:line="240" w:lineRule="auto" w:before="0" w:after="0"/>
        <w:ind w:firstLine="180"/>
        <w:jc w:val="both"/>
      </w:pPr>
      <w:r>
        <w:rPr>
          <w:rFonts w:ascii="Times New Roman" w:hAnsi="Times New Roman" w:eastAsia="Times New Roman"/>
          <w:sz w:val="20"/>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2008"/>
        <w:gridCol w:w="2008"/>
        <w:gridCol w:w="2008"/>
        <w:gridCol w:w="2008"/>
        <w:gridCol w:w="2008"/>
      </w:tblGrid>
      <w:tr>
        <w:tc>
          <w:tcPr>
            <w:tcW w:type="dxa" w:w="2008"/>
          </w:tcPr>
          <w:p>
            <w:r>
              <w:rPr>
                <w:rFonts w:ascii="Times New Roman" w:hAnsi="Times New Roman" w:eastAsia="Times New Roman"/>
                <w:b/>
                <w:sz w:val="16"/>
              </w:rPr>
              <w:t>Factor F</w:t>
            </w:r>
          </w:p>
        </w:tc>
        <w:tc>
          <w:tcPr>
            <w:tcW w:type="dxa" w:w="2008"/>
          </w:tcPr>
          <w:p>
            <w:r>
              <w:rPr>
                <w:rFonts w:ascii="Times New Roman" w:hAnsi="Times New Roman" w:eastAsia="Times New Roman"/>
                <w:b/>
                <w:sz w:val="16"/>
              </w:rPr>
              <w:t>Anchor</w:t>
            </w:r>
          </w:p>
        </w:tc>
        <w:tc>
          <w:tcPr>
            <w:tcW w:type="dxa" w:w="2008"/>
          </w:tcPr>
          <w:p>
            <w:r>
              <w:rPr>
                <w:rFonts w:ascii="Times New Roman" w:hAnsi="Times New Roman" w:eastAsia="Times New Roman"/>
                <w:b/>
                <w:sz w:val="16"/>
              </w:rPr>
              <w:t>ΔP_A (attenuated)</w:t>
            </w:r>
          </w:p>
        </w:tc>
        <w:tc>
          <w:tcPr>
            <w:tcW w:type="dxa" w:w="2008"/>
          </w:tcPr>
          <w:p>
            <w:r>
              <w:rPr>
                <w:rFonts w:ascii="Times New Roman" w:hAnsi="Times New Roman" w:eastAsia="Times New Roman"/>
                <w:b/>
                <w:sz w:val="16"/>
              </w:rPr>
              <w:t>ΔP_C (attenuated)</w:t>
            </w:r>
          </w:p>
        </w:tc>
        <w:tc>
          <w:tcPr>
            <w:tcW w:type="dxa" w:w="2008"/>
          </w:tcPr>
          <w:p>
            <w:r>
              <w:rPr>
                <w:rFonts w:ascii="Times New Roman" w:hAnsi="Times New Roman" w:eastAsia="Times New Roman"/>
                <w:b/>
                <w:sz w:val="16"/>
              </w:rPr>
              <w:t>H7</w:t>
            </w:r>
          </w:p>
        </w:tc>
      </w:tr>
      <w:tr>
        <w:tc>
          <w:tcPr>
            <w:tcW w:type="dxa" w:w="2008"/>
          </w:tcPr>
          <w:p>
            <w:r>
              <w:rPr>
                <w:rFonts w:ascii="Times New Roman" w:hAnsi="Times New Roman" w:eastAsia="Times New Roman"/>
                <w:sz w:val="16"/>
              </w:rPr>
              <w:t>0.3</w:t>
            </w:r>
          </w:p>
        </w:tc>
        <w:tc>
          <w:tcPr>
            <w:tcW w:type="dxa" w:w="2008"/>
          </w:tcPr>
          <w:p>
            <w:r>
              <w:rPr>
                <w:rFonts w:ascii="Times New Roman" w:hAnsi="Times New Roman" w:eastAsia="Times New Roman"/>
                <w:sz w:val="16"/>
              </w:rPr>
              <w:t>Conservative cross-cultural worst case</w:t>
            </w:r>
          </w:p>
        </w:tc>
        <w:tc>
          <w:tcPr>
            <w:tcW w:type="dxa" w:w="2008"/>
          </w:tcPr>
          <w:p>
            <w:r>
              <w:rPr>
                <w:rFonts w:ascii="Times New Roman" w:hAnsi="Times New Roman" w:eastAsia="Times New Roman"/>
                <w:sz w:val="16"/>
              </w:rPr>
              <w:t>−0.0018</w:t>
            </w:r>
          </w:p>
        </w:tc>
        <w:tc>
          <w:tcPr>
            <w:tcW w:type="dxa" w:w="2008"/>
          </w:tcPr>
          <w:p>
            <w:r>
              <w:rPr>
                <w:rFonts w:ascii="Times New Roman" w:hAnsi="Times New Roman" w:eastAsia="Times New Roman"/>
                <w:sz w:val="16"/>
              </w:rPr>
              <w:t>+0.0105</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0.5</w:t>
            </w:r>
          </w:p>
        </w:tc>
        <w:tc>
          <w:tcPr>
            <w:tcW w:type="dxa" w:w="2008"/>
          </w:tcPr>
          <w:p>
            <w:r>
              <w:rPr>
                <w:rFonts w:ascii="Times New Roman" w:hAnsi="Times New Roman" w:eastAsia="Times New Roman"/>
                <w:sz w:val="16"/>
              </w:rPr>
              <w:t>Nielsen et al., 2017 expected</w:t>
            </w:r>
          </w:p>
        </w:tc>
        <w:tc>
          <w:tcPr>
            <w:tcW w:type="dxa" w:w="2008"/>
          </w:tcPr>
          <w:p>
            <w:r>
              <w:rPr>
                <w:rFonts w:ascii="Times New Roman" w:hAnsi="Times New Roman" w:eastAsia="Times New Roman"/>
                <w:sz w:val="16"/>
              </w:rPr>
              <w:t>−0.0031</w:t>
            </w:r>
          </w:p>
        </w:tc>
        <w:tc>
          <w:tcPr>
            <w:tcW w:type="dxa" w:w="2008"/>
          </w:tcPr>
          <w:p>
            <w:r>
              <w:rPr>
                <w:rFonts w:ascii="Times New Roman" w:hAnsi="Times New Roman" w:eastAsia="Times New Roman"/>
                <w:sz w:val="16"/>
              </w:rPr>
              <w:t>+0.0174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0.7</w:t>
            </w:r>
          </w:p>
        </w:tc>
        <w:tc>
          <w:tcPr>
            <w:tcW w:type="dxa" w:w="2008"/>
          </w:tcPr>
          <w:p>
            <w:r>
              <w:rPr>
                <w:rFonts w:ascii="Times New Roman" w:hAnsi="Times New Roman" w:eastAsia="Times New Roman"/>
                <w:sz w:val="16"/>
              </w:rPr>
              <w:t>Mild attenuation</w:t>
            </w:r>
          </w:p>
        </w:tc>
        <w:tc>
          <w:tcPr>
            <w:tcW w:type="dxa" w:w="2008"/>
          </w:tcPr>
          <w:p>
            <w:r>
              <w:rPr>
                <w:rFonts w:ascii="Times New Roman" w:hAnsi="Times New Roman" w:eastAsia="Times New Roman"/>
                <w:sz w:val="16"/>
              </w:rPr>
              <w:t>−0.0043</w:t>
            </w:r>
          </w:p>
        </w:tc>
        <w:tc>
          <w:tcPr>
            <w:tcW w:type="dxa" w:w="2008"/>
          </w:tcPr>
          <w:p>
            <w:r>
              <w:rPr>
                <w:rFonts w:ascii="Times New Roman" w:hAnsi="Times New Roman" w:eastAsia="Times New Roman"/>
                <w:sz w:val="16"/>
              </w:rPr>
              <w:t>+0.0244</w:t>
            </w:r>
          </w:p>
        </w:tc>
        <w:tc>
          <w:tcPr>
            <w:tcW w:type="dxa" w:w="2008"/>
          </w:tcPr>
          <w:p>
            <w:r>
              <w:rPr>
                <w:rFonts w:ascii="Times New Roman" w:hAnsi="Times New Roman" w:eastAsia="Times New Roman"/>
                <w:sz w:val="16"/>
              </w:rPr>
              <w:t>REVERSAL</w:t>
            </w:r>
          </w:p>
        </w:tc>
      </w:tr>
      <w:tr>
        <w:tc>
          <w:tcPr>
            <w:tcW w:type="dxa" w:w="2008"/>
          </w:tcPr>
          <w:p>
            <w:r>
              <w:rPr>
                <w:rFonts w:ascii="Times New Roman" w:hAnsi="Times New Roman" w:eastAsia="Times New Roman"/>
                <w:sz w:val="16"/>
              </w:rPr>
              <w:t>1.0</w:t>
            </w:r>
          </w:p>
        </w:tc>
        <w:tc>
          <w:tcPr>
            <w:tcW w:type="dxa" w:w="2008"/>
          </w:tcPr>
          <w:p>
            <w:r>
              <w:rPr>
                <w:rFonts w:ascii="Times New Roman" w:hAnsi="Times New Roman" w:eastAsia="Times New Roman"/>
                <w:sz w:val="16"/>
              </w:rPr>
              <w:t>Reference (no attenuation)</w:t>
            </w:r>
          </w:p>
        </w:tc>
        <w:tc>
          <w:tcPr>
            <w:tcW w:type="dxa" w:w="2008"/>
          </w:tcPr>
          <w:p>
            <w:r>
              <w:rPr>
                <w:rFonts w:ascii="Times New Roman" w:hAnsi="Times New Roman" w:eastAsia="Times New Roman"/>
                <w:sz w:val="16"/>
              </w:rPr>
              <w:t>−0.0061</w:t>
            </w:r>
          </w:p>
        </w:tc>
        <w:tc>
          <w:tcPr>
            <w:tcW w:type="dxa" w:w="2008"/>
          </w:tcPr>
          <w:p>
            <w:r>
              <w:rPr>
                <w:rFonts w:ascii="Times New Roman" w:hAnsi="Times New Roman" w:eastAsia="Times New Roman"/>
                <w:sz w:val="16"/>
              </w:rPr>
              <w:t>+0.0349</w:t>
            </w:r>
          </w:p>
        </w:tc>
        <w:tc>
          <w:tcPr>
            <w:tcW w:type="dxa" w:w="2008"/>
          </w:tcPr>
          <w:p>
            <w:r>
              <w:rPr>
                <w:rFonts w:ascii="Times New Roman" w:hAnsi="Times New Roman" w:eastAsia="Times New Roman"/>
                <w:sz w:val="16"/>
              </w:rPr>
              <w:t>REVERSAL</w:t>
            </w:r>
          </w:p>
        </w:tc>
      </w:tr>
    </w:tbl>
    <w:p>
      <w:pPr>
        <w:spacing w:line="240" w:lineRule="auto" w:before="0" w:after="0"/>
        <w:ind w:firstLine="180"/>
        <w:jc w:val="both"/>
      </w:pPr>
      <w:r>
        <w:rPr>
          <w:rFonts w:ascii="Times New Roman" w:hAnsi="Times New Roman" w:eastAsia="Times New Roman"/>
          <w:sz w:val="20"/>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240" w:lineRule="auto" w:before="120" w:after="40"/>
      </w:pPr>
      <w:r>
        <w:rPr>
          <w:rFonts w:ascii="Times New Roman" w:hAnsi="Times New Roman" w:eastAsia="Times New Roman"/>
          <w:b/>
          <w:sz w:val="18"/>
        </w:rPr>
        <w:t>SUMMARY OF PRE-REGISTERED HYPOTHESIS OUTCOMES</w:t>
      </w:r>
    </w:p>
    <w:p>
      <w:pPr>
        <w:spacing w:line="240" w:lineRule="auto" w:before="0" w:after="0"/>
        <w:ind w:firstLine="180"/>
        <w:jc w:val="both"/>
      </w:pPr>
      <w:r>
        <w:rPr>
          <w:rFonts w:ascii="Times New Roman" w:hAnsi="Times New Roman" w:eastAsia="Times New Roman"/>
          <w:sz w:val="20"/>
        </w:rPr>
        <w:t>Table 6. Pre-registered hypothesis outcomes summary.</w:t>
      </w:r>
    </w:p>
    <w:tbl>
      <w:tblPr>
        <w:tblW w:type="auto" w:w="0"/>
        <w:tblLook w:firstColumn="1" w:firstRow="1" w:lastColumn="0" w:lastRow="0" w:noHBand="0" w:noVBand="1" w:val="04A0"/>
      </w:tblPr>
      <w:tblGrid>
        <w:gridCol w:w="2510"/>
        <w:gridCol w:w="2510"/>
        <w:gridCol w:w="2510"/>
        <w:gridCol w:w="2510"/>
      </w:tblGrid>
      <w:tr>
        <w:tc>
          <w:tcPr>
            <w:tcW w:type="dxa" w:w="2510"/>
          </w:tcPr>
          <w:p>
            <w:r>
              <w:rPr>
                <w:rFonts w:ascii="Times New Roman" w:hAnsi="Times New Roman" w:eastAsia="Times New Roman"/>
                <w:b/>
                <w:sz w:val="16"/>
              </w:rPr>
              <w:t>Hypothesis</w:t>
            </w:r>
          </w:p>
        </w:tc>
        <w:tc>
          <w:tcPr>
            <w:tcW w:type="dxa" w:w="2510"/>
          </w:tcPr>
          <w:p>
            <w:r>
              <w:rPr>
                <w:rFonts w:ascii="Times New Roman" w:hAnsi="Times New Roman" w:eastAsia="Times New Roman"/>
                <w:b/>
                <w:sz w:val="16"/>
              </w:rPr>
              <w:t>Pre-registered prediction</w:t>
            </w:r>
          </w:p>
        </w:tc>
        <w:tc>
          <w:tcPr>
            <w:tcW w:type="dxa" w:w="2510"/>
          </w:tcPr>
          <w:p>
            <w:r>
              <w:rPr>
                <w:rFonts w:ascii="Times New Roman" w:hAnsi="Times New Roman" w:eastAsia="Times New Roman"/>
                <w:b/>
                <w:sz w:val="16"/>
              </w:rPr>
              <w:t>Outcome</w:t>
            </w:r>
          </w:p>
        </w:tc>
        <w:tc>
          <w:tcPr>
            <w:tcW w:type="dxa" w:w="2510"/>
          </w:tcPr>
          <w:p>
            <w:r>
              <w:rPr>
                <w:rFonts w:ascii="Times New Roman" w:hAnsi="Times New Roman" w:eastAsia="Times New Roman"/>
                <w:b/>
                <w:sz w:val="16"/>
              </w:rPr>
              <w:t>Tier</w:t>
            </w:r>
          </w:p>
        </w:tc>
      </w:tr>
      <w:tr>
        <w:tc>
          <w:tcPr>
            <w:tcW w:type="dxa" w:w="2510"/>
          </w:tcPr>
          <w:p>
            <w:r>
              <w:rPr>
                <w:rFonts w:ascii="Times New Roman" w:hAnsi="Times New Roman" w:eastAsia="Times New Roman"/>
                <w:sz w:val="16"/>
              </w:rPr>
              <w:t>H1</w:t>
            </w:r>
          </w:p>
        </w:tc>
        <w:tc>
          <w:tcPr>
            <w:tcW w:type="dxa" w:w="2510"/>
          </w:tcPr>
          <w:p>
            <w:r>
              <w:rPr>
                <w:rFonts w:ascii="Times New Roman" w:hAnsi="Times New Roman" w:eastAsia="Times New Roman"/>
                <w:sz w:val="16"/>
              </w:rPr>
              <w:t>MAPE_FY2016 ≤ 30% (Strict / Standard SUCCESS)</w:t>
            </w:r>
          </w:p>
        </w:tc>
        <w:tc>
          <w:tcPr>
            <w:tcW w:type="dxa" w:w="2510"/>
          </w:tcPr>
          <w:p>
            <w:r>
              <w:rPr>
                <w:rFonts w:ascii="Times New Roman" w:hAnsi="Times New Roman" w:eastAsia="Times New Roman"/>
                <w:sz w:val="16"/>
              </w:rPr>
              <w:t>MAPE = 46.34%</w:t>
            </w:r>
          </w:p>
        </w:tc>
        <w:tc>
          <w:tcPr>
            <w:tcW w:type="dxa" w:w="2510"/>
          </w:tcPr>
          <w:p>
            <w:r>
              <w:rPr>
                <w:rFonts w:ascii="Times New Roman" w:hAnsi="Times New Roman" w:eastAsia="Times New Roman"/>
                <w:sz w:val="16"/>
              </w:rPr>
              <w:t>PARTIAL SUCCESS</w:t>
            </w:r>
          </w:p>
        </w:tc>
      </w:tr>
      <w:tr>
        <w:tc>
          <w:tcPr>
            <w:tcW w:type="dxa" w:w="2510"/>
          </w:tcPr>
          <w:p>
            <w:r>
              <w:rPr>
                <w:rFonts w:ascii="Times New Roman" w:hAnsi="Times New Roman" w:eastAsia="Times New Roman"/>
                <w:sz w:val="16"/>
              </w:rPr>
              <w:t>H2</w:t>
            </w:r>
          </w:p>
        </w:tc>
        <w:tc>
          <w:tcPr>
            <w:tcW w:type="dxa" w:w="2510"/>
          </w:tcPr>
          <w:p>
            <w:r>
              <w:rPr>
                <w:rFonts w:ascii="Times New Roman" w:hAnsi="Times New Roman" w:eastAsia="Times New Roman"/>
                <w:sz w:val="16"/>
              </w:rPr>
              <w:t>Monotonic B0 &gt; B1 &gt; B2 &gt; B3 &gt; B4</w:t>
            </w:r>
          </w:p>
        </w:tc>
        <w:tc>
          <w:tcPr>
            <w:tcW w:type="dxa" w:w="2510"/>
          </w:tcPr>
          <w:p>
            <w:r>
              <w:rPr>
                <w:rFonts w:ascii="Times New Roman" w:hAnsi="Times New Roman" w:eastAsia="Times New Roman"/>
                <w:sz w:val="16"/>
              </w:rPr>
              <w:t>0 of 4 pairs confirmed (Page's L p = 0.976)</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H3</w:t>
            </w:r>
          </w:p>
        </w:tc>
        <w:tc>
          <w:tcPr>
            <w:tcW w:type="dxa" w:w="2510"/>
          </w:tcPr>
          <w:p>
            <w:r>
              <w:rPr>
                <w:rFonts w:ascii="Times New Roman" w:hAnsi="Times New Roman" w:eastAsia="Times New Roman"/>
                <w:sz w:val="16"/>
              </w:rPr>
              <w:t>Centroid concordance N=354 vs N=13,668</w:t>
            </w:r>
          </w:p>
        </w:tc>
        <w:tc>
          <w:tcPr>
            <w:tcW w:type="dxa" w:w="2510"/>
          </w:tcPr>
          <w:p>
            <w:r>
              <w:rPr>
                <w:rFonts w:ascii="Times New Roman" w:hAnsi="Times New Roman" w:eastAsia="Times New Roman"/>
                <w:sz w:val="16"/>
              </w:rPr>
              <w:t>(Reported in Tokiwa, 2026 IEEE Access)</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H4</w:t>
            </w:r>
          </w:p>
        </w:tc>
        <w:tc>
          <w:tcPr>
            <w:tcW w:type="dxa" w:w="2510"/>
          </w:tcPr>
          <w:p>
            <w:r>
              <w:rPr>
                <w:rFonts w:ascii="Times New Roman" w:hAnsi="Times New Roman" w:eastAsia="Times New Roman"/>
                <w:sz w:val="16"/>
              </w:rPr>
              <w:t>Per-cell propensity stability across bootstrap procedures</w:t>
            </w:r>
          </w:p>
        </w:tc>
        <w:tc>
          <w:tcPr>
            <w:tcW w:type="dxa" w:w="2510"/>
          </w:tcPr>
          <w:p>
            <w:r>
              <w:rPr>
                <w:rFonts w:ascii="Times New Roman" w:hAnsi="Times New Roman" w:eastAsia="Times New Roman"/>
                <w:sz w:val="16"/>
              </w:rPr>
              <w:t>13/14 cells resolved at BCa; 1 degenerate cell (X=0) at Clopper-Pearson per M4 cascade</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H5</w:t>
            </w:r>
          </w:p>
        </w:tc>
        <w:tc>
          <w:tcPr>
            <w:tcW w:type="dxa" w:w="2510"/>
          </w:tcPr>
          <w:p>
            <w:r>
              <w:rPr>
                <w:rFonts w:ascii="Times New Roman" w:hAnsi="Times New Roman" w:eastAsia="Times New Roman"/>
                <w:sz w:val="16"/>
              </w:rPr>
              <w:t>Gender invariance</w:t>
            </w:r>
          </w:p>
        </w:tc>
        <w:tc>
          <w:tcPr>
            <w:tcW w:type="dxa" w:w="2510"/>
          </w:tcPr>
          <w:p>
            <w:r>
              <w:rPr>
                <w:rFonts w:ascii="Times New Roman" w:hAnsi="Times New Roman" w:eastAsia="Times New Roman"/>
                <w:sz w:val="16"/>
              </w:rPr>
              <w:t>High concordance of cluster-level power-harassment rankings across genders (Spearman ρ = 0.87, p = 0.01 at 7-cluster level); 14-cell vs 28-cell sensitivity stable</w:t>
            </w:r>
          </w:p>
        </w:tc>
        <w:tc>
          <w:tcPr>
            <w:tcW w:type="dxa" w:w="2510"/>
          </w:tcPr>
          <w:p>
            <w:r>
              <w:rPr>
                <w:rFonts w:ascii="Times New Roman" w:hAnsi="Times New Roman" w:eastAsia="Times New Roman"/>
                <w:sz w:val="16"/>
              </w:rPr>
              <w:t>CONFIRMED</w:t>
            </w:r>
          </w:p>
        </w:tc>
      </w:tr>
      <w:tr>
        <w:tc>
          <w:tcPr>
            <w:tcW w:type="dxa" w:w="2510"/>
          </w:tcPr>
          <w:p>
            <w:r>
              <w:rPr>
                <w:rFonts w:ascii="Times New Roman" w:hAnsi="Times New Roman" w:eastAsia="Times New Roman"/>
                <w:sz w:val="16"/>
              </w:rPr>
              <w:t>H6</w:t>
            </w:r>
          </w:p>
        </w:tc>
        <w:tc>
          <w:tcPr>
            <w:tcW w:type="dxa" w:w="2510"/>
          </w:tcPr>
          <w:p>
            <w:r>
              <w:rPr>
                <w:rFonts w:ascii="Times New Roman" w:hAnsi="Times New Roman" w:eastAsia="Times New Roman"/>
                <w:sz w:val="16"/>
              </w:rPr>
              <w:t>Power × gender harassment cluster ranking concordance</w:t>
            </w:r>
          </w:p>
        </w:tc>
        <w:tc>
          <w:tcPr>
            <w:tcW w:type="dxa" w:w="2510"/>
          </w:tcPr>
          <w:p>
            <w:r>
              <w:rPr>
                <w:rFonts w:ascii="Times New Roman" w:hAnsi="Times New Roman" w:eastAsia="Times New Roman"/>
                <w:sz w:val="16"/>
              </w:rPr>
              <w:t>Weak concordance (Spearman ρ = 0.04 at 7-cluster level, p = 0.94; ρ = 0.14 at 14-cell level, p = 0.62)</w:t>
            </w:r>
          </w:p>
        </w:tc>
        <w:tc>
          <w:tcPr>
            <w:tcW w:type="dxa" w:w="2510"/>
          </w:tcPr>
          <w:p>
            <w:r>
              <w:rPr>
                <w:rFonts w:ascii="Times New Roman" w:hAnsi="Times New Roman" w:eastAsia="Times New Roman"/>
                <w:sz w:val="16"/>
              </w:rPr>
              <w:t>REJECTED</w:t>
            </w:r>
          </w:p>
        </w:tc>
      </w:tr>
      <w:tr>
        <w:tc>
          <w:tcPr>
            <w:tcW w:type="dxa" w:w="2510"/>
          </w:tcPr>
          <w:p>
            <w:r>
              <w:rPr>
                <w:rFonts w:ascii="Times New Roman" w:hAnsi="Times New Roman" w:eastAsia="Times New Roman"/>
                <w:sz w:val="16"/>
              </w:rPr>
              <w:t>H7</w:t>
            </w:r>
          </w:p>
        </w:tc>
        <w:tc>
          <w:tcPr>
            <w:tcW w:type="dxa" w:w="2510"/>
          </w:tcPr>
          <w:p>
            <w:r>
              <w:rPr>
                <w:rFonts w:ascii="Times New Roman" w:hAnsi="Times New Roman" w:eastAsia="Times New Roman"/>
                <w:sz w:val="16"/>
              </w:rPr>
              <w:t>IUT classification</w:t>
            </w:r>
          </w:p>
        </w:tc>
        <w:tc>
          <w:tcPr>
            <w:tcW w:type="dxa" w:w="2510"/>
          </w:tcPr>
          <w:p>
            <w:r>
              <w:rPr>
                <w:rFonts w:ascii="Times New Roman" w:hAnsi="Times New Roman" w:eastAsia="Times New Roman"/>
                <w:sz w:val="16"/>
              </w:rPr>
              <w:t>REVERSAL (robust across F = 0.3–1.0)</w:t>
            </w:r>
          </w:p>
        </w:tc>
        <w:tc>
          <w:tcPr>
            <w:tcW w:type="dxa" w:w="2510"/>
          </w:tcPr>
          <w:p>
            <w:r>
              <w:rPr>
                <w:rFonts w:ascii="Times New Roman" w:hAnsi="Times New Roman" w:eastAsia="Times New Roman"/>
                <w:sz w:val="16"/>
              </w:rPr>
              <w:t>REVERSAL (per pre-registered classification)</w:t>
            </w:r>
          </w:p>
        </w:tc>
      </w:tr>
    </w:tbl>
    <w:p>
      <w:pPr>
        <w:spacing w:line="240" w:lineRule="auto" w:before="0" w:after="0"/>
        <w:ind w:firstLine="180"/>
        <w:jc w:val="both"/>
      </w:pPr>
      <w:r>
        <w:rPr>
          <w:rFonts w:ascii="Times New Roman" w:hAnsi="Times New Roman" w:eastAsia="Times New Roman"/>
          <w:sz w:val="20"/>
        </w:rPr>
        <w:t>The headline empirical finding is the H7 = REVERSAL classification with cross-cultural robustness, which we develop substantively in the Discussion.</w:t>
      </w:r>
    </w:p>
    <w:p>
      <w:pPr>
        <w:spacing w:line="240" w:lineRule="auto" w:before="120" w:after="40"/>
      </w:pPr>
      <w:r>
        <w:rPr>
          <w:rFonts w:ascii="Times New Roman" w:hAnsi="Times New Roman" w:eastAsia="Times New Roman"/>
          <w:b/>
          <w:sz w:val="18"/>
        </w:rPr>
        <w:t>PRINCIPAL FINDINGS</w:t>
      </w:r>
    </w:p>
    <w:p>
      <w:pPr>
        <w:spacing w:line="240" w:lineRule="auto" w:before="0" w:after="0"/>
        <w:ind w:firstLine="180"/>
        <w:jc w:val="both"/>
      </w:pPr>
      <w:r>
        <w:rPr>
          <w:rFonts w:ascii="Times New Roman" w:hAnsi="Times New Roman" w:eastAsia="Times New Roman"/>
          <w:sz w:val="20"/>
        </w:rPr>
        <w:t>Three findings stand out from the pre-registered analysis pipeline:</w:t>
      </w:r>
    </w:p>
    <w:p>
      <w:pPr>
        <w:spacing w:line="240" w:lineRule="auto" w:before="0" w:after="0"/>
        <w:ind w:firstLine="180"/>
        <w:jc w:val="both"/>
      </w:pPr>
      <w:r>
        <w:rPr>
          <w:rFonts w:ascii="Times New Roman" w:hAnsi="Times New Roman" w:eastAsia="Times New Roman"/>
          <w:sz w:val="20"/>
        </w:rPr>
        <w:t>Finding 1: Post-Power-Harassment-Prevention-Law prevalence is well predicted; pre-law is not.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240" w:lineRule="auto" w:before="0" w:after="0"/>
        <w:ind w:firstLine="180"/>
        <w:jc w:val="both"/>
      </w:pPr>
      <w:r>
        <w:rPr>
          <w:rFonts w:ascii="Times New Roman" w:hAnsi="Times New Roman" w:eastAsia="Times New Roman"/>
          <w:sz w:val="20"/>
        </w:rPr>
        <w:t>Finding 2: H7 = REVERSAL — structural intervention dominates personality intervention. The pre-registered intersection-union test produced REVERSAL via the m7 priority-1 condition (point ΔP_B &lt; point ΔP_C; L_BC = −0.0544 also lies below zero in the CI cascade), indicating that the cell-level structural intervention (Counterfactual C; −20% propensity, calibrated against three meta-analyses and one natural experiment) outperforms both personality intervention (Counterfactual A; +0.3 SD on H/A/E) and targeted personality intervention on the low-prevalence subgroup (Counterfactual B; +0.40 SD on HH restricted to individuals whose baseline cluster ∈ {0, 4, 6}) by a substantial margin. The numerical ratio |ΔP_C| / |ΔP_A| ≈ 5.7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5.7× larger population-level harassment-prevalence reductions than realistic personality-training interventions.</w:t>
      </w:r>
    </w:p>
    <w:p>
      <w:pPr>
        <w:spacing w:line="240" w:lineRule="auto" w:before="0" w:after="0"/>
        <w:ind w:firstLine="180"/>
        <w:jc w:val="both"/>
      </w:pPr>
      <w:r>
        <w:rPr>
          <w:rFonts w:ascii="Times New Roman" w:hAnsi="Times New Roman" w:eastAsia="Times New Roman"/>
          <w:sz w:val="20"/>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[5], Escartín [21], and Hodgins et al. [22], is supported by both prior literature and the present counterfactual analysis.</w:t>
      </w:r>
    </w:p>
    <w:p>
      <w:pPr>
        <w:spacing w:line="240" w:lineRule="auto" w:before="120" w:after="40"/>
      </w:pPr>
      <w:r>
        <w:rPr>
          <w:rFonts w:ascii="Times New Roman" w:hAnsi="Times New Roman" w:eastAsia="Times New Roman"/>
          <w:b/>
          <w:sz w:val="18"/>
        </w:rPr>
        <w:t>THE 2020 POWER HARASSMENT PREVENTION LAW AS NATURAL EXPERIMENT</w:t>
      </w:r>
    </w:p>
    <w:p>
      <w:pPr>
        <w:spacing w:line="240" w:lineRule="auto" w:before="0" w:after="0"/>
        <w:ind w:firstLine="180"/>
        <w:jc w:val="both"/>
      </w:pPr>
      <w:r>
        <w:rPr>
          <w:rFonts w:ascii="Times New Roman" w:hAnsi="Times New Roman" w:eastAsia="Times New Roman"/>
          <w:sz w:val="20"/>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240" w:lineRule="auto" w:before="0" w:after="0"/>
        <w:ind w:firstLine="180"/>
        <w:jc w:val="both"/>
      </w:pPr>
      <w:r>
        <w:rPr>
          <w:rFonts w:ascii="Times New Roman" w:hAnsi="Times New Roman" w:eastAsia="Times New Roman"/>
          <w:sz w:val="20"/>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240" w:lineRule="auto" w:before="120" w:after="40"/>
      </w:pPr>
      <w:r>
        <w:rPr>
          <w:rFonts w:ascii="Times New Roman" w:hAnsi="Times New Roman" w:eastAsia="Times New Roman"/>
          <w:b/>
          <w:sz w:val="18"/>
        </w:rPr>
        <w:t>REFRAMING HEXACO: STRATIFICATION, NOT MODIFICATION</w:t>
      </w:r>
    </w:p>
    <w:p>
      <w:pPr>
        <w:spacing w:line="240" w:lineRule="auto" w:before="0" w:after="0"/>
        <w:ind w:firstLine="180"/>
        <w:jc w:val="both"/>
      </w:pPr>
      <w:r>
        <w:rPr>
          <w:rFonts w:ascii="Times New Roman" w:hAnsi="Times New Roman" w:eastAsia="Times New Roman"/>
          <w:sz w:val="20"/>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240" w:lineRule="auto" w:before="0" w:after="0"/>
        <w:ind w:firstLine="180"/>
        <w:jc w:val="both"/>
      </w:pPr>
      <w:r>
        <w:rPr>
          <w:rFonts w:ascii="Times New Roman" w:hAnsi="Times New Roman" w:eastAsia="Times New Roman"/>
          <w:sz w:val="20"/>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240" w:lineRule="auto" w:before="0" w:after="0"/>
        <w:ind w:firstLine="180"/>
        <w:jc w:val="both"/>
      </w:pPr>
      <w:r>
        <w:rPr>
          <w:rFonts w:ascii="Times New Roman" w:hAnsi="Times New Roman" w:eastAsia="Times New Roman"/>
          <w:sz w:val="20"/>
        </w:rPr>
        <w:t>Second, even granting M1 as the operative mechanism, the +0.3 SD personality-shift represents the upper bound of empirically demonstrated training effects [19, 20]. Our simulation demonstrates that this upper-bound shift translates to a population-level prevalence change of −0.61 percentage points — far smaller than the ±2 pp variation already present in MHLW year-on-year sampling noise, and ~5.7× smaller than the structural intervention.</w:t>
      </w:r>
    </w:p>
    <w:p>
      <w:pPr>
        <w:spacing w:line="240" w:lineRule="auto" w:before="0" w:after="0"/>
        <w:ind w:firstLine="180"/>
        <w:jc w:val="both"/>
      </w:pPr>
      <w:r>
        <w:rPr>
          <w:rFonts w:ascii="Times New Roman" w:hAnsi="Times New Roman" w:eastAsia="Times New Roman"/>
          <w:sz w:val="20"/>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240" w:lineRule="auto" w:before="120" w:after="40"/>
      </w:pPr>
      <w:r>
        <w:rPr>
          <w:rFonts w:ascii="Times New Roman" w:hAnsi="Times New Roman" w:eastAsia="Times New Roman"/>
          <w:b/>
          <w:sz w:val="18"/>
        </w:rPr>
        <w:t>LIMITATIONS</w:t>
      </w:r>
    </w:p>
    <w:p>
      <w:pPr>
        <w:spacing w:line="240" w:lineRule="auto" w:before="80" w:after="40"/>
      </w:pPr>
      <w:r>
        <w:rPr>
          <w:rFonts w:ascii="Times New Roman" w:hAnsi="Times New Roman" w:eastAsia="Times New Roman"/>
          <w:b/>
          <w:sz w:val="20"/>
        </w:rPr>
        <w:t>Reduced-form framing of Counterfactual C</w:t>
      </w:r>
    </w:p>
    <w:p>
      <w:pPr>
        <w:spacing w:line="240" w:lineRule="auto" w:before="0" w:after="0"/>
        <w:ind w:firstLine="180"/>
        <w:jc w:val="both"/>
      </w:pPr>
      <w:r>
        <w:rPr>
          <w:rFonts w:ascii="Times New Roman" w:hAnsi="Times New Roman" w:eastAsia="Times New Roman"/>
          <w:sz w:val="20"/>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240" w:lineRule="auto" w:before="0" w:after="0"/>
        <w:ind w:firstLine="180"/>
        <w:jc w:val="both"/>
      </w:pPr>
      <w:r>
        <w:rPr>
          <w:rFonts w:ascii="Times New Roman" w:hAnsi="Times New Roman" w:eastAsia="Times New Roman"/>
          <w:sz w:val="20"/>
        </w:rPr>
        <w:t>The simulation's contribution is therefore narrower than a mechanistic claim: it provides an apples-to-apples translation of prior meta-analytic effect sizes for structural interventions [5, 21, 22] (calibrated against MHLW 2020 Law natural experiment) into the same population-level prevalence metric used for the personality intervention [20] (calibrated against Hudson &amp; Fraley, 2015). The conclusion |ΔP_C| ≫ |ΔP_A| is conditional on these prior effect-size estimates being unbiased.</w:t>
      </w:r>
    </w:p>
    <w:p>
      <w:pPr>
        <w:spacing w:line="240" w:lineRule="auto" w:before="0" w:after="0"/>
        <w:ind w:firstLine="180"/>
        <w:jc w:val="both"/>
      </w:pPr>
      <w:r>
        <w:rPr>
          <w:rFonts w:ascii="Times New Roman" w:hAnsi="Times New Roman" w:eastAsia="Times New Roman"/>
          <w:sz w:val="20"/>
        </w:rPr>
        <w:t>A mechanistically richer extension would adopt agent-based modeling [32, 33] with explicit deterrence dynamics, individual-level perceived risk, and interaction with peers. Such extensions are beyond the scope of v2.0 pre-registration but are pre-flagged as Phase 2 follow-up work in the present manuscript.</w:t>
      </w:r>
    </w:p>
    <w:p>
      <w:pPr>
        <w:spacing w:line="240" w:lineRule="auto" w:before="80" w:after="40"/>
      </w:pPr>
      <w:r>
        <w:rPr>
          <w:rFonts w:ascii="Times New Roman" w:hAnsi="Times New Roman" w:eastAsia="Times New Roman"/>
          <w:b/>
          <w:sz w:val="20"/>
        </w:rPr>
        <w:t>Causal under-identification among M2/M3/M4</w:t>
      </w:r>
    </w:p>
    <w:p>
      <w:pPr>
        <w:spacing w:line="240" w:lineRule="auto" w:before="0" w:after="0"/>
        <w:ind w:firstLine="180"/>
        <w:jc w:val="both"/>
      </w:pPr>
      <w:r>
        <w:rPr>
          <w:rFonts w:ascii="Times New Roman" w:hAnsi="Times New Roman" w:eastAsia="Times New Roman"/>
          <w:sz w:val="20"/>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240" w:lineRule="auto" w:before="80" w:after="40"/>
      </w:pPr>
      <w:r>
        <w:rPr>
          <w:rFonts w:ascii="Times New Roman" w:hAnsi="Times New Roman" w:eastAsia="Times New Roman"/>
          <w:b/>
          <w:sz w:val="20"/>
        </w:rPr>
        <w:t>Heterogeneity in counterfactual response</w:t>
      </w:r>
    </w:p>
    <w:p>
      <w:pPr>
        <w:spacing w:line="240" w:lineRule="auto" w:before="0" w:after="0"/>
        <w:ind w:firstLine="180"/>
        <w:jc w:val="both"/>
      </w:pPr>
      <w:r>
        <w:rPr>
          <w:rFonts w:ascii="Times New Roman" w:hAnsi="Times New Roman" w:eastAsia="Times New Roman"/>
          <w:sz w:val="20"/>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240" w:lineRule="auto" w:before="80" w:after="40"/>
      </w:pPr>
      <w:r>
        <w:rPr>
          <w:rFonts w:ascii="Times New Roman" w:hAnsi="Times New Roman" w:eastAsia="Times New Roman"/>
          <w:b/>
          <w:sz w:val="20"/>
        </w:rPr>
        <w:t>Static framing</w:t>
      </w:r>
    </w:p>
    <w:p>
      <w:pPr>
        <w:spacing w:line="240" w:lineRule="auto" w:before="0" w:after="0"/>
        <w:ind w:firstLine="180"/>
        <w:jc w:val="both"/>
      </w:pPr>
      <w:r>
        <w:rPr>
          <w:rFonts w:ascii="Times New Roman" w:hAnsi="Times New Roman" w:eastAsia="Times New Roman"/>
          <w:sz w:val="20"/>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240" w:lineRule="auto" w:before="80" w:after="40"/>
      </w:pPr>
      <w:r>
        <w:rPr>
          <w:rFonts w:ascii="Times New Roman" w:hAnsi="Times New Roman" w:eastAsia="Times New Roman"/>
          <w:b/>
          <w:sz w:val="20"/>
        </w:rPr>
        <w:t>m8 limitation: cluster proportions M3-fixed</w:t>
      </w:r>
    </w:p>
    <w:p>
      <w:pPr>
        <w:spacing w:line="240" w:lineRule="auto" w:before="0" w:after="0"/>
        <w:ind w:firstLine="180"/>
        <w:jc w:val="both"/>
      </w:pPr>
      <w:r>
        <w:rPr>
          <w:rFonts w:ascii="Times New Roman" w:hAnsi="Times New Roman" w:eastAsia="Times New Roman"/>
          <w:sz w:val="20"/>
        </w:rPr>
        <w:t>Per Methods Clarification m8, the 7-cluster proportions used in Stage 1 reweighting remain fixed at the Tokiwa [13] values for N = 13,668; only the gender marginal is updated to the Statistics Bureau (MIC) 2022 working-population value. This is a conscious limitation: the Labor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240" w:lineRule="auto" w:before="80" w:after="40"/>
      </w:pPr>
      <w:r>
        <w:rPr>
          <w:rFonts w:ascii="Times New Roman" w:hAnsi="Times New Roman" w:eastAsia="Times New Roman"/>
          <w:b/>
          <w:sz w:val="20"/>
        </w:rPr>
        <w:t>Sample-size and external-validity caveats</w:t>
      </w:r>
    </w:p>
    <w:p>
      <w:pPr>
        <w:spacing w:line="240" w:lineRule="auto" w:before="0" w:after="0"/>
        <w:ind w:firstLine="180"/>
        <w:jc w:val="both"/>
      </w:pPr>
      <w:r>
        <w:rPr>
          <w:rFonts w:ascii="Times New Roman" w:hAnsi="Times New Roman" w:eastAsia="Times New Roman"/>
          <w:sz w:val="20"/>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240" w:lineRule="auto" w:before="120" w:after="40"/>
      </w:pPr>
      <w:r>
        <w:rPr>
          <w:rFonts w:ascii="Times New Roman" w:hAnsi="Times New Roman" w:eastAsia="Times New Roman"/>
          <w:b/>
          <w:sz w:val="18"/>
        </w:rPr>
        <w:t>IMPLICATIONS FOR WORKPLACE HARASSMENT POLICY</w:t>
      </w:r>
    </w:p>
    <w:p>
      <w:pPr>
        <w:spacing w:line="240" w:lineRule="auto" w:before="0" w:after="0"/>
        <w:ind w:firstLine="180"/>
        <w:jc w:val="both"/>
      </w:pPr>
      <w:r>
        <w:rPr>
          <w:rFonts w:ascii="Times New Roman" w:hAnsi="Times New Roman" w:eastAsia="Times New Roman"/>
          <w:sz w:val="20"/>
        </w:rPr>
        <w:t>The integrated findings carry three policy implications:</w:t>
      </w:r>
    </w:p>
    <w:p>
      <w:pPr>
        <w:pStyle w:val="ListBullet"/>
        <w:spacing w:line="240" w:lineRule="auto" w:before="0" w:after="0"/>
        <w:jc w:val="both"/>
      </w:pPr>
      <w:r>
        <w:rPr>
          <w:rFonts w:ascii="Times New Roman" w:hAnsi="Times New Roman" w:eastAsia="Times New Roman"/>
          <w:sz w:val="20"/>
        </w:rPr>
        <w:t>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5.7× larger population-level reductions in harassment prevalence per unit of intervention.</w:t>
      </w:r>
    </w:p>
    <w:p>
      <w:pPr>
        <w:pStyle w:val="ListBullet"/>
        <w:spacing w:line="240" w:lineRule="auto" w:before="0" w:after="0"/>
        <w:jc w:val="both"/>
      </w:pPr>
      <w:r>
        <w:rPr>
          <w:rFonts w:ascii="Times New Roman" w:hAnsi="Times New Roman" w:eastAsia="Times New Roman"/>
          <w:sz w:val="20"/>
        </w:rPr>
        <w:t>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w:t>
      </w:r>
    </w:p>
    <w:p>
      <w:pPr>
        <w:pStyle w:val="ListBullet"/>
        <w:spacing w:line="240" w:lineRule="auto" w:before="0" w:after="0"/>
        <w:jc w:val="both"/>
      </w:pPr>
      <w:r>
        <w:rPr>
          <w:rFonts w:ascii="Times New Roman" w:hAnsi="Times New Roman" w:eastAsia="Times New Roman"/>
          <w:sz w:val="20"/>
        </w:rPr>
        <w:t>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240" w:lineRule="auto" w:before="120" w:after="40"/>
      </w:pPr>
      <w:r>
        <w:rPr>
          <w:rFonts w:ascii="Times New Roman" w:hAnsi="Times New Roman" w:eastAsia="Times New Roman"/>
          <w:b/>
          <w:sz w:val="18"/>
        </w:rPr>
        <w:t>CONCLUSION</w:t>
      </w:r>
    </w:p>
    <w:p>
      <w:pPr>
        <w:spacing w:line="240" w:lineRule="auto" w:before="0" w:after="0"/>
        <w:ind w:firstLine="180"/>
        <w:jc w:val="both"/>
      </w:pPr>
      <w:r>
        <w:rPr>
          <w:rFonts w:ascii="Times New Roman" w:hAnsi="Times New Roman" w:eastAsia="Times New Roman"/>
          <w:sz w:val="20"/>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+0.0349, CI excludes zero), corroborated by the H7 IUT classification of REVERSAL across all four pre-registered cultural attenuation factors, support the conclusion that structural interventions translate to approximately 5.7×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pPr>
        <w:spacing w:line="240" w:lineRule="auto" w:before="120" w:after="40"/>
      </w:pPr>
      <w:r>
        <w:rPr>
          <w:rFonts w:ascii="Times New Roman" w:hAnsi="Times New Roman" w:eastAsia="Times New Roman"/>
          <w:b/>
          <w:sz w:val="18"/>
        </w:rPr>
        <w:t>REFERENCES</w:t>
      </w:r>
    </w:p>
    <w:p>
      <w:pPr>
        <w:spacing w:line="240" w:lineRule="auto" w:before="0" w:after="40"/>
        <w:jc w:val="both"/>
      </w:pPr>
      <w:r>
        <w:rPr>
          <w:rFonts w:ascii="Times New Roman" w:hAnsi="Times New Roman" w:eastAsia="Times New Roman"/>
          <w:b/>
          <w:sz w:val="18"/>
        </w:rPr>
        <w:t xml:space="preserve">[1] </w:t>
      </w:r>
      <w:r>
        <w:rPr>
          <w:rFonts w:ascii="Times New Roman" w:hAnsi="Times New Roman" w:eastAsia="Times New Roman"/>
          <w:sz w:val="16"/>
        </w:rPr>
        <w:t>M. S. Hershcovis and J. Barling, "Towards a multi-foci approach to workplace aggression: A meta-analytic review of outcomes from different perpetrators," J. Organ. Behav., vol. 31, no. 1, pp. 24–44, 2010, doi: 10.1002/job.621.</w:t>
      </w:r>
    </w:p>
    <w:p>
      <w:pPr>
        <w:spacing w:line="240" w:lineRule="auto" w:before="0" w:after="40"/>
        <w:jc w:val="both"/>
      </w:pPr>
      <w:r>
        <w:rPr>
          <w:rFonts w:ascii="Times New Roman" w:hAnsi="Times New Roman" w:eastAsia="Times New Roman"/>
          <w:b/>
          <w:sz w:val="18"/>
        </w:rPr>
        <w:t xml:space="preserve">[2] </w:t>
      </w:r>
      <w:r>
        <w:rPr>
          <w:rFonts w:ascii="Times New Roman" w:hAnsi="Times New Roman" w:eastAsia="Times New Roman"/>
          <w:sz w:val="16"/>
        </w:rPr>
        <w:t>D. Salin, "Ways of explaining workplace bullying: A review of enabling, motivating and precipitating structures and processes in the work environment," Hum. Relat., vol. 56, no. 10, pp. 1213–1232, 2003, doi: 10.1177/00187267035610003.</w:t>
      </w:r>
    </w:p>
    <w:p>
      <w:pPr>
        <w:spacing w:line="240" w:lineRule="auto" w:before="0" w:after="40"/>
        <w:jc w:val="both"/>
      </w:pPr>
      <w:r>
        <w:rPr>
          <w:rFonts w:ascii="Times New Roman" w:hAnsi="Times New Roman" w:eastAsia="Times New Roman"/>
          <w:b/>
          <w:sz w:val="18"/>
        </w:rPr>
        <w:t xml:space="preserve">[3] </w:t>
      </w:r>
      <w:r>
        <w:rPr>
          <w:rFonts w:ascii="Times New Roman" w:hAnsi="Times New Roman" w:eastAsia="Times New Roman"/>
          <w:sz w:val="16"/>
        </w:rPr>
        <w:t>Ministry of Health, Labour and Welfare (MHLW), "Workplace harassment surveys: H28 / R2 / R5 results [Original report in Japanese]," 2017, 2021, 2024. [Online]. Available: https://www.mhlw.go.jp/</w:t>
      </w:r>
    </w:p>
    <w:p>
      <w:pPr>
        <w:spacing w:line="240" w:lineRule="auto" w:before="0" w:after="40"/>
        <w:jc w:val="both"/>
      </w:pPr>
      <w:r>
        <w:rPr>
          <w:rFonts w:ascii="Times New Roman" w:hAnsi="Times New Roman" w:eastAsia="Times New Roman"/>
          <w:b/>
          <w:sz w:val="18"/>
        </w:rPr>
        <w:t xml:space="preserve">[4] </w:t>
      </w:r>
      <w:r>
        <w:rPr>
          <w:rFonts w:ascii="Times New Roman" w:hAnsi="Times New Roman" w:eastAsia="Times New Roman"/>
          <w:sz w:val="16"/>
        </w:rPr>
        <w:t>E. G. Mikkelsen, Å. M. Hansen, R. Persson, M. F. Byrgesen, and A. Hogh, "Individual consequences of being exposed to workplace bullying," in Bullying and Harassment in the Workplace: Theory, Research and Practice, 3rd ed., S. Einarsen, H. Hoel, D. Zapf, and C. L. Cooper, Eds. Boca Raton, FL: CRC Press, 2020, pp. 163–208, doi: 10.1201/9780429462528-6.</w:t>
      </w:r>
    </w:p>
    <w:p>
      <w:pPr>
        <w:spacing w:line="240" w:lineRule="auto" w:before="0" w:after="40"/>
        <w:jc w:val="both"/>
      </w:pPr>
      <w:r>
        <w:rPr>
          <w:rFonts w:ascii="Times New Roman" w:hAnsi="Times New Roman" w:eastAsia="Times New Roman"/>
          <w:b/>
          <w:sz w:val="18"/>
        </w:rPr>
        <w:t xml:space="preserve">[5] </w:t>
      </w:r>
      <w:r>
        <w:rPr>
          <w:rFonts w:ascii="Times New Roman" w:hAnsi="Times New Roman" w:eastAsia="Times New Roman"/>
          <w:sz w:val="16"/>
        </w:rPr>
        <w:t>D. Salin, "Workplace bullying and gender: An overview of empirical findings," in Dignity and Inclusion at Work: Handbooks of Workplace Bullying, Emotional Abuse and Harassment, vol. 3, P. D'Cruz et al., Eds. Singapore: Springer, 2021, pp. 331–361, doi: 10.1007/978-981-13-0218-3_12.</w:t>
      </w:r>
    </w:p>
    <w:p>
      <w:pPr>
        <w:spacing w:line="240" w:lineRule="auto" w:before="0" w:after="40"/>
        <w:jc w:val="both"/>
      </w:pPr>
      <w:r>
        <w:rPr>
          <w:rFonts w:ascii="Times New Roman" w:hAnsi="Times New Roman" w:eastAsia="Times New Roman"/>
          <w:b/>
          <w:sz w:val="18"/>
        </w:rPr>
        <w:t xml:space="preserve">[6] </w:t>
      </w:r>
      <w:r>
        <w:rPr>
          <w:rFonts w:ascii="Times New Roman" w:hAnsi="Times New Roman" w:eastAsia="Times New Roman"/>
          <w:sz w:val="16"/>
        </w:rPr>
        <w:t>M. B. Nielsen, L. Glasø, and S. Einarsen, "Exposure to workplace harassment and the Five Factor Model of personality: A meta-analysis," Pers. Individ. Differ., vol. 104, pp. 195–206, 2017, doi: 10.1016/j.paid.2016.08.015.</w:t>
      </w:r>
    </w:p>
    <w:p>
      <w:pPr>
        <w:spacing w:line="240" w:lineRule="auto" w:before="0" w:after="40"/>
        <w:jc w:val="both"/>
      </w:pPr>
      <w:r>
        <w:rPr>
          <w:rFonts w:ascii="Times New Roman" w:hAnsi="Times New Roman" w:eastAsia="Times New Roman"/>
          <w:b/>
          <w:sz w:val="18"/>
        </w:rPr>
        <w:t xml:space="preserve">[7] </w:t>
      </w:r>
      <w:r>
        <w:rPr>
          <w:rFonts w:ascii="Times New Roman" w:hAnsi="Times New Roman" w:eastAsia="Times New Roman"/>
          <w:sz w:val="16"/>
        </w:rPr>
        <w:t>I. Pilch and E. Turska, "Relationships between Machiavellianism, organizational culture, and workplace bullying: Emotional abuse from the target's and the perpetrator's perspective," J. Bus. Ethics, vol. 128, no. 1, pp. 83–93, 2015, doi: 10.1007/s10551-014-2081-3.</w:t>
      </w:r>
    </w:p>
    <w:p>
      <w:pPr>
        <w:spacing w:line="240" w:lineRule="auto" w:before="0" w:after="40"/>
        <w:jc w:val="both"/>
      </w:pPr>
      <w:r>
        <w:rPr>
          <w:rFonts w:ascii="Times New Roman" w:hAnsi="Times New Roman" w:eastAsia="Times New Roman"/>
          <w:b/>
          <w:sz w:val="18"/>
        </w:rPr>
        <w:t xml:space="preserve">[8] </w:t>
      </w:r>
      <w:r>
        <w:rPr>
          <w:rFonts w:ascii="Times New Roman" w:hAnsi="Times New Roman" w:eastAsia="Times New Roman"/>
          <w:sz w:val="16"/>
        </w:rPr>
        <w:t>M. C. Ashton and K. Lee, "Empirical, theoretical, and practical advantages of the HEXACO model of personality structure," Pers. Soc. Psychol. Rev., vol. 11, no. 2, pp. 150–166, 2007, doi: 10.1177/1088868306294907.</w:t>
      </w:r>
    </w:p>
    <w:p>
      <w:pPr>
        <w:spacing w:line="240" w:lineRule="auto" w:before="0" w:after="40"/>
        <w:jc w:val="both"/>
      </w:pPr>
      <w:r>
        <w:rPr>
          <w:rFonts w:ascii="Times New Roman" w:hAnsi="Times New Roman" w:eastAsia="Times New Roman"/>
          <w:b/>
          <w:sz w:val="18"/>
        </w:rPr>
        <w:t xml:space="preserve">[9] </w:t>
      </w:r>
      <w:r>
        <w:rPr>
          <w:rFonts w:ascii="Times New Roman" w:hAnsi="Times New Roman" w:eastAsia="Times New Roman"/>
          <w:sz w:val="16"/>
        </w:rPr>
        <w:t>L. Glasø, S. B. Matthiesen, M. B. Nielsen, and S. Einarsen, "Do targets of workplace bullying portray a general victim personality profile?," Scand. J. Psychol., vol. 48, no. 4, pp. 313–319, 2007, doi: 10.1111/j.1467-9450.2007.00554.x.</w:t>
      </w:r>
    </w:p>
    <w:p>
      <w:pPr>
        <w:spacing w:line="240" w:lineRule="auto" w:before="0" w:after="40"/>
        <w:jc w:val="both"/>
      </w:pPr>
      <w:r>
        <w:rPr>
          <w:rFonts w:ascii="Times New Roman" w:hAnsi="Times New Roman" w:eastAsia="Times New Roman"/>
          <w:b/>
          <w:sz w:val="18"/>
        </w:rPr>
        <w:t xml:space="preserve">[10] </w:t>
      </w:r>
      <w:r>
        <w:rPr>
          <w:rFonts w:ascii="Times New Roman" w:hAnsi="Times New Roman" w:eastAsia="Times New Roman"/>
          <w:sz w:val="16"/>
        </w:rPr>
        <w:t>K. Lee, M. C. Ashton, J. Wiltshire, J. S. Bourdage, B. A. Visser, and A. Gallucci, "Sex, power, and money: Prediction from the Dark Triad and Honesty-Humility," Eur. J. Pers., vol. 27, no. 2, pp. 169–184, 2013, doi: 10.1002/per.1860.</w:t>
      </w:r>
    </w:p>
    <w:p>
      <w:pPr>
        <w:spacing w:line="240" w:lineRule="auto" w:before="0" w:after="40"/>
        <w:jc w:val="both"/>
      </w:pPr>
      <w:r>
        <w:rPr>
          <w:rFonts w:ascii="Times New Roman" w:hAnsi="Times New Roman" w:eastAsia="Times New Roman"/>
          <w:b/>
          <w:sz w:val="18"/>
        </w:rPr>
        <w:t xml:space="preserve">[11] </w:t>
      </w:r>
      <w:r>
        <w:rPr>
          <w:rFonts w:ascii="Times New Roman" w:hAnsi="Times New Roman" w:eastAsia="Times New Roman"/>
          <w:sz w:val="16"/>
        </w:rPr>
        <w:t>D. K. Linton and J. L. Power, "The personality traits of workplace bullies are often shared by their victims: Is there a dark side to victims?," Pers. Individ. Differ., vol. 54, no. 6, pp. 738–743, 2013, doi: 10.1016/j.paid.2012.11.026.</w:t>
      </w:r>
    </w:p>
    <w:p>
      <w:pPr>
        <w:spacing w:line="240" w:lineRule="auto" w:before="0" w:after="40"/>
        <w:jc w:val="both"/>
      </w:pPr>
      <w:r>
        <w:rPr>
          <w:rFonts w:ascii="Times New Roman" w:hAnsi="Times New Roman" w:eastAsia="Times New Roman"/>
          <w:b/>
          <w:sz w:val="18"/>
        </w:rPr>
        <w:t xml:space="preserve">[12] </w:t>
      </w:r>
      <w:r>
        <w:rPr>
          <w:rFonts w:ascii="Times New Roman" w:hAnsi="Times New Roman" w:eastAsia="Times New Roman"/>
          <w:sz w:val="16"/>
        </w:rPr>
        <w:t>J. L. Power, et al., "Acceptability of workplace bullying: A comparative study on six continents," J. Bus. Res., vol. 66, no. 3, pp. 374–380, 2013, doi: 10.1016/j.jbusres.2011.08.018.</w:t>
      </w:r>
    </w:p>
    <w:p>
      <w:pPr>
        <w:spacing w:line="240" w:lineRule="auto" w:before="0" w:after="40"/>
        <w:jc w:val="both"/>
      </w:pPr>
      <w:r>
        <w:rPr>
          <w:rFonts w:ascii="Times New Roman" w:hAnsi="Times New Roman" w:eastAsia="Times New Roman"/>
          <w:b/>
          <w:sz w:val="18"/>
        </w:rPr>
        <w:t xml:space="preserve">[13] </w:t>
      </w:r>
      <w:r>
        <w:rPr>
          <w:rFonts w:ascii="Times New Roman" w:hAnsi="Times New Roman" w:eastAsia="Times New Roman"/>
          <w:sz w:val="16"/>
        </w:rPr>
        <w:t>E. Tokiwa, "Cultural influences on personality types: A cluster analysis of HEXACO traits in Japan," IEEE Access, 2026, doi: 10.1109/ACCESS.2026.3651324.</w:t>
      </w:r>
    </w:p>
    <w:p>
      <w:pPr>
        <w:spacing w:line="240" w:lineRule="auto" w:before="0" w:after="40"/>
        <w:jc w:val="both"/>
      </w:pPr>
      <w:r>
        <w:rPr>
          <w:rFonts w:ascii="Times New Roman" w:hAnsi="Times New Roman" w:eastAsia="Times New Roman"/>
          <w:b/>
          <w:sz w:val="18"/>
        </w:rPr>
        <w:t xml:space="preserve">[14] </w:t>
      </w:r>
      <w:r>
        <w:rPr>
          <w:rFonts w:ascii="Times New Roman" w:hAnsi="Times New Roman" w:eastAsia="Times New Roman"/>
          <w:sz w:val="16"/>
        </w:rPr>
        <w:t>E. Tokiwa, "Predicting power and gender harassment from HEXACO and Dark Traits," Research Square, Preprint, version 1, 2025, doi: 10.21203/rs.3.rs-7756124/v1.</w:t>
      </w:r>
    </w:p>
    <w:p>
      <w:pPr>
        <w:spacing w:line="240" w:lineRule="auto" w:before="0" w:after="40"/>
        <w:jc w:val="both"/>
      </w:pPr>
      <w:r>
        <w:rPr>
          <w:rFonts w:ascii="Times New Roman" w:hAnsi="Times New Roman" w:eastAsia="Times New Roman"/>
          <w:b/>
          <w:sz w:val="18"/>
        </w:rPr>
        <w:t xml:space="preserve">[15] </w:t>
      </w:r>
      <w:r>
        <w:rPr>
          <w:rFonts w:ascii="Times New Roman" w:hAnsi="Times New Roman" w:eastAsia="Times New Roman"/>
          <w:sz w:val="16"/>
        </w:rPr>
        <w:t>M. Spielauer, "What is social science microsimulation?," Soc. Sci. Comput. Rev., vol. 29, no. 1, pp. 9–20, 2011, doi: 10.1177/0894439310370085.</w:t>
      </w:r>
    </w:p>
    <w:p>
      <w:pPr>
        <w:spacing w:line="240" w:lineRule="auto" w:before="0" w:after="40"/>
        <w:jc w:val="both"/>
      </w:pPr>
      <w:r>
        <w:rPr>
          <w:rFonts w:ascii="Times New Roman" w:hAnsi="Times New Roman" w:eastAsia="Times New Roman"/>
          <w:b/>
          <w:sz w:val="18"/>
        </w:rPr>
        <w:t xml:space="preserve">[16] </w:t>
      </w:r>
      <w:r>
        <w:rPr>
          <w:rFonts w:ascii="Times New Roman" w:hAnsi="Times New Roman" w:eastAsia="Times New Roman"/>
          <w:sz w:val="16"/>
        </w:rPr>
        <w:t>C. M. Rutter, A. M. Zaslavsky, and E. J. Feuer, "Dynamic microsimulation models for health outcomes: A review," Med. Decis. Making, vol. 31, no. 1, pp. 10–18, 2011, doi: 10.1177/0272989X10369005.</w:t>
      </w:r>
    </w:p>
    <w:p>
      <w:pPr>
        <w:spacing w:line="240" w:lineRule="auto" w:before="0" w:after="40"/>
        <w:jc w:val="both"/>
      </w:pPr>
      <w:r>
        <w:rPr>
          <w:rFonts w:ascii="Times New Roman" w:hAnsi="Times New Roman" w:eastAsia="Times New Roman"/>
          <w:b/>
          <w:sz w:val="18"/>
        </w:rPr>
        <w:t xml:space="preserve">[17] </w:t>
      </w:r>
      <w:r>
        <w:rPr>
          <w:rFonts w:ascii="Times New Roman" w:hAnsi="Times New Roman" w:eastAsia="Times New Roman"/>
          <w:sz w:val="16"/>
        </w:rPr>
        <w:t>M. A. Hernán and J. M. Robins, "Using big data to emulate a target trial when a randomized trial is not available," Am. J. Epidemiol., vol. 183, no. 8, pp. 758–764, 2016, doi: 10.1093/aje/kwv254.</w:t>
      </w:r>
    </w:p>
    <w:p>
      <w:pPr>
        <w:spacing w:line="240" w:lineRule="auto" w:before="0" w:after="40"/>
        <w:jc w:val="both"/>
      </w:pPr>
      <w:r>
        <w:rPr>
          <w:rFonts w:ascii="Times New Roman" w:hAnsi="Times New Roman" w:eastAsia="Times New Roman"/>
          <w:b/>
          <w:sz w:val="18"/>
        </w:rPr>
        <w:t xml:space="preserve">[18] </w:t>
      </w:r>
      <w:r>
        <w:rPr>
          <w:rFonts w:ascii="Times New Roman" w:hAnsi="Times New Roman" w:eastAsia="Times New Roman"/>
          <w:sz w:val="16"/>
        </w:rPr>
        <w:t>M. G. Hudgens and M. E. Halloran, "Toward causal inference with interference," J. Amer. Statist. Assoc., vol. 103, no. 482, pp. 832–842, 2008, doi: 10.1198/016214508000000292.</w:t>
      </w:r>
    </w:p>
    <w:p>
      <w:pPr>
        <w:spacing w:line="240" w:lineRule="auto" w:before="0" w:after="40"/>
        <w:jc w:val="both"/>
      </w:pPr>
      <w:r>
        <w:rPr>
          <w:rFonts w:ascii="Times New Roman" w:hAnsi="Times New Roman" w:eastAsia="Times New Roman"/>
          <w:b/>
          <w:sz w:val="18"/>
        </w:rPr>
        <w:t xml:space="preserve">[19] </w:t>
      </w:r>
      <w:r>
        <w:rPr>
          <w:rFonts w:ascii="Times New Roman" w:hAnsi="Times New Roman" w:eastAsia="Times New Roman"/>
          <w:sz w:val="16"/>
        </w:rPr>
        <w:t>N. W. Hudson and R. C. Fraley, "Volitional personality trait change: Can people choose to change their personality traits?," J. Pers. Soc. Psychol., vol. 109, no. 3, pp. 490–507, 2015, doi: 10.1037/pspp0000021.</w:t>
      </w:r>
    </w:p>
    <w:p>
      <w:pPr>
        <w:spacing w:line="240" w:lineRule="auto" w:before="0" w:after="40"/>
        <w:jc w:val="both"/>
      </w:pPr>
      <w:r>
        <w:rPr>
          <w:rFonts w:ascii="Times New Roman" w:hAnsi="Times New Roman" w:eastAsia="Times New Roman"/>
          <w:b/>
          <w:sz w:val="18"/>
        </w:rPr>
        <w:t xml:space="preserve">[20] </w:t>
      </w:r>
      <w:r>
        <w:rPr>
          <w:rFonts w:ascii="Times New Roman" w:hAnsi="Times New Roman" w:eastAsia="Times New Roman"/>
          <w:sz w:val="16"/>
        </w:rPr>
        <w:t>B. W. Roberts, J. Luo, D. A. Briley, P. I. Chow, R. Su, and P. L. Hill, "A systematic review of personality trait change through intervention," Psychol. Bull., vol. 143, no. 2, pp. 117–141, 2017, doi: 10.1037/bul0000088.</w:t>
      </w:r>
    </w:p>
    <w:p>
      <w:pPr>
        <w:spacing w:line="240" w:lineRule="auto" w:before="0" w:after="40"/>
        <w:jc w:val="both"/>
      </w:pPr>
      <w:r>
        <w:rPr>
          <w:rFonts w:ascii="Times New Roman" w:hAnsi="Times New Roman" w:eastAsia="Times New Roman"/>
          <w:b/>
          <w:sz w:val="18"/>
        </w:rPr>
        <w:t xml:space="preserve">[21] </w:t>
      </w:r>
      <w:r>
        <w:rPr>
          <w:rFonts w:ascii="Times New Roman" w:hAnsi="Times New Roman" w:eastAsia="Times New Roman"/>
          <w:sz w:val="16"/>
        </w:rPr>
        <w:t>J. Escartín, "Insights into workplace bullying: Psychosocial drivers and effective interventions," Psychol. Res. Behav. Manage., vol. 9, pp. 157–169, 2016, doi: 10.2147/PRBM.S91211.</w:t>
      </w:r>
    </w:p>
    <w:p>
      <w:pPr>
        <w:spacing w:line="240" w:lineRule="auto" w:before="0" w:after="40"/>
        <w:jc w:val="both"/>
      </w:pPr>
      <w:r>
        <w:rPr>
          <w:rFonts w:ascii="Times New Roman" w:hAnsi="Times New Roman" w:eastAsia="Times New Roman"/>
          <w:b/>
          <w:sz w:val="18"/>
        </w:rPr>
        <w:t xml:space="preserve">[22] </w:t>
      </w:r>
      <w:r>
        <w:rPr>
          <w:rFonts w:ascii="Times New Roman" w:hAnsi="Times New Roman" w:eastAsia="Times New Roman"/>
          <w:sz w:val="16"/>
        </w:rPr>
        <w:t>M. Hodgins, S. MacCurtain, and P. Mannix-McNamara, "Workplace bullying and incivility: A systematic review of interventions," Int. J. Workplace Health Manage., vol. 7, no. 1, pp. 54–72, 2014, doi: 10.1108/IJWHM-08-2013-0030.</w:t>
      </w:r>
    </w:p>
    <w:p>
      <w:pPr>
        <w:spacing w:line="240" w:lineRule="auto" w:before="0" w:after="40"/>
        <w:jc w:val="both"/>
      </w:pPr>
      <w:r>
        <w:rPr>
          <w:rFonts w:ascii="Times New Roman" w:hAnsi="Times New Roman" w:eastAsia="Times New Roman"/>
          <w:b/>
          <w:sz w:val="18"/>
        </w:rPr>
        <w:t xml:space="preserve">[23] </w:t>
      </w:r>
      <w:r>
        <w:rPr>
          <w:rFonts w:ascii="Times New Roman" w:hAnsi="Times New Roman" w:eastAsia="Times New Roman"/>
          <w:sz w:val="16"/>
        </w:rPr>
        <w:t>K. Tou, A. Tsuda, M. Nii, T. Yamahiro, and M. Irie, "Development of new power harassment questionnaire in workplace," in Proc. 81st Annu. Conv. Japan. Psychol. Assoc., 2017.</w:t>
      </w:r>
    </w:p>
    <w:p>
      <w:pPr>
        <w:spacing w:line="240" w:lineRule="auto" w:before="0" w:after="40"/>
        <w:jc w:val="both"/>
      </w:pPr>
      <w:r>
        <w:rPr>
          <w:rFonts w:ascii="Times New Roman" w:hAnsi="Times New Roman" w:eastAsia="Times New Roman"/>
          <w:b/>
          <w:sz w:val="18"/>
        </w:rPr>
        <w:t xml:space="preserve">[24] </w:t>
      </w:r>
      <w:r>
        <w:rPr>
          <w:rFonts w:ascii="Times New Roman" w:hAnsi="Times New Roman" w:eastAsia="Times New Roman"/>
          <w:sz w:val="16"/>
        </w:rPr>
        <w:t>A. Kobayashi and K. Tanaka, "Development of the Gender Harassment Scale," Jpn. J. Ind. Organ. Psychol., vol. 24, no. 1, pp. 15–27, 2010, doi: 10.32222/jaiop.24.1_15.</w:t>
      </w:r>
    </w:p>
    <w:p>
      <w:pPr>
        <w:spacing w:line="240" w:lineRule="auto" w:before="0" w:after="40"/>
        <w:jc w:val="both"/>
      </w:pPr>
      <w:r>
        <w:rPr>
          <w:rFonts w:ascii="Times New Roman" w:hAnsi="Times New Roman" w:eastAsia="Times New Roman"/>
          <w:b/>
          <w:sz w:val="18"/>
        </w:rPr>
        <w:t xml:space="preserve">[25] </w:t>
      </w:r>
      <w:r>
        <w:rPr>
          <w:rFonts w:ascii="Times New Roman" w:hAnsi="Times New Roman" w:eastAsia="Times New Roman"/>
          <w:sz w:val="16"/>
        </w:rPr>
        <w:t>A. Wakabayashi, "A sixth personality domain that is independent of the Big Five domains: The psychometric properties of the HEXACO Personality Inventory in a Japanese sample," Jpn. Psychol. Res., vol. 56, no. 3, pp. 211–223, 2014, doi: 10.1111/jpr.12045.</w:t>
      </w:r>
    </w:p>
    <w:p>
      <w:pPr>
        <w:spacing w:line="240" w:lineRule="auto" w:before="0" w:after="40"/>
        <w:jc w:val="both"/>
      </w:pPr>
      <w:r>
        <w:rPr>
          <w:rFonts w:ascii="Times New Roman" w:hAnsi="Times New Roman" w:eastAsia="Times New Roman"/>
          <w:b/>
          <w:sz w:val="18"/>
        </w:rPr>
        <w:t xml:space="preserve">[26] </w:t>
      </w:r>
      <w:r>
        <w:rPr>
          <w:rFonts w:ascii="Times New Roman" w:hAnsi="Times New Roman" w:eastAsia="Times New Roman"/>
          <w:sz w:val="16"/>
        </w:rPr>
        <w:t>Statistics Bureau, Ministry of Internal Affairs and Communications, "Labour Force Survey (Basic Tabulation): 2022 Annual Average Results Summary," Tokyo, Japan, 2023. [Online]. Available: https://www.e-stat.go.jp/</w:t>
      </w:r>
    </w:p>
    <w:p>
      <w:pPr>
        <w:spacing w:line="240" w:lineRule="auto" w:before="0" w:after="40"/>
        <w:jc w:val="both"/>
      </w:pPr>
      <w:r>
        <w:rPr>
          <w:rFonts w:ascii="Times New Roman" w:hAnsi="Times New Roman" w:eastAsia="Times New Roman"/>
          <w:b/>
          <w:sz w:val="18"/>
        </w:rPr>
        <w:t xml:space="preserve">[27] </w:t>
      </w:r>
      <w:r>
        <w:rPr>
          <w:rFonts w:ascii="Times New Roman" w:hAnsi="Times New Roman" w:eastAsia="Times New Roman"/>
          <w:sz w:val="16"/>
        </w:rPr>
        <w:t>B. Efron, "Better bootstrap confidence intervals," J. Amer. Statist. Assoc., vol. 82, no. 397, pp. 171–185, 1987, doi: 10.1080/01621459.1987.10478410.</w:t>
      </w:r>
    </w:p>
    <w:p>
      <w:pPr>
        <w:spacing w:line="240" w:lineRule="auto" w:before="0" w:after="40"/>
        <w:jc w:val="both"/>
      </w:pPr>
      <w:r>
        <w:rPr>
          <w:rFonts w:ascii="Times New Roman" w:hAnsi="Times New Roman" w:eastAsia="Times New Roman"/>
          <w:b/>
          <w:sz w:val="18"/>
        </w:rPr>
        <w:t xml:space="preserve">[28] </w:t>
      </w:r>
      <w:r>
        <w:rPr>
          <w:rFonts w:ascii="Times New Roman" w:hAnsi="Times New Roman" w:eastAsia="Times New Roman"/>
          <w:sz w:val="16"/>
        </w:rPr>
        <w:t>P. M. Podsakoff, S. B. MacKenzie, J.-Y. Lee, and N. P. Podsakoff, "Common method biases in behavioral research: A critical review of the literature and recommended remedies," J. Appl. Psychol., vol. 88, no. 5, pp. 879–903, 2003, doi: 10.1037/0021-9010.88.5.879.</w:t>
      </w:r>
    </w:p>
    <w:p>
      <w:pPr>
        <w:spacing w:line="240" w:lineRule="auto" w:before="0" w:after="40"/>
        <w:jc w:val="both"/>
      </w:pPr>
      <w:r>
        <w:rPr>
          <w:rFonts w:ascii="Times New Roman" w:hAnsi="Times New Roman" w:eastAsia="Times New Roman"/>
          <w:b/>
          <w:sz w:val="18"/>
        </w:rPr>
        <w:t xml:space="preserve">[29] </w:t>
      </w:r>
      <w:r>
        <w:rPr>
          <w:rFonts w:ascii="Times New Roman" w:hAnsi="Times New Roman" w:eastAsia="Times New Roman"/>
          <w:sz w:val="16"/>
        </w:rPr>
        <w:t>J. Pearl, Causality: Models, Reasoning, and Inference, 2nd ed. Cambridge, U.K.: Cambridge Univ. Press, 2009.</w:t>
      </w:r>
    </w:p>
    <w:p>
      <w:pPr>
        <w:spacing w:line="240" w:lineRule="auto" w:before="0" w:after="40"/>
        <w:jc w:val="both"/>
      </w:pPr>
      <w:r>
        <w:rPr>
          <w:rFonts w:ascii="Times New Roman" w:hAnsi="Times New Roman" w:eastAsia="Times New Roman"/>
          <w:b/>
          <w:sz w:val="18"/>
        </w:rPr>
        <w:t xml:space="preserve">[30] </w:t>
      </w:r>
      <w:r>
        <w:rPr>
          <w:rFonts w:ascii="Times New Roman" w:hAnsi="Times New Roman" w:eastAsia="Times New Roman"/>
          <w:sz w:val="16"/>
        </w:rPr>
        <w:t>R. L. Berger and J. C. Hsu, "Bioequivalence trials, intersection-union tests and equivalence confidence sets," Statist. Sci., vol. 11, no. 4, pp. 283–319, 1996, doi: 10.1214/ss/1032280304.</w:t>
      </w:r>
    </w:p>
    <w:p>
      <w:pPr>
        <w:spacing w:line="240" w:lineRule="auto" w:before="0" w:after="40"/>
        <w:jc w:val="both"/>
      </w:pPr>
      <w:r>
        <w:rPr>
          <w:rFonts w:ascii="Times New Roman" w:hAnsi="Times New Roman" w:eastAsia="Times New Roman"/>
          <w:b/>
          <w:sz w:val="18"/>
        </w:rPr>
        <w:t xml:space="preserve">[31] </w:t>
      </w:r>
      <w:r>
        <w:rPr>
          <w:rFonts w:ascii="Times New Roman" w:hAnsi="Times New Roman" w:eastAsia="Times New Roman"/>
          <w:sz w:val="16"/>
        </w:rPr>
        <w:t>M. K. Lindell and D. J. Whitney, "Accounting for common method variance in cross-sectional research designs," J. Appl. Psychol., vol. 86, no. 1, pp. 114–121, 2001, doi: 10.1037/0021-9010.86.1.114.</w:t>
      </w:r>
    </w:p>
    <w:p>
      <w:pPr>
        <w:spacing w:line="240" w:lineRule="auto" w:before="0" w:after="40"/>
        <w:jc w:val="both"/>
      </w:pPr>
      <w:r>
        <w:rPr>
          <w:rFonts w:ascii="Times New Roman" w:hAnsi="Times New Roman" w:eastAsia="Times New Roman"/>
          <w:b/>
          <w:sz w:val="18"/>
        </w:rPr>
        <w:t xml:space="preserve">[32] </w:t>
      </w:r>
      <w:r>
        <w:rPr>
          <w:rFonts w:ascii="Times New Roman" w:hAnsi="Times New Roman" w:eastAsia="Times New Roman"/>
          <w:sz w:val="16"/>
        </w:rPr>
        <w:t>T. C. Schelling, "Dynamic models of segregation," J. Math. Sociol., vol. 1, no. 2, pp. 143–186, 1971, doi: 10.1080/0022250X.1971.9989794.</w:t>
      </w:r>
    </w:p>
    <w:p>
      <w:pPr>
        <w:spacing w:line="240" w:lineRule="auto" w:before="0" w:after="40"/>
        <w:jc w:val="both"/>
      </w:pPr>
      <w:r>
        <w:rPr>
          <w:rFonts w:ascii="Times New Roman" w:hAnsi="Times New Roman" w:eastAsia="Times New Roman"/>
          <w:b/>
          <w:sz w:val="18"/>
        </w:rPr>
        <w:t xml:space="preserve">[33] </w:t>
      </w:r>
      <w:r>
        <w:rPr>
          <w:rFonts w:ascii="Times New Roman" w:hAnsi="Times New Roman" w:eastAsia="Times New Roman"/>
          <w:sz w:val="16"/>
        </w:rPr>
        <w:t>J. S. Park, J. C. O'Brien, C. J. Cai, M. R. Morris, P. Liang, and M. S. Bernstein, "Generative agents: Interactive simulacra of human behavior," in Proc. 36th Annu. ACM Symp. User Interface Softw. Technol. (UIST), 2023, doi: 10.1145/3586183.3606763.</w:t>
      </w:r>
    </w:p>
    <w:p>
      <w:pPr>
        <w:spacing w:line="240" w:lineRule="auto" w:before="120" w:after="40"/>
      </w:pPr>
      <w:r>
        <w:rPr>
          <w:rFonts w:ascii="Times New Roman" w:hAnsi="Times New Roman" w:eastAsia="Times New Roman"/>
          <w:b/>
          <w:sz w:val="18"/>
        </w:rPr>
        <w:t>BIOGRAPHIES</w:t>
      </w:r>
    </w:p>
    <w:p>
      <w:pPr>
        <w:spacing w:line="240" w:lineRule="auto" w:before="0" w:after="80"/>
        <w:jc w:val="both"/>
      </w:pPr>
      <w:r>
        <w:rPr>
          <w:rFonts w:ascii="Times New Roman" w:hAnsi="Times New Roman" w:eastAsia="Times New Roman"/>
          <w:b/>
          <w:sz w:val="16"/>
        </w:rPr>
        <w:t xml:space="preserve">TOKIWA, EISUKE </w:t>
      </w:r>
      <w:r>
        <w:rPr>
          <w:rFonts w:ascii="Times New Roman" w:hAnsi="Times New Roman" w:eastAsia="Times New Roman"/>
          <w:sz w:val="16"/>
        </w:rPr>
        <w:t>is the founder of SUNBLAZE Co., Ltd. (Tokyo, Japan). His research interests include personality psychology (HEXACO model), workplace harassment, microsimulation, target trial emulation, and pre-registered counterfactual analysis. ORCID: 0000-0009-7124-6669.</w:t>
      </w:r>
    </w:p>
    <w:sectPr w:rsidR="00FC693F" w:rsidRPr="0006063C" w:rsidSect="00034616">
      <w:pgSz w:w="11520" w:h="15660"/>
      <w:pgMar w:top="1280" w:right="740" w:bottom="1040" w:left="740" w:header="360" w:footer="640" w:gutter="0"/>
      <w:docGrid w:linePitch="360"/>
      <w:cols w:num="2" w:equalWidth="0" w:space="400">
        <w:col w:w="4820" w:space="400"/>
        <w:col w:w="482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