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systematic review and meta-analysis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systematic review and meta-analysis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 2020 reporting guidelines for systematic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systematic review and meta-analysis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and screening decisions; 04_extraction (https://doi.org/10.17605/OSF.IO/5UW98) — data extraction CSV and coding manual; 05_risk_of_bias (https://doi.org/10.17605/OSF.IO/3XYNE) — JBI risk-of-bias ratings for each included study;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(https://doi.org/10.21203/rs.3.rs-9513298).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systematic review and meta-analysis offers a first, preliminary quantitative synthesis dedicated to online learning environments. Following PRISMA 2020 standards, 25 primary studies were retained for systematic synthesis (cataloguing 31 full-text records in Table 1, including 6 documented post-eligibility exclusions for PRISMA transparency) reporting Big Five personality and academic achievement in online, blended, or MOOC environments. Ten studies (pooled </w:t>
      </w:r>
      <w:r>
        <w:rPr>
          <w:rFonts w:ascii="Times New Roman" w:hAnsi="Times New Roman" w:eastAsia="Times New Roman"/>
          <w:i/>
          <w:sz w:val="24"/>
        </w:rPr>
        <w:t>N</w:t>
      </w:r>
      <w:r>
        <w:rPr>
          <w:rFonts w:ascii="Times New Roman" w:hAnsi="Times New Roman" w:eastAsia="Times New Roman"/>
          <w:sz w:val="24"/>
        </w:rPr>
        <w:t xml:space="preserve"> = 3,384) contributed direct or β-converted Pearson correlations to the primary achievement pool,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Conscientiousness was the strongest predictor (pooled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Two pre-registered subgroup contrasts showed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 but these contrasts rest on a small number of studies per subgroup and should be treated as exploratory rather than confirmatory. The findings are broadly consistent with the Personality-Achievement Saturation Hypothesis (Meyer et al., 2023) extended to technology-mediated learning, but the small primary pool (</w:t>
      </w:r>
      <w:r>
        <w:rPr>
          <w:rFonts w:ascii="Times New Roman" w:hAnsi="Times New Roman" w:eastAsia="Times New Roman"/>
          <w:i/>
          <w:sz w:val="24"/>
        </w:rPr>
        <w:t>k</w:t>
      </w:r>
      <w:r>
        <w:rPr>
          <w:rFonts w:ascii="Times New Roman" w:hAnsi="Times New Roman" w:eastAsia="Times New Roman"/>
          <w:sz w:val="24"/>
        </w:rPr>
        <w:t xml:space="preserve"> = 10), substantial heterogeneity, and wide prediction intervals (which include zero for most traits) mean that this consistency does not yet constitute strong confirmation. GRADE confidence ranged from Moderate (Conscientiousness, Extraversion) to Low (Openness, Agreeableness, Neuroticism). The synthesis offers a tentative empirical reference point and identifies a priority research agenda — replication with a larger and more linguistically inclusive corpus, facet-level analyses, and explicit modality contrasts — but the conclusions should not be over-extrapolated to practical pedagogical recommendations on the basis of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systematic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systematic review and meta-analysis is, to our knowledge, the first quantitative synthesis of the association between Big Five personality traits and academic achievement that focuses specifically on online learning environments. Our review addresses three research questions and evaluates five directional hypotheses. The research questions are as follows. First (RQ1), what is the pooled magnitude of the association between each Big Five trait and academic achievement in online learning environments, and how does this magnitude compare with published face-to-face benchmarks? Second (RQ2), does the personality-achievement association vary systematically across learning modality, education level, region, era, outcome type, and personality instrument? Third (RQ3), is the personality-achievement association in online environments fully accounted for by mediating constructs such as self-efficacy and self-regulation, or does it exhibit direct effects beyond these mediators?</w:t>
      </w:r>
    </w:p>
    <w:p>
      <w:pPr>
        <w:spacing w:line="480" w:lineRule="auto" w:before="0" w:after="0"/>
        <w:ind w:firstLine="720"/>
      </w:pPr>
      <w:r>
        <w:rPr>
          <w:rFonts w:ascii="Times New Roman" w:hAnsi="Times New Roman" w:eastAsia="Times New Roman"/>
          <w:sz w:val="24"/>
        </w:rPr>
        <w:t xml:space="preserve">Five directional hypotheses, pre-specified in the OSF registration (https://osf.io/e5w47/), are evaluated. Hypothesis 1 (H1) states that Conscientiousness will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Hypothesis 2 (H2) states that Openness will show the second-strongest positive correlation, potentially stronger than in face-to-face contexts, reflecting the premium placed on self-directed exploration in online environments. Hypothesis 3 (H3) states that Agreeableness will show a small positive correlation, potentially weaker than in face-to-face contexts because cooperative group behaviors are less central in asynchronous online environments. Hypothesis 4 (H4) states that Neuroticism will show a negative correlation, more pronounced in fully online than in blended modalities, reflecting the isolating and technology-mediated nature of fully online environments. Hypothesis 5 (H5) states that Extraversion will show a null or weak negative correlation, with possible facet-level cancellation between sociability (expected negative) and assertiveness (expected positive) components, reflecting the reduced social presence of online environments. Hypotheses H2, H4, and H5 constitute the novel contribution of this review, as they predict modality-specific divergences from established patterns observed in face-to-face meta-analyses.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 to the author's knowledge, the first quantitative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systematic review and meta-analysis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Systematic Review and Meta-Analysis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 2020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The pre-registered search plan specified six electronic databases—PubMed/MEDLINE, PsycINFO, the Education Resources Information Center (ERIC), Web of Science (Core Collection), Scopus, and ProQuest Dissertations &amp; Theses Global—supplemented by Google Scholar (first 200 hits per query) and forward/backward citation snowballing. Because the review was executed in a computing environment that did not have institutional access to the subscription-gated databases (Scopus, Web of Science, PsycINFO), and because the direct E-utilities and OpenAlex APIs were unavailable due to network allowlist restrictions, the final search was executed through a web-based search interface equivalent in coverage to Google Scholar, combined with targeted retrieval from open-access repositories (PubMed Central, Frontiers, MDPI, Open Praxis). This constitutes a deviation from the pre-registered protocol and is discussed transparently under “Deviations from the Pre-registered Protocol.” The deviation was mitigated by applying the same pre-specified three-concept Boolean search strategy across all executed queries and by retaining the original retrieval logs on the OSF project.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 2020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primary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primary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primary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(Egger et al., 1997); Peters' regression test adapted for correlation effect sizes; and Duval and Tweedie's (2000) trim-and-fill procedure, reported as a sensitivity check rather than as a point-estimate correction. In addition, p-curve analysis (Simonsohn et al., 2014)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Confidence in Cumulative Evidence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core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primary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primary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Bahçekapılı &amp; Karaman, 2020 to .37 in Abe, 2020 paper-grade outcome),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(Yu, 2021 and Kaspar et al., 2023). Consistent with McAbee and Oswald (2013),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primary quantitative pool, larger samples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Zheng &amp; Zheng, 2023 </w:t>
      </w:r>
      <w:r>
        <w:rPr>
          <w:rFonts w:ascii="Times New Roman" w:hAnsi="Times New Roman" w:eastAsia="Times New Roman"/>
          <w:i/>
          <w:sz w:val="24"/>
        </w:rPr>
        <w:t>N</w:t>
      </w:r>
      <w:r>
        <w:rPr>
          <w:rFonts w:ascii="Times New Roman" w:hAnsi="Times New Roman" w:eastAsia="Times New Roman"/>
          <w:sz w:val="24"/>
        </w:rPr>
        <w:t xml:space="preserve"> = 282; Rodrigues et al., 2024 </w:t>
      </w:r>
      <w:r>
        <w:rPr>
          <w:rFonts w:ascii="Times New Roman" w:hAnsi="Times New Roman" w:eastAsia="Times New Roman"/>
          <w:i/>
          <w:sz w:val="24"/>
        </w:rPr>
        <w:t>N</w:t>
      </w:r>
      <w:r>
        <w:rPr>
          <w:rFonts w:ascii="Times New Roman" w:hAnsi="Times New Roman" w:eastAsia="Times New Roman"/>
          <w:sz w:val="24"/>
        </w:rPr>
        <w:t xml:space="preserve"> = 260;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Dang et al., 2025; general learning-engagement scale not online-specific) and one (A-02 Alkış &amp; Taşkaya Temizel, 2018)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Tokiwa, 2025; A-26 Wang et al., 2023), with an additional K-12 record (A-10 Boonyapison et al., 2025)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primary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quantitative analyses were performed in Python (version ≥ 3.11) using the scientific Python stack as the primary engine for random-effects meta-analysis, mixed-effects meta-regression, and heterogeneity diagnostics: NumPy and SciPy for numerical primitives (REML </w:t>
      </w:r>
      <w:r>
        <w:rPr>
          <w:rFonts w:ascii="Times New Roman" w:hAnsi="Times New Roman" w:eastAsia="Times New Roman"/>
          <w:i/>
          <w:sz w:val="24"/>
        </w:rPr>
        <w:t>τ²</w:t>
      </w:r>
      <w:r>
        <w:rPr>
          <w:rFonts w:ascii="Times New Roman" w:hAnsi="Times New Roman" w:eastAsia="Times New Roman"/>
          <w:sz w:val="24"/>
        </w:rPr>
        <w:t xml:space="preserve"> estimation, Fisher-z transformations, Hartung-Knapp-Sidik-Jonkman confidence-interval adjustment, Q-statistic and </w:t>
      </w:r>
      <w:r>
        <w:rPr>
          <w:rFonts w:ascii="Times New Roman" w:hAnsi="Times New Roman" w:eastAsia="Times New Roman"/>
          <w:i/>
          <w:sz w:val="24"/>
        </w:rPr>
        <w:t>I²</w:t>
      </w:r>
      <w:r>
        <w:rPr>
          <w:rFonts w:ascii="Times New Roman" w:hAnsi="Times New Roman" w:eastAsia="Times New Roman"/>
          <w:sz w:val="24"/>
        </w:rPr>
        <w:t xml:space="preserve"> computation, prediction-interval calculation), pandas for the extraction-CSV data layer, statsmodels for ancillary regression and trim-and-fill calculations, and Matplotlib for forest, funnel, and bubble plots. The clubSandwich approach to cluster-robust variance estimation (Pustejovsky, 2023; Tipton, 2015) was re-implemented in Python following the published mathematical specification rather than via the R package, and was validated against the canonical Harrer et al. (2021) worked examples. All analysis code, the deposited extraction CSV, and pinned package versions (uv.lock) are deposited on the associated OSF project (https://doi.org/10.17605/OSF.IO/79M5J), specifically in the 06_analysis component (https://doi.org/10.17605/OSF.IO/Q4XKB), and are mirrored at https://github.com/etoki/paper for version control. Any interested researcher can reproduce every analytic step reported in this paper from the deposited extraction CSV and the Python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 2020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primary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primary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Tokiwa, 2025; Tokiwa is in the qualitative-synthesis 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primary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primary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Tokiwa, A-26 Wang), undergraduate (15 studies), mixed undergraduate/graduate (5 studies: A-08, A-18, A-20, A-28, A-30), graduate only (2 studies: A-07 Cohen &amp; Baruth, 2017; A-37 Zheng &amp; Zheng, 2023), and mixed secondary/post-secondary (1 study: A-11 Cheng et al., 2023). Regional distribution, important for the pre-registered Asian-amplification moderator analysis, was Asia (12 studies; includes East Asian and Middle Eastern samples), Europe (7 studies), and North America (6 studies); within the primary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MacLean, 2022), the Ten-Item Personality Inventory (TIPI, TIPI-J; 2 studies: A-31 Rivers, A-37 Zheng &amp; Zheng), and other validated Big Five–aligned scales (Sahinidis and Tsaknis's (2021) 30-item custom scale, Chinese-language Big Five scales of A-20 Mustafa et al. (2022) and A-26 Wang et al. (2023), and McCrae's 40-item scale used in A-28 Yu; 4 studies in total). Achievement outcomes in the 10-study primary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primary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Primary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supporting Hypothesis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confirming the ordinal prediction of H1,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Hypothesis 5 (H5),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Hypothesis 3 (H3), which predicted a weaker Agreeableness effect in online than in face-to-face contexts. Within the primary pool the largest Agreeableness contribution came from a single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primary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Hypothesis 4 (H4), which expected a negative effect more pronounced in fully online than in blended modalities; H4 was not supported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(2024)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(Yu, 2021 weakly positive </w:t>
      </w:r>
      <w:r>
        <w:rPr>
          <w:rFonts w:ascii="Times New Roman" w:hAnsi="Times New Roman" w:eastAsia="Times New Roman"/>
          <w:i/>
          <w:sz w:val="24"/>
        </w:rPr>
        <w:t>β</w:t>
      </w:r>
      <w:r>
        <w:rPr>
          <w:rFonts w:ascii="Times New Roman" w:hAnsi="Times New Roman" w:eastAsia="Times New Roman"/>
          <w:sz w:val="24"/>
        </w:rPr>
        <w:t xml:space="preserve"> = .037; Kaspar et al., 2023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primary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H4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primary quantitative pool (the 4 post-COVID studies in the qualitative-synthesis retained set — A-13 Dang et al., 2025; A-17 Kara, 2024; A-25 Tokiwa, 2025; A-26 Wang et al., 2023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primary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(2021)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Hypothesis 5, further supporting the hypothesis when asymmetry is considered. Trim-and-fill adjusted estimates are reported as a sensitivity check only and do not replace the primary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GRADE Summary of Findings</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H5,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systematic review and meta-analysis provides , to the author's knowledge,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primary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(Yu, 2021) within the primary pool, with convergent narrative evidence from East Asian (Wang et al., 2023) and Israeli (Baruth &amp; Cohen, 2023)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Hypothesis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H1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Hypothesis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H2 is not supported. The prediction that online environments would amplify the Openness effect through a premium on self-directed exploration was not borne out; the failure to support H2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Hypothesis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predicted a weaker rather than stronger effect, is therefore not supported. Within the 9-study primary Agreeableness pool, the pooled estimate is driven principally by a single influential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primary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primary pool). These directional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Hypothesis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H4 — an overall negative pooled effect — is not supported by the primary analysis. The second component of H4 — a more pronounced negative effect in fully online than in blended modalities — could not be evaluated quantitatively because only one study (A-02 Alkış &amp; Taşkaya Temizel, 2018)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H4 sign prediction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Hypothesis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overall effect. The overall H5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 to the author's knowledge,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 Whether these contextual shifts reflect the H5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 effects on tertiary academic achievement (Chen et al., 2025; Poropat, 2009), with the few modest positive effects concentrated in elementary/middle school contexts where classroom participation is more salient (Mammadov, 2022).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(Paulhus, 1998), but cannot by itself be taken as evidence for either model.</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(2022) and Chen et al. (2025),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(Yu, 2021)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primary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Tentative Practical Implications</w:t>
      </w:r>
    </w:p>
    <w:p>
      <w:pPr>
        <w:spacing w:line="480" w:lineRule="auto" w:before="0" w:after="0"/>
        <w:ind w:firstLine="720"/>
      </w:pPr>
      <w:r>
        <w:rPr>
          <w:rFonts w:ascii="Times New Roman" w:hAnsi="Times New Roman" w:eastAsia="Times New Roman"/>
          <w:sz w:val="24"/>
        </w:rPr>
        <w:t>We note up front that the practical implications below are best read as tentative working hypotheses rather than as actionable design or pedagogical recommendations. The primary achievement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two moderator contrasts that drive the modality-related implications below rest on a very small number of studies per subgroup (in some cases two to three). Practitioners and educational technology developers should not use the present synthesis as a sole basis for design or instructional decisions, and any of the implications below should be validated against larger and more linguistically inclusive future syntheses before being operationalised.</w:t>
      </w:r>
    </w:p>
    <w:p>
      <w:pPr>
        <w:spacing w:line="480" w:lineRule="auto" w:before="0" w:after="0"/>
        <w:ind w:firstLine="720"/>
      </w:pPr>
      <w:r>
        <w:rPr>
          <w:rFonts w:ascii="Times New Roman" w:hAnsi="Times New Roman" w:eastAsia="Times New Roman"/>
          <w:sz w:val="24"/>
        </w:rPr>
        <w:t>Subject to those caveats, the preserved (albeit slightly reduced) Conscientiousness effect (</w:t>
      </w:r>
      <w:r>
        <w:rPr>
          <w:rFonts w:ascii="Times New Roman" w:hAnsi="Times New Roman" w:eastAsia="Times New Roman"/>
          <w:i/>
          <w:sz w:val="24"/>
        </w:rPr>
        <w:t>r</w:t>
      </w:r>
      <w:r>
        <w:rPr>
          <w:rFonts w:ascii="Times New Roman" w:hAnsi="Times New Roman" w:eastAsia="Times New Roman"/>
          <w:sz w:val="24"/>
        </w:rPr>
        <w:t xml:space="preserve"> = .167) is consistent with the broadly held expectation that features supporting self-regulated learning—structured scheduling tools, progress tracking, deadline reminders, and LMS engagement analytics—are likely to benefit learners who are lower in Conscientiousness. This is also the implication that draws on the most stable finding in the present synthesis (Conscientiousness is the only trait whose 95% prediction interval does not include zero), and is therefore the implication for which the present evidence base provides the least tentative support.</w:t>
      </w:r>
    </w:p>
    <w:p>
      <w:pPr>
        <w:spacing w:line="480" w:lineRule="auto" w:before="0" w:after="0"/>
        <w:ind w:firstLine="720"/>
      </w:pPr>
      <w:r>
        <w:rPr>
          <w:rFonts w:ascii="Times New Roman" w:hAnsi="Times New Roman" w:eastAsia="Times New Roman"/>
          <w:sz w:val="24"/>
        </w:rPr>
        <w:t>The exploratory subgroup finding that the Extraversion-achievement association is negative in Asian samples and in objective outcomes — and positive in non-Asian samples and in self-rated outcomes — may be hypothesised, on the present evidence, to imply that (a) intentional incorporation of synchronous elements in fully asynchronous Asian-context courses may partially restore the social channels through which extraverted learners express engagement, and (b) self-rated performance metrics in online contexts may be subject to extraversion-related self-enhancement and should be triangulated with objective indicators where possible. We emphasise, however, that the Region and Outcome-Type subgroup contrasts are based on as few as two studies per level on at least one side of the contrast; that the Asian subset includes Middle Eastern samples whose theoretical positioning relative to East Asian collectivism is debated; and that the English-language restriction means a non-trivial fraction of the underlying Asian-context literature was implicitly excluded. These implications should therefore be treated as exploratory leads for primary-research replication rather than as established practical guidance.</w:t>
      </w:r>
    </w:p>
    <w:p>
      <w:pPr>
        <w:spacing w:line="480" w:lineRule="auto" w:before="0" w:after="0"/>
        <w:ind w:firstLine="720"/>
      </w:pPr>
      <w:r>
        <w:rPr>
          <w:rFonts w:ascii="Times New Roman" w:hAnsi="Times New Roman" w:eastAsia="Times New Roman"/>
          <w:sz w:val="24"/>
        </w:rPr>
        <w:t>The larger-than-expected Agreeableness pooled estimate (</w:t>
      </w:r>
      <w:r>
        <w:rPr>
          <w:rFonts w:ascii="Times New Roman" w:hAnsi="Times New Roman" w:eastAsia="Times New Roman"/>
          <w:i/>
          <w:sz w:val="24"/>
        </w:rPr>
        <w:t>r</w:t>
      </w:r>
      <w:r>
        <w:rPr>
          <w:rFonts w:ascii="Times New Roman" w:hAnsi="Times New Roman" w:eastAsia="Times New Roman"/>
          <w:sz w:val="24"/>
        </w:rPr>
        <w:t xml:space="preserve"> = .112) is driven primarily by a single Chinese MOOC sample (Yu, 2021); the pre-specified single-study leave-one-out sensitivity analysis showed that excluding this study substantially attenuates the Agreeableness effect. The Agreeableness finding is therefore one of the most fragile in the synthesis and should not, by itself, motivate cooperative-learning design recommendations. Convergent narrative evidence from other East Asian and Israeli studies is directionally consistent but not by itself sufficient to establish a robust cooperative-learning implication. The failure to support an amplified Openness effect suggests, tentatively, that exploration-oriented features of online environments do not currently translate into consistent achievement advantages for high-Openness learners — possibly reflecting the standardization of online assessment and the constrained range of exploration afforded by most institutional LMS platforms — but this null is itself based on a very small primary pool and should be revisited as the literature grows.</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primary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(Yu, 2021)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quantitative meta-analytic synthesis dedicated to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(2005) transformation) is at the lower bound of what is generally considered adequate for robust random-effects estimation (Borenstein et al., 2021). With a primary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(Tokiwa, 2025) was included in the qualitative-synthesis retained set as a potentially eligible record. A pre-specified sensitivity analysis excluding this study did not alter the pooled estimates (|Δr| &lt; .001 for every trait) because Tokiwa (2025) did not contribute extractable zero-order correlations to the primary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(2018)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primary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predictor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(Yu, 2021), and this finding is fragile to the exclusion of that single study; and Neuroticism and Openness effects were essentially null in the primary synthesis. The findings are consistent with the Personality-Achievement Saturation Hypothesis (Meyer et al., 2023)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in the deep-reading-notes ledger (A-XX sequence). </w:t>
      </w:r>
      <w:r>
        <w:rPr>
          <w:rFonts w:ascii="Times New Roman" w:hAnsi="Times New Roman" w:eastAsia="Times New Roman"/>
          <w:i/>
          <w:sz w:val="24"/>
        </w:rPr>
        <w:t>N</w:t>
      </w:r>
      <w:r>
        <w:rPr>
          <w:rFonts w:ascii="Times New Roman" w:hAnsi="Times New Roman" w:eastAsia="Times New Roman"/>
          <w:sz w:val="24"/>
        </w:rPr>
        <w:t xml:space="preserve">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w:t>
      </w:r>
      <w:r>
        <w:rPr>
          <w:rFonts w:ascii="Times New Roman" w:hAnsi="Times New Roman" w:eastAsia="Times New Roman"/>
          <w:i/>
          <w:sz w:val="24"/>
        </w:rPr>
        <w:t>k</w:t>
      </w:r>
      <w:r>
        <w:rPr>
          <w:rFonts w:ascii="Times New Roman" w:hAnsi="Times New Roman" w:eastAsia="Times New Roman"/>
          <w:sz w:val="24"/>
        </w:rPr>
        <w:t xml:space="preserve"> = 10) — Inc-pri = included in primary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w:t>
      </w:r>
      <w:r>
        <w:rPr>
          <w:rFonts w:ascii="Times New Roman" w:hAnsi="Times New Roman" w:eastAsia="Times New Roman"/>
          <w:i/>
          <w:sz w:val="24"/>
        </w:rPr>
        <w:t>r</w:t>
      </w:r>
      <w:r>
        <w:rPr>
          <w:rFonts w:ascii="Times New Roman" w:hAnsi="Times New Roman" w:eastAsia="Times New Roman"/>
          <w:sz w:val="24"/>
        </w:rPr>
        <w:t xml:space="preserve"> for the primary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(2009) and A-27 Wu &amp; Yu (2024)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[.048, .243]</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[−.167, .556]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[−.086, .265]</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[−.637, .715]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[−.115, .039]</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[−.136, .356]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[−.054, .308]</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[−.862, .881]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[−.097, .080]</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[−.926, .954]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[.105, .298]</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[.111, .252]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[−.117, .178]</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[−.052, .242]</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[−.087, .122]</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[−.088,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[−.015, .148]</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[−.036, .281]</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[−.126, .040]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[−.093, .130]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 xml:space="preserve">Note. Δr = change in pooled correlation from the primary analysis. A double dagger (‡) denotes a sensitivity-analysis-induced shift exceeding |Δr| = .05, which is considered potentially influential per the pre-registered threshold. A single dagger (†) denotes a significant Egger test at </w:t>
      </w:r>
      <w:r>
        <w:rPr>
          <w:rFonts w:ascii="Times New Roman" w:hAnsi="Times New Roman" w:eastAsia="Times New Roman"/>
          <w:i/>
          <w:sz w:val="24"/>
        </w:rPr>
        <w:t>p</w:t>
      </w:r>
      <w:r>
        <w:rPr>
          <w:rFonts w:ascii="Times New Roman" w:hAnsi="Times New Roman" w:eastAsia="Times New Roman"/>
          <w:sz w:val="24"/>
        </w:rPr>
        <w:t xml:space="preserve"> &lt; .05. "Exclude Tokiwa (COI)" removes the present author's prior primary study (Tokiwa, 2025); the zero delta reflects that this study did not contribute a direct </w:t>
      </w:r>
      <w:r>
        <w:rPr>
          <w:rFonts w:ascii="Times New Roman" w:hAnsi="Times New Roman" w:eastAsia="Times New Roman"/>
          <w:i/>
          <w:sz w:val="24"/>
        </w:rPr>
        <w:t>r</w:t>
      </w:r>
      <w:r>
        <w:rPr>
          <w:rFonts w:ascii="Times New Roman" w:hAnsi="Times New Roman" w:eastAsia="Times New Roman"/>
          <w:sz w:val="24"/>
        </w:rPr>
        <w:t xml:space="preserve"> to the primary pool. "Exclude β-converted" restricts the pool to studies reporting direct Pearson </w:t>
      </w:r>
      <w:r>
        <w:rPr>
          <w:rFonts w:ascii="Times New Roman" w:hAnsi="Times New Roman" w:eastAsia="Times New Roman"/>
          <w:i/>
          <w:sz w:val="24"/>
        </w:rPr>
        <w:t>r</w:t>
      </w:r>
      <w:r>
        <w:rPr>
          <w:rFonts w:ascii="Times New Roman" w:hAnsi="Times New Roman" w:eastAsia="Times New Roman"/>
          <w:sz w:val="24"/>
        </w:rPr>
        <w:t xml:space="preserve"> or Spearman </w:t>
      </w:r>
      <w:r>
        <w:rPr>
          <w:rFonts w:ascii="Times New Roman" w:hAnsi="Times New Roman" w:eastAsia="Times New Roman"/>
          <w:i/>
          <w:sz w:val="24"/>
        </w:rPr>
        <w:t>ρ</w:t>
      </w:r>
      <w:r>
        <w:rPr>
          <w:rFonts w:ascii="Times New Roman" w:hAnsi="Times New Roman" w:eastAsia="Times New Roman"/>
          <w:sz w:val="24"/>
        </w:rPr>
        <w:t>.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GRADE Summary of Findings: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(Schünemann et al., 2019). Five standard domains are evaluated per trait: Risk of Bias (mean JBI aggregate score across studies in the pool; serious if mean &lt; 5), Inconsistency (</w:t>
      </w:r>
      <w:r>
        <w:rPr>
          <w:rFonts w:ascii="Times New Roman" w:hAnsi="Times New Roman" w:eastAsia="Times New Roman"/>
          <w:i/>
          <w:sz w:val="24"/>
        </w:rPr>
        <w:t>I²</w:t>
      </w:r>
      <w:r>
        <w:rPr>
          <w:rFonts w:ascii="Times New Roman" w:hAnsi="Times New Roman" w:eastAsia="Times New Roman"/>
          <w:sz w:val="24"/>
        </w:rPr>
        <w:t xml:space="preserve"> and prediction interval;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Indirectness (population, exposure, or outcome indirectness relative to the review question), Imprecision (serious if 95% CI crosses the null or is wider than 2 × MOI of |r| = .10), and Publication Bias (serious if Egger's test is significant at </w:t>
      </w:r>
      <w:r>
        <w:rPr>
          <w:rFonts w:ascii="Times New Roman" w:hAnsi="Times New Roman" w:eastAsia="Times New Roman"/>
          <w:i/>
          <w:sz w:val="24"/>
        </w:rPr>
        <w:t>p</w:t>
      </w:r>
      <w:r>
        <w:rPr>
          <w:rFonts w:ascii="Times New Roman" w:hAnsi="Times New Roman" w:eastAsia="Times New Roman"/>
          <w:sz w:val="24"/>
        </w:rPr>
        <w:t xml:space="preserve">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w:t>
      </w:r>
      <w:r>
        <w:rPr>
          <w:rFonts w:ascii="Times New Roman" w:hAnsi="Times New Roman" w:eastAsia="Times New Roman"/>
          <w:i/>
          <w:sz w:val="24"/>
        </w:rPr>
        <w:t>k</w:t>
      </w:r>
      <w:r>
        <w:rPr>
          <w:rFonts w:ascii="Times New Roman" w:hAnsi="Times New Roman" w:eastAsia="Times New Roman"/>
          <w:sz w:val="24"/>
        </w:rPr>
        <w:t xml:space="preserve">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 2020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 2020 statement (Page et al., 2021). Records were identified through WebSearch-based formal search (</w:t>
      </w:r>
      <w:r>
        <w:rPr>
          <w:rFonts w:ascii="Times New Roman" w:hAnsi="Times New Roman" w:eastAsia="Times New Roman"/>
          <w:i/>
          <w:sz w:val="24"/>
        </w:rPr>
        <w:t>n</w:t>
      </w:r>
      <w:r>
        <w:rPr>
          <w:rFonts w:ascii="Times New Roman" w:hAnsi="Times New Roman" w:eastAsia="Times New Roman"/>
          <w:sz w:val="24"/>
        </w:rPr>
        <w:t xml:space="preserve"> = 80 from eight structured queries), preliminary informal search yielding a previously curated corpus (</w:t>
      </w:r>
      <w:r>
        <w:rPr>
          <w:rFonts w:ascii="Times New Roman" w:hAnsi="Times New Roman" w:eastAsia="Times New Roman"/>
          <w:i/>
          <w:sz w:val="24"/>
        </w:rPr>
        <w:t>n</w:t>
      </w:r>
      <w:r>
        <w:rPr>
          <w:rFonts w:ascii="Times New Roman" w:hAnsi="Times New Roman" w:eastAsia="Times New Roman"/>
          <w:sz w:val="24"/>
        </w:rPr>
        <w:t xml:space="preserve"> = 28), and citation snowballing combined with open-access repository downloads (</w:t>
      </w:r>
      <w:r>
        <w:rPr>
          <w:rFonts w:ascii="Times New Roman" w:hAnsi="Times New Roman" w:eastAsia="Times New Roman"/>
          <w:i/>
          <w:sz w:val="24"/>
        </w:rPr>
        <w:t>n</w:t>
      </w:r>
      <w:r>
        <w:rPr>
          <w:rFonts w:ascii="Times New Roman" w:hAnsi="Times New Roman" w:eastAsia="Times New Roman"/>
          <w:sz w:val="24"/>
        </w:rPr>
        <w:t xml:space="preserve"> = 12), for a total of 120 records. After deduplication (</w:t>
      </w:r>
      <w:r>
        <w:rPr>
          <w:rFonts w:ascii="Times New Roman" w:hAnsi="Times New Roman" w:eastAsia="Times New Roman"/>
          <w:i/>
          <w:sz w:val="24"/>
        </w:rPr>
        <w:t>n</w:t>
      </w:r>
      <w:r>
        <w:rPr>
          <w:rFonts w:ascii="Times New Roman" w:hAnsi="Times New Roman" w:eastAsia="Times New Roman"/>
          <w:sz w:val="24"/>
        </w:rPr>
        <w:t xml:space="preserve">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w:t>
      </w:r>
      <w:r>
        <w:rPr>
          <w:rFonts w:ascii="Times New Roman" w:hAnsi="Times New Roman" w:eastAsia="Times New Roman"/>
          <w:i/>
          <w:sz w:val="24"/>
        </w:rPr>
        <w:t>n</w:t>
      </w:r>
      <w:r>
        <w:rPr>
          <w:rFonts w:ascii="Times New Roman" w:hAnsi="Times New Roman" w:eastAsia="Times New Roman"/>
          <w:sz w:val="24"/>
        </w:rPr>
        <w:t xml:space="preserve"> = 5; MBTI, Proactive Personality, TAM, TUE, and other non-FFM operationalization), face-to-face modality (</w:t>
      </w:r>
      <w:r>
        <w:rPr>
          <w:rFonts w:ascii="Times New Roman" w:hAnsi="Times New Roman" w:eastAsia="Times New Roman"/>
          <w:i/>
          <w:sz w:val="24"/>
        </w:rPr>
        <w:t>n</w:t>
      </w:r>
      <w:r>
        <w:rPr>
          <w:rFonts w:ascii="Times New Roman" w:hAnsi="Times New Roman" w:eastAsia="Times New Roman"/>
          <w:sz w:val="24"/>
        </w:rPr>
        <w:t xml:space="preserve"> = 4; A-09 Bhattacharjee &amp; Ramkumar, 2025; A-10 Boonyapison et al., 2025; A-14 Eilam et al., 2009; A-16 Hidalgo-Fuentes et al., 2024), sample overlap with an already-included study (</w:t>
      </w:r>
      <w:r>
        <w:rPr>
          <w:rFonts w:ascii="Times New Roman" w:hAnsi="Times New Roman" w:eastAsia="Times New Roman"/>
          <w:i/>
          <w:sz w:val="24"/>
        </w:rPr>
        <w:t>n</w:t>
      </w:r>
      <w:r>
        <w:rPr>
          <w:rFonts w:ascii="Times New Roman" w:hAnsi="Times New Roman" w:eastAsia="Times New Roman"/>
          <w:sz w:val="24"/>
        </w:rPr>
        <w:t xml:space="preserve"> = 1; A-05 Audet et al., 2023 overlapped with A-04 Audet et al., 2021), and effect size not extractable (</w:t>
      </w:r>
      <w:r>
        <w:rPr>
          <w:rFonts w:ascii="Times New Roman" w:hAnsi="Times New Roman" w:eastAsia="Times New Roman"/>
          <w:i/>
          <w:sz w:val="24"/>
        </w:rPr>
        <w:t>n</w:t>
      </w:r>
      <w:r>
        <w:rPr>
          <w:rFonts w:ascii="Times New Roman" w:hAnsi="Times New Roman" w:eastAsia="Times New Roman"/>
          <w:sz w:val="24"/>
        </w:rPr>
        <w:t xml:space="preserve"> = 1; A-24 Tlili et al., 2023, lag sequential analysis). The remaining studies, supplemented by four newly identified primary studies (A-29 Bahçekapılı &amp; Karaman, 2020; A-30 Kaspar et al., 2023; A-31 Rivers, 2021; A-37 Zheng &amp; Zheng, 2023), yielded 31 primary studies catalogued in this review (Table 1). Of these, 25 were retained for qualitative synthesis, and 10 contributed direct Pearson correlations or β-converted effect sizes to the primary quantitative achievement pool (with two studies — A-28 Yu, 2021 and A-30 Kaspar et al., 2023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