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Systematic Review and Meta-Analysis</w:t>
      </w:r>
    </w:p>
    <w:p>
      <w:pPr>
        <w:spacing w:line="480" w:lineRule="auto" w:before="0" w:after="0"/>
        <w:jc w:val="center"/>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SUNBLAZE Co., Ltd., Tokyo, Japan</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Author Note</w:t>
      </w:r>
    </w:p>
    <w:p>
      <w:pPr>
        <w:spacing w:line="480" w:lineRule="auto" w:before="0" w:after="0"/>
        <w:ind w:firstLine="720"/>
      </w:pPr>
      <w:r>
        <w:rPr>
          <w:rFonts w:ascii="Times New Roman" w:hAnsi="Times New Roman" w:eastAsia="Times New Roman"/>
          <w:sz w:val="24"/>
        </w:rPr>
        <w:t>Eisuke Tokiwa https://orcid.org/0009-0009-7124-6669</w:t>
      </w:r>
    </w:p>
    <w:p>
      <w:pPr>
        <w:spacing w:line="480" w:lineRule="auto" w:before="0" w:after="0"/>
        <w:ind w:firstLine="720"/>
      </w:pPr>
      <w:r>
        <w:rPr>
          <w:rFonts w:ascii="Times New Roman" w:hAnsi="Times New Roman" w:eastAsia="Times New Roman"/>
          <w:sz w:val="24"/>
        </w:rPr>
        <w:t>The author has no known conflict of interest to disclose beyond that stated in the Declarations section, where a pre-specified sensitivity analysis addresses the author's own potentially eligible primary study. This research received no external funding. The systematic review and meta-analysis was pre-registered on OSF Registries (https://doi.org/10.17605/OSF.IO/E5W47) prior to data extraction, and all data, analysis code, and supplementary materials are publicly available in the associated OSF project (https://doi.org/10.17605/OSF.IO/79M5J).</w:t>
      </w:r>
    </w:p>
    <w:p>
      <w:pPr>
        <w:spacing w:line="480" w:lineRule="auto" w:before="0" w:after="0"/>
        <w:ind w:firstLine="720"/>
      </w:pPr>
      <w:r>
        <w:rPr>
          <w:rFonts w:ascii="Times New Roman" w:hAnsi="Times New Roman" w:eastAsia="Times New Roman"/>
          <w:sz w:val="24"/>
        </w:rPr>
        <w:t>Correspondence concerning this article should be addressed to Eisuke Tokiwa, SUNBLAZE Co., Ltd., Tokyo, Japan. Email: eisuke.tokiwa@sunblaze.jp</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this work, except that one of the author's prior primary studies (Tokiwa, 2025) is potentially eligible for inclusion in the present meta-analysis. This conflict is addressed through a pre-specified sensitivity analysis excluding the author's own study.</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study is a systematic review and meta-analysis of previously published quantitative research and did not involve any direct collection of data from human participants by the present author. As no new primary data were collected, no Institutional Review Board (IRB) or Research Ethics Committee approval was required for the conduct of this synthesis. The conduct of this review followed the ethical principles outlined in the Declaration of Helsinki (as revised in 2013) and the PRISMA 2020 reporting guidelines for systematic reviews. Ethical approval for each of the included primary studies was the responsibility of the original investigators of those studies, as documented in their respective publications.</w:t>
      </w:r>
    </w:p>
    <w:p>
      <w:pPr>
        <w:spacing w:line="480" w:lineRule="auto" w:before="0" w:after="0"/>
      </w:pPr>
    </w:p>
    <w:p>
      <w:pPr>
        <w:spacing w:line="480" w:lineRule="auto" w:before="0" w:after="0"/>
      </w:pPr>
      <w:r>
        <w:rPr>
          <w:rFonts w:ascii="Times New Roman" w:hAnsi="Times New Roman" w:eastAsia="Times New Roman"/>
          <w:b/>
          <w:sz w:val="24"/>
        </w:rPr>
        <w:t>Consent to Participate</w:t>
      </w:r>
    </w:p>
    <w:p>
      <w:pPr>
        <w:spacing w:line="480" w:lineRule="auto" w:before="0" w:after="0"/>
      </w:pPr>
      <w:r>
        <w:rPr>
          <w:rFonts w:ascii="Times New Roman" w:hAnsi="Times New Roman" w:eastAsia="Times New Roman"/>
          <w:sz w:val="24"/>
        </w:rPr>
        <w:t>Not applicable. This systematic review and meta-analysis did not involve any direct interaction with, or recruitment of, human participants by the present author. Informed consent and consent to participate for the underlying data were obtained by the original investigators of each included primary study at the time of original data collection, in accordance with the institutional and ethical standards applicable at that time.</w:t>
      </w:r>
    </w:p>
    <w:p>
      <w:pPr>
        <w:spacing w:line="480" w:lineRule="auto" w:before="0" w:after="0"/>
      </w:pPr>
    </w:p>
    <w:p>
      <w:pPr>
        <w:spacing w:line="480" w:lineRule="auto" w:before="0" w:after="0"/>
      </w:pPr>
      <w:r>
        <w:rPr>
          <w:rFonts w:ascii="Times New Roman" w:hAnsi="Times New Roman" w:eastAsia="Times New Roman"/>
          <w:b/>
          <w:sz w:val="24"/>
        </w:rPr>
        <w:t>Consent for Publication</w:t>
      </w:r>
    </w:p>
    <w:p>
      <w:pPr>
        <w:spacing w:line="480" w:lineRule="auto" w:before="0" w:after="0"/>
      </w:pPr>
      <w:r>
        <w:rPr>
          <w:rFonts w:ascii="Times New Roman" w:hAnsi="Times New Roman" w:eastAsia="Times New Roman"/>
          <w:sz w:val="24"/>
        </w:rPr>
        <w:t>Not applicable. This manuscript does not contain any individual person's data in any form (including individual details, images, or videos).</w:t>
      </w:r>
    </w:p>
    <w:p>
      <w:pPr>
        <w:spacing w:line="480" w:lineRule="auto" w:before="0" w:after="0"/>
      </w:pPr>
    </w:p>
    <w:p>
      <w:pPr>
        <w:spacing w:line="480" w:lineRule="auto" w:before="0" w:after="0"/>
      </w:pPr>
      <w:r>
        <w:rPr>
          <w:rFonts w:ascii="Times New Roman" w:hAnsi="Times New Roman" w:eastAsia="Times New Roman"/>
          <w:b/>
          <w:sz w:val="24"/>
        </w:rPr>
        <w:t>Human Ethics and Consent to Participate Declarations</w:t>
      </w:r>
    </w:p>
    <w:p>
      <w:pPr>
        <w:spacing w:line="480" w:lineRule="auto" w:before="0" w:after="0"/>
      </w:pPr>
      <w:r>
        <w:rPr>
          <w:rFonts w:ascii="Times New Roman" w:hAnsi="Times New Roman" w:eastAsia="Times New Roman"/>
          <w:sz w:val="24"/>
        </w:rPr>
        <w:t>Not applicable.</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systematic review and meta-analysis was pre-registered on OSF Registries (https://osf.io/e5w47/; DOI: 10.17605/OSF.IO/E5W47) on April 23, 2026, prior to formal data extraction and quantitative synthesis. The full protocol (PRISMA-P 2015 compliant) and supplementary materials are publicly available in the associated OSF project (https://doi.org/10.17605/OSF.IO/79M5J).</w:t>
      </w:r>
    </w:p>
    <w:p>
      <w:pPr>
        <w:spacing w:line="480" w:lineRule="auto" w:before="0" w:after="0"/>
      </w:pPr>
    </w:p>
    <w:p>
      <w:pPr>
        <w:spacing w:line="480" w:lineRule="auto" w:before="0" w:after="0"/>
      </w:pPr>
      <w:r>
        <w:rPr>
          <w:rFonts w:ascii="Times New Roman" w:hAnsi="Times New Roman" w:eastAsia="Times New Roman"/>
          <w:b/>
          <w:sz w:val="24"/>
        </w:rPr>
        <w:t>Data Availability Statement</w:t>
      </w:r>
    </w:p>
    <w:p>
      <w:pPr>
        <w:spacing w:line="480" w:lineRule="auto" w:before="0" w:after="0"/>
      </w:pPr>
      <w:r>
        <w:rPr>
          <w:rFonts w:ascii="Times New Roman" w:hAnsi="Times New Roman" w:eastAsia="Times New Roman"/>
          <w:sz w:val="24"/>
        </w:rPr>
        <w:t>All extracted data, analysis code, search logs, risk-of-bias ratings, figures, and supplementary materials are publicly available on the associated OSF project (https://doi.org/10.17605/OSF.IO/79M5J). Each component has been assigned a DOI for direct citation: 01_protocol (https://doi.org/10.17605/OSF.IO/7FRGH) — protocol, literature review, deep reading notes, and manuscript drafts; 02_search (https://doi.org/10.17605/OSF.IO/UVJDY) — search log and candidate studies; 03_screening (https://doi.org/10.17605/OSF.IO/YH28G) — PRISMA flow counts and screening decisions; 04_extraction (https://doi.org/10.17605/OSF.IO/5UW98) — data extraction CSV and coding manual; 05_risk_of_bias (https://doi.org/10.17605/OSF.IO/3XYNE) — JBI risk-of-bias ratings for each included study; 06_analysis (https://doi.org/10.17605/OSF.IO/Q4XKB) — Python analysis scripts, pooled results, moderator analyses, sensitivity analyses, and generating code for all tables and figures; and 07_pdf_index (https://doi.org/10.17605/OSF.IO/XZ6PT) — DOI index of included studies.</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(ET) conceived and designed the review, developed the search strategy and eligibility criteria, performed the database searches, conducted screening, extracted data, performed the statistical analyses, and drafted and revised the manuscript. The author approves the final version.</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investigators of the included primary studies for making their correlation matrices and sample characteristics available in the published record, and the maintainers of the open-access repositories (OSF, Research Square, PsyArXiv, arXiv, and institutional repositories) that enabled retrieval of full-text articles. The author also acknowledges the developers of the open-source scientific Python stack (NumPy, SciPy, pandas, Matplotlib, statsmodels, and python-docx) on which the analyses and manuscript preparation depended. No funding bodies, research assistants, or third-party organizations contributed to the design, conduct, or reporting of this review.</w:t>
      </w:r>
    </w:p>
    <w:p>
      <w:pPr>
        <w:spacing w:line="480" w:lineRule="auto" w:before="0" w:after="0"/>
      </w:pPr>
    </w:p>
    <w:p>
      <w:r>
        <w:br w:type="page"/>
      </w:r>
    </w:p>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Existing meta-analyses of Big Five personality traits and academic achievement have pooled face-to-face, blended, and online samples without testing delivery mode as a moderator. This pre-registered systematic review and meta-analysis offers a first, preliminary quantitative synthesis dedicated to online learning environments. Following PRISMA 2020 standards, 25 primary studies were retained for systematic synthesis (cataloguing 31 full-text records in Table 1, including 6 documented post-eligibility exclusions for PRISMA transparency) reporting Big Five personality and academic achievement in online, blended, or MOOC environments. Ten studies (pooled </w:t>
      </w:r>
      <w:r>
        <w:rPr>
          <w:rFonts w:ascii="Times New Roman" w:hAnsi="Times New Roman" w:eastAsia="Times New Roman"/>
          <w:i/>
          <w:sz w:val="24"/>
        </w:rPr>
        <w:t>N</w:t>
      </w:r>
      <w:r>
        <w:rPr>
          <w:rFonts w:ascii="Times New Roman" w:hAnsi="Times New Roman" w:eastAsia="Times New Roman"/>
          <w:sz w:val="24"/>
        </w:rPr>
        <w:t xml:space="preserve"> = 3,384) contributed direct or β-converted Pearson correlations to the primary achievement pool, analysed with random-effects meta-analysis using Hartung-Knapp-Sidik-Jonkman adjustment on the Fisher </w:t>
      </w:r>
      <w:r>
        <w:rPr>
          <w:rFonts w:ascii="Times New Roman" w:hAnsi="Times New Roman" w:eastAsia="Times New Roman"/>
          <w:i/>
          <w:sz w:val="24"/>
        </w:rPr>
        <w:t>z</w:t>
      </w:r>
      <w:r>
        <w:rPr>
          <w:rFonts w:ascii="Times New Roman" w:hAnsi="Times New Roman" w:eastAsia="Times New Roman"/>
          <w:sz w:val="24"/>
        </w:rPr>
        <w:t xml:space="preserve"> scale. Conscientiousness was the strongest predictor (pooled </w:t>
      </w:r>
      <w:r>
        <w:rPr>
          <w:rFonts w:ascii="Times New Roman" w:hAnsi="Times New Roman" w:eastAsia="Times New Roman"/>
          <w:i/>
          <w:sz w:val="24"/>
        </w:rPr>
        <w:t>r</w:t>
      </w:r>
      <w:r>
        <w:rPr>
          <w:rFonts w:ascii="Times New Roman" w:hAnsi="Times New Roman" w:eastAsia="Times New Roman"/>
          <w:sz w:val="24"/>
        </w:rPr>
        <w:t xml:space="preserve"> = .167, 95% CI [.089, .243]; </w:t>
      </w:r>
      <w:r>
        <w:rPr>
          <w:rFonts w:ascii="Times New Roman" w:hAnsi="Times New Roman" w:eastAsia="Times New Roman"/>
          <w:i/>
          <w:sz w:val="24"/>
        </w:rPr>
        <w:t>I²</w:t>
      </w:r>
      <w:r>
        <w:rPr>
          <w:rFonts w:ascii="Times New Roman" w:hAnsi="Times New Roman" w:eastAsia="Times New Roman"/>
          <w:sz w:val="24"/>
        </w:rPr>
        <w:t xml:space="preserve"> = 65.1%), followed by Agreeableness (</w:t>
      </w:r>
      <w:r>
        <w:rPr>
          <w:rFonts w:ascii="Times New Roman" w:hAnsi="Times New Roman" w:eastAsia="Times New Roman"/>
          <w:i/>
          <w:sz w:val="24"/>
        </w:rPr>
        <w:t>r</w:t>
      </w:r>
      <w:r>
        <w:rPr>
          <w:rFonts w:ascii="Times New Roman" w:hAnsi="Times New Roman" w:eastAsia="Times New Roman"/>
          <w:sz w:val="24"/>
        </w:rPr>
        <w:t xml:space="preserve"> = .112 [−.031, .250]), Openness (</w:t>
      </w:r>
      <w:r>
        <w:rPr>
          <w:rFonts w:ascii="Times New Roman" w:hAnsi="Times New Roman" w:eastAsia="Times New Roman"/>
          <w:i/>
          <w:sz w:val="24"/>
        </w:rPr>
        <w:t>r</w:t>
      </w:r>
      <w:r>
        <w:rPr>
          <w:rFonts w:ascii="Times New Roman" w:hAnsi="Times New Roman" w:eastAsia="Times New Roman"/>
          <w:sz w:val="24"/>
        </w:rPr>
        <w:t xml:space="preserve"> = .086 [−.044, .214]), Neuroticism (</w:t>
      </w:r>
      <w:r>
        <w:rPr>
          <w:rFonts w:ascii="Times New Roman" w:hAnsi="Times New Roman" w:eastAsia="Times New Roman"/>
          <w:i/>
          <w:sz w:val="24"/>
        </w:rPr>
        <w:t>r</w:t>
      </w:r>
      <w:r>
        <w:rPr>
          <w:rFonts w:ascii="Times New Roman" w:hAnsi="Times New Roman" w:eastAsia="Times New Roman"/>
          <w:sz w:val="24"/>
        </w:rPr>
        <w:t xml:space="preserve"> = .018), and Extraversion (</w:t>
      </w:r>
      <w:r>
        <w:rPr>
          <w:rFonts w:ascii="Times New Roman" w:hAnsi="Times New Roman" w:eastAsia="Times New Roman"/>
          <w:i/>
          <w:sz w:val="24"/>
        </w:rPr>
        <w:t>r</w:t>
      </w:r>
      <w:r>
        <w:rPr>
          <w:rFonts w:ascii="Times New Roman" w:hAnsi="Times New Roman" w:eastAsia="Times New Roman"/>
          <w:sz w:val="24"/>
        </w:rPr>
        <w:t xml:space="preserve"> = .002). Two pre-registered subgroup contrasts showed large between-group differences on Extraversion — by Region (Asian samples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by Outcome Type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 but these contrasts rest on a small number of studies per subgroup and should be treated as exploratory rather than confirmatory. The findings are broadly consistent with the Personality-Achievement Saturation Hypothesis (Meyer et al., 2023) extended to technology-mediated learning, but the small primary pool (</w:t>
      </w:r>
      <w:r>
        <w:rPr>
          <w:rFonts w:ascii="Times New Roman" w:hAnsi="Times New Roman" w:eastAsia="Times New Roman"/>
          <w:i/>
          <w:sz w:val="24"/>
        </w:rPr>
        <w:t>k</w:t>
      </w:r>
      <w:r>
        <w:rPr>
          <w:rFonts w:ascii="Times New Roman" w:hAnsi="Times New Roman" w:eastAsia="Times New Roman"/>
          <w:sz w:val="24"/>
        </w:rPr>
        <w:t xml:space="preserve"> = 10), substantial heterogeneity, and wide prediction intervals (which include zero for most traits) mean that this consistency does not yet constitute strong confirmation. GRADE confidence ranged from Moderate (Conscientiousness, Extraversion) to Low (Openness, Agreeableness, Neuroticism). The synthesis offers a tentative empirical reference point and identifies a priority research agenda — replication with a larger and more linguistically inclusive corpus, facet-level analyses, and explicit modality contrasts — but the conclusions should not be over-extrapolated to practical pedagogical recommendations on the basis of the present evidence base.</w:t>
      </w:r>
    </w:p>
    <w:p>
      <w:pPr>
        <w:spacing w:line="480" w:lineRule="auto" w:before="0" w:after="0"/>
      </w:pPr>
    </w:p>
    <w:p>
      <w:pPr>
        <w:spacing w:line="480" w:lineRule="auto" w:before="0" w:after="0"/>
      </w:pPr>
      <w:r>
        <w:rPr>
          <w:rFonts w:ascii="Times New Roman" w:hAnsi="Times New Roman" w:eastAsia="Times New Roman"/>
          <w:sz w:val="24"/>
        </w:rPr>
        <w:t>Keywords: Big Five, Five-Factor Model, online learning, e-learning, MOOC, academic achievement, meta-analysis, systematic review, PRISMA</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predictors of academic achievement that were established in face-to-face classrooms retain their predictive validity when instruction is mediated by technology? Personality traits, and in particular the Big Five (Five-Factor Model) dimensions of Conscientiousness, Openness to Experience, Extraversion, Agreeableness, and Neuroticism, are among the most widely studied non-cognitive predictors of academic achievement (Mammadov, 2022; Poropat, 2009). Yet the accumulated meta-analytic evidence, as reviewed below, has been produced almost entirely from samples in which delivery modality is treated as noise rather than as a substantive moderator. The present review is , to the author's knowledge,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rPr>
        <w:t xml:space="preserve">Eight large-scale meta-analyses have established a robust pattern of associations between the Big Five personality traits and academic achievement. Poropat (2009), synthesizing 138 samples and over 70,000 participants, reported a corrected correlation of </w:t>
      </w:r>
      <w:r>
        <w:rPr>
          <w:rFonts w:ascii="Times New Roman" w:hAnsi="Times New Roman" w:eastAsia="Times New Roman"/>
          <w:i/>
          <w:sz w:val="24"/>
        </w:rPr>
        <w:t>ρ</w:t>
      </w:r>
      <w:r>
        <w:rPr>
          <w:rFonts w:ascii="Times New Roman" w:hAnsi="Times New Roman" w:eastAsia="Times New Roman"/>
          <w:sz w:val="24"/>
        </w:rPr>
        <w:t xml:space="preserve"> = .22 between Conscientiousness and academic performance, with smaller but significant effects for Openness (</w:t>
      </w:r>
      <w:r>
        <w:rPr>
          <w:rFonts w:ascii="Times New Roman" w:hAnsi="Times New Roman" w:eastAsia="Times New Roman"/>
          <w:i/>
          <w:sz w:val="24"/>
        </w:rPr>
        <w:t>ρ</w:t>
      </w:r>
      <w:r>
        <w:rPr>
          <w:rFonts w:ascii="Times New Roman" w:hAnsi="Times New Roman" w:eastAsia="Times New Roman"/>
          <w:sz w:val="24"/>
        </w:rPr>
        <w:t xml:space="preserve"> = .12) and Agreeableness (</w:t>
      </w:r>
      <w:r>
        <w:rPr>
          <w:rFonts w:ascii="Times New Roman" w:hAnsi="Times New Roman" w:eastAsia="Times New Roman"/>
          <w:i/>
          <w:sz w:val="24"/>
        </w:rPr>
        <w:t>ρ</w:t>
      </w:r>
      <w:r>
        <w:rPr>
          <w:rFonts w:ascii="Times New Roman" w:hAnsi="Times New Roman" w:eastAsia="Times New Roman"/>
          <w:sz w:val="24"/>
        </w:rPr>
        <w:t xml:space="preserve"> = .07), and essentially null effects for Extraversion (</w:t>
      </w:r>
      <w:r>
        <w:rPr>
          <w:rFonts w:ascii="Times New Roman" w:hAnsi="Times New Roman" w:eastAsia="Times New Roman"/>
          <w:i/>
          <w:sz w:val="24"/>
        </w:rPr>
        <w:t>ρ</w:t>
      </w:r>
      <w:r>
        <w:rPr>
          <w:rFonts w:ascii="Times New Roman" w:hAnsi="Times New Roman" w:eastAsia="Times New Roman"/>
          <w:sz w:val="24"/>
        </w:rPr>
        <w:t xml:space="preserve"> = −.01) and Neuroticism (</w:t>
      </w:r>
      <w:r>
        <w:rPr>
          <w:rFonts w:ascii="Times New Roman" w:hAnsi="Times New Roman" w:eastAsia="Times New Roman"/>
          <w:i/>
          <w:sz w:val="24"/>
        </w:rPr>
        <w:t>ρ</w:t>
      </w:r>
      <w:r>
        <w:rPr>
          <w:rFonts w:ascii="Times New Roman" w:hAnsi="Times New Roman" w:eastAsia="Times New Roman"/>
          <w:sz w:val="24"/>
        </w:rPr>
        <w:t xml:space="preserve"> = .02). These findings were replicated and extended by McAbee and Oswald (2013; </w:t>
      </w:r>
      <w:r>
        <w:rPr>
          <w:rFonts w:ascii="Times New Roman" w:hAnsi="Times New Roman" w:eastAsia="Times New Roman"/>
          <w:i/>
          <w:sz w:val="24"/>
        </w:rPr>
        <w:t>k</w:t>
      </w:r>
      <w:r>
        <w:rPr>
          <w:rFonts w:ascii="Times New Roman" w:hAnsi="Times New Roman" w:eastAsia="Times New Roman"/>
          <w:sz w:val="24"/>
        </w:rPr>
        <w:t xml:space="preserve"> = 57, </w:t>
      </w:r>
      <w:r>
        <w:rPr>
          <w:rFonts w:ascii="Times New Roman" w:hAnsi="Times New Roman" w:eastAsia="Times New Roman"/>
          <w:i/>
          <w:sz w:val="24"/>
        </w:rPr>
        <w:t>N</w:t>
      </w:r>
      <w:r>
        <w:rPr>
          <w:rFonts w:ascii="Times New Roman" w:hAnsi="Times New Roman" w:eastAsia="Times New Roman"/>
          <w:sz w:val="24"/>
        </w:rPr>
        <w:t xml:space="preserve"> = 26,382; C </w:t>
      </w:r>
      <w:r>
        <w:rPr>
          <w:rFonts w:ascii="Times New Roman" w:hAnsi="Times New Roman" w:eastAsia="Times New Roman"/>
          <w:i/>
          <w:sz w:val="24"/>
        </w:rPr>
        <w:t>ρ</w:t>
      </w:r>
      <w:r>
        <w:rPr>
          <w:rFonts w:ascii="Times New Roman" w:hAnsi="Times New Roman" w:eastAsia="Times New Roman"/>
          <w:sz w:val="24"/>
        </w:rPr>
        <w:t xml:space="preserve"> = .26) and by Vedel (2014; </w:t>
      </w:r>
      <w:r>
        <w:rPr>
          <w:rFonts w:ascii="Times New Roman" w:hAnsi="Times New Roman" w:eastAsia="Times New Roman"/>
          <w:i/>
          <w:sz w:val="24"/>
        </w:rPr>
        <w:t>k</w:t>
      </w:r>
      <w:r>
        <w:rPr>
          <w:rFonts w:ascii="Times New Roman" w:hAnsi="Times New Roman" w:eastAsia="Times New Roman"/>
          <w:sz w:val="24"/>
        </w:rPr>
        <w:t xml:space="preserve"> = 21, </w:t>
      </w:r>
      <w:r>
        <w:rPr>
          <w:rFonts w:ascii="Times New Roman" w:hAnsi="Times New Roman" w:eastAsia="Times New Roman"/>
          <w:i/>
          <w:sz w:val="24"/>
        </w:rPr>
        <w:t>N</w:t>
      </w:r>
      <w:r>
        <w:rPr>
          <w:rFonts w:ascii="Times New Roman" w:hAnsi="Times New Roman" w:eastAsia="Times New Roman"/>
          <w:sz w:val="24"/>
        </w:rPr>
        <w:t xml:space="preserve"> = 17,717; C </w:t>
      </w:r>
      <w:r>
        <w:rPr>
          <w:rFonts w:ascii="Times New Roman" w:hAnsi="Times New Roman" w:eastAsia="Times New Roman"/>
          <w:i/>
          <w:sz w:val="24"/>
        </w:rPr>
        <w:t>ρ</w:t>
      </w:r>
      <w:r>
        <w:rPr>
          <w:rFonts w:ascii="Times New Roman" w:hAnsi="Times New Roman" w:eastAsia="Times New Roman"/>
          <w:sz w:val="24"/>
        </w:rPr>
        <w:t xml:space="preserve"> = .26), both restricted to tertiary education. Stajkovic et al. (2018) provided additional evidence that Conscientiousness predicts academic achievement both directly and indirectly through self-efficacy, with the self-efficacy path carrying a substantial proportion of the Conscientiousness effect (</w:t>
      </w:r>
      <w:r>
        <w:rPr>
          <w:rFonts w:ascii="Times New Roman" w:hAnsi="Times New Roman" w:eastAsia="Times New Roman"/>
          <w:i/>
          <w:sz w:val="24"/>
        </w:rPr>
        <w:t>β</w:t>
      </w:r>
      <w:r>
        <w:rPr>
          <w:rFonts w:ascii="Times New Roman" w:hAnsi="Times New Roman" w:eastAsia="Times New Roman"/>
          <w:sz w:val="24"/>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(2022),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(2023),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(2022),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(2025),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rPr>
        <w:t>Across these eight meta-analyses, a convergent picture emerges: Conscientiousness is the dominant predictor of academic achievement (</w:t>
      </w:r>
      <w:r>
        <w:rPr>
          <w:rFonts w:ascii="Times New Roman" w:hAnsi="Times New Roman" w:eastAsia="Times New Roman"/>
          <w:i/>
          <w:sz w:val="24"/>
        </w:rPr>
        <w:t>ρ</w:t>
      </w:r>
      <w:r>
        <w:rPr>
          <w:rFonts w:ascii="Times New Roman" w:hAnsi="Times New Roman" w:eastAsia="Times New Roman"/>
          <w:sz w:val="24"/>
        </w:rPr>
        <w:t xml:space="preserve"> = .19 to .28), with Openness serving as a reliable secondary predictor (</w:t>
      </w:r>
      <w:r>
        <w:rPr>
          <w:rFonts w:ascii="Times New Roman" w:hAnsi="Times New Roman" w:eastAsia="Times New Roman"/>
          <w:i/>
          <w:sz w:val="24"/>
        </w:rPr>
        <w:t>ρ</w:t>
      </w:r>
      <w:r>
        <w:rPr>
          <w:rFonts w:ascii="Times New Roman" w:hAnsi="Times New Roman" w:eastAsia="Times New Roman"/>
          <w:sz w:val="24"/>
        </w:rPr>
        <w:t xml:space="preserve"> = .07 to .21). Agreeableness exhibits small positive effects (</w:t>
      </w:r>
      <w:r>
        <w:rPr>
          <w:rFonts w:ascii="Times New Roman" w:hAnsi="Times New Roman" w:eastAsia="Times New Roman"/>
          <w:i/>
          <w:sz w:val="24"/>
        </w:rPr>
        <w:t>ρ</w:t>
      </w:r>
      <w:r>
        <w:rPr>
          <w:rFonts w:ascii="Times New Roman" w:hAnsi="Times New Roman" w:eastAsia="Times New Roman"/>
          <w:sz w:val="24"/>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(Broadbent &amp; Poon, 2015).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(Cheng et al., 2023).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rPr>
        <w:t xml:space="preserve">These four dimensions—self-regulation demands, reduced social presence, temporal flexibility, and technology mediation—motivate specific predictions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rPr>
        <w:t>ρ</w:t>
      </w:r>
      <w:r>
        <w:rPr>
          <w:rFonts w:ascii="Times New Roman" w:hAnsi="Times New Roman" w:eastAsia="Times New Roman"/>
          <w:sz w:val="24"/>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predictions are theoretically grounded,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(2025),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(2025)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rPr>
        <w:t>Examining the primary literature directly reveals considerable heterogeneity in reported effect sizes. In fully online asynchronous contexts, Abe (2020) reported strong correlations between Conscientiousness and both quiz performance (</w:t>
      </w:r>
      <w:r>
        <w:rPr>
          <w:rFonts w:ascii="Times New Roman" w:hAnsi="Times New Roman" w:eastAsia="Times New Roman"/>
          <w:i/>
          <w:sz w:val="24"/>
        </w:rPr>
        <w:t>r</w:t>
      </w:r>
      <w:r>
        <w:rPr>
          <w:rFonts w:ascii="Times New Roman" w:hAnsi="Times New Roman" w:eastAsia="Times New Roman"/>
          <w:sz w:val="24"/>
        </w:rPr>
        <w:t xml:space="preserve"> = .48) and paper grades (</w:t>
      </w:r>
      <w:r>
        <w:rPr>
          <w:rFonts w:ascii="Times New Roman" w:hAnsi="Times New Roman" w:eastAsia="Times New Roman"/>
          <w:i/>
          <w:sz w:val="24"/>
        </w:rPr>
        <w:t>r</w:t>
      </w:r>
      <w:r>
        <w:rPr>
          <w:rFonts w:ascii="Times New Roman" w:hAnsi="Times New Roman" w:eastAsia="Times New Roman"/>
          <w:sz w:val="24"/>
        </w:rPr>
        <w:t xml:space="preserve"> = .37), with Openness also predicting paper grades (</w:t>
      </w:r>
      <w:r>
        <w:rPr>
          <w:rFonts w:ascii="Times New Roman" w:hAnsi="Times New Roman" w:eastAsia="Times New Roman"/>
          <w:i/>
          <w:sz w:val="24"/>
        </w:rPr>
        <w:t>r</w:t>
      </w:r>
      <w:r>
        <w:rPr>
          <w:rFonts w:ascii="Times New Roman" w:hAnsi="Times New Roman" w:eastAsia="Times New Roman"/>
          <w:sz w:val="24"/>
        </w:rPr>
        <w:t xml:space="preserve"> = .35). Alkış and Taşkaya Temizel (2018), comparing online and blended sections of the same course, found Conscientiousness to predict course grades in both modalities (online </w:t>
      </w:r>
      <w:r>
        <w:rPr>
          <w:rFonts w:ascii="Times New Roman" w:hAnsi="Times New Roman" w:eastAsia="Times New Roman"/>
          <w:i/>
          <w:sz w:val="24"/>
        </w:rPr>
        <w:t>r</w:t>
      </w:r>
      <w:r>
        <w:rPr>
          <w:rFonts w:ascii="Times New Roman" w:hAnsi="Times New Roman" w:eastAsia="Times New Roman"/>
          <w:sz w:val="24"/>
        </w:rPr>
        <w:t xml:space="preserve"> = .205; blended </w:t>
      </w:r>
      <w:r>
        <w:rPr>
          <w:rFonts w:ascii="Times New Roman" w:hAnsi="Times New Roman" w:eastAsia="Times New Roman"/>
          <w:i/>
          <w:sz w:val="24"/>
        </w:rPr>
        <w:t>r</w:t>
      </w:r>
      <w:r>
        <w:rPr>
          <w:rFonts w:ascii="Times New Roman" w:hAnsi="Times New Roman" w:eastAsia="Times New Roman"/>
          <w:sz w:val="24"/>
        </w:rPr>
        <w:t xml:space="preserve"> = .244), with other traits exhibiting only null effects. In the COVID-era German higher education context, Rodrigues et al. (2024) reported a moderate negative correlation between Conscientiousness and self-reported GPA (</w:t>
      </w:r>
      <w:r>
        <w:rPr>
          <w:rFonts w:ascii="Times New Roman" w:hAnsi="Times New Roman" w:eastAsia="Times New Roman"/>
          <w:i/>
          <w:sz w:val="24"/>
        </w:rPr>
        <w:t>r</w:t>
      </w:r>
      <w:r>
        <w:rPr>
          <w:rFonts w:ascii="Times New Roman" w:hAnsi="Times New Roman" w:eastAsia="Times New Roman"/>
          <w:sz w:val="24"/>
        </w:rPr>
        <w:t xml:space="preserve"> = −.228 with grades coded such that lower values indicate better performance), and significant negative associations between Neuroticism and study satisfaction and well-being. Rivers (2021), studying Japanese undergraduates in an asynchronous Moodle course (</w:t>
      </w:r>
      <w:r>
        <w:rPr>
          <w:rFonts w:ascii="Times New Roman" w:hAnsi="Times New Roman" w:eastAsia="Times New Roman"/>
          <w:i/>
          <w:sz w:val="24"/>
        </w:rPr>
        <w:t>N</w:t>
      </w:r>
      <w:r>
        <w:rPr>
          <w:rFonts w:ascii="Times New Roman" w:hAnsi="Times New Roman" w:eastAsia="Times New Roman"/>
          <w:sz w:val="24"/>
        </w:rPr>
        <w:t xml:space="preserve"> = 149), reported a direct negative effect of Extraversion on course achievement (</w:t>
      </w:r>
      <w:r>
        <w:rPr>
          <w:rFonts w:ascii="Times New Roman" w:hAnsi="Times New Roman" w:eastAsia="Times New Roman"/>
          <w:i/>
          <w:sz w:val="24"/>
        </w:rPr>
        <w:t>β</w:t>
      </w:r>
      <w:r>
        <w:rPr>
          <w:rFonts w:ascii="Times New Roman" w:hAnsi="Times New Roman" w:eastAsia="Times New Roman"/>
          <w:sz w:val="24"/>
        </w:rPr>
        <w:t xml:space="preserve"> = −.168, </w:t>
      </w:r>
      <w:r>
        <w:rPr>
          <w:rFonts w:ascii="Times New Roman" w:hAnsi="Times New Roman" w:eastAsia="Times New Roman"/>
          <w:i/>
          <w:sz w:val="24"/>
        </w:rPr>
        <w:t>p</w:t>
      </w:r>
      <w:r>
        <w:rPr>
          <w:rFonts w:ascii="Times New Roman" w:hAnsi="Times New Roman" w:eastAsia="Times New Roman"/>
          <w:sz w:val="24"/>
        </w:rPr>
        <w:t xml:space="preserve"> &lt; .01), consistent with the prediction that social-cue deprivation in asynchronous environments disadvantages extraverted learners.</w:t>
      </w:r>
    </w:p>
    <w:p>
      <w:pPr>
        <w:spacing w:line="480" w:lineRule="auto" w:before="0" w:after="0"/>
        <w:ind w:firstLine="720"/>
      </w:pPr>
      <w:r>
        <w:rPr>
          <w:rFonts w:ascii="Times New Roman" w:hAnsi="Times New Roman" w:eastAsia="Times New Roman"/>
          <w:sz w:val="24"/>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rPr>
        <w:t>N</w:t>
      </w:r>
      <w:r>
        <w:rPr>
          <w:rFonts w:ascii="Times New Roman" w:hAnsi="Times New Roman" w:eastAsia="Times New Roman"/>
          <w:sz w:val="24"/>
        </w:rPr>
        <w:t xml:space="preserve"> = 1,625), Big Five traits were associated with academic achievement only indirectly through online learning engagement, with Conscientiousness (</w:t>
      </w:r>
      <w:r>
        <w:rPr>
          <w:rFonts w:ascii="Times New Roman" w:hAnsi="Times New Roman" w:eastAsia="Times New Roman"/>
          <w:i/>
          <w:sz w:val="24"/>
        </w:rPr>
        <w:t>β</w:t>
      </w:r>
      <w:r>
        <w:rPr>
          <w:rFonts w:ascii="Times New Roman" w:hAnsi="Times New Roman" w:eastAsia="Times New Roman"/>
          <w:sz w:val="24"/>
        </w:rPr>
        <w:t xml:space="preserve"> = .322) and Openness (</w:t>
      </w:r>
      <w:r>
        <w:rPr>
          <w:rFonts w:ascii="Times New Roman" w:hAnsi="Times New Roman" w:eastAsia="Times New Roman"/>
          <w:i/>
          <w:sz w:val="24"/>
        </w:rPr>
        <w:t>β</w:t>
      </w:r>
      <w:r>
        <w:rPr>
          <w:rFonts w:ascii="Times New Roman" w:hAnsi="Times New Roman" w:eastAsia="Times New Roman"/>
          <w:sz w:val="24"/>
        </w:rPr>
        <w:t xml:space="preserve"> = .253) serving as the strongest predictors of engagement. Yu (2021), in a Chinese MOOC platform sample (</w:t>
      </w:r>
      <w:r>
        <w:rPr>
          <w:rFonts w:ascii="Times New Roman" w:hAnsi="Times New Roman" w:eastAsia="Times New Roman"/>
          <w:i/>
          <w:sz w:val="24"/>
        </w:rPr>
        <w:t>N</w:t>
      </w:r>
      <w:r>
        <w:rPr>
          <w:rFonts w:ascii="Times New Roman" w:hAnsi="Times New Roman" w:eastAsia="Times New Roman"/>
          <w:sz w:val="24"/>
        </w:rPr>
        <w:t xml:space="preserve"> = 1,152), reported that Agreeableness (</w:t>
      </w:r>
      <w:r>
        <w:rPr>
          <w:rFonts w:ascii="Times New Roman" w:hAnsi="Times New Roman" w:eastAsia="Times New Roman"/>
          <w:i/>
          <w:sz w:val="24"/>
        </w:rPr>
        <w:t>β</w:t>
      </w:r>
      <w:r>
        <w:rPr>
          <w:rFonts w:ascii="Times New Roman" w:hAnsi="Times New Roman" w:eastAsia="Times New Roman"/>
          <w:sz w:val="24"/>
        </w:rPr>
        <w:t xml:space="preserve"> = .442) and Openness (</w:t>
      </w:r>
      <w:r>
        <w:rPr>
          <w:rFonts w:ascii="Times New Roman" w:hAnsi="Times New Roman" w:eastAsia="Times New Roman"/>
          <w:i/>
          <w:sz w:val="24"/>
        </w:rPr>
        <w:t>β</w:t>
      </w:r>
      <w:r>
        <w:rPr>
          <w:rFonts w:ascii="Times New Roman" w:hAnsi="Times New Roman" w:eastAsia="Times New Roman"/>
          <w:sz w:val="24"/>
        </w:rPr>
        <w:t xml:space="preserve"> = .305) were stronger predictors of objective MOOC composite scores than Conscientiousness (</w:t>
      </w:r>
      <w:r>
        <w:rPr>
          <w:rFonts w:ascii="Times New Roman" w:hAnsi="Times New Roman" w:eastAsia="Times New Roman"/>
          <w:i/>
          <w:sz w:val="24"/>
        </w:rPr>
        <w:t>β</w:t>
      </w:r>
      <w:r>
        <w:rPr>
          <w:rFonts w:ascii="Times New Roman" w:hAnsi="Times New Roman" w:eastAsia="Times New Roman"/>
          <w:sz w:val="24"/>
        </w:rPr>
        <w:t xml:space="preserve"> = .057), suggesting that cooperative behaviors and novelty orientation may be especially salient in Chinese collectivistic contexts (cf. Mammadov, 2022; Chen et al., 2025). Bahçekapılı and Karaman (2020), in a Turkish distance-education context (</w:t>
      </w:r>
      <w:r>
        <w:rPr>
          <w:rFonts w:ascii="Times New Roman" w:hAnsi="Times New Roman" w:eastAsia="Times New Roman"/>
          <w:i/>
          <w:sz w:val="24"/>
        </w:rPr>
        <w:t>N</w:t>
      </w:r>
      <w:r>
        <w:rPr>
          <w:rFonts w:ascii="Times New Roman" w:hAnsi="Times New Roman" w:eastAsia="Times New Roman"/>
          <w:sz w:val="24"/>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(Mammadov, 2022; Meyer et al., 2023), with Openness effects declining across the educational trajectory while Conscientiousness effects remain stable; whether this pattern holds in online contexts is unknown. Third, region and cultural context may moderate effects: Mammadov (2022) and Chen et al. (2025) both reported amplified Conscientiousness and Agreeableness effects in East Asian and other collectivistic samples, and Chen et al. (2025)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(2013)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systematic review and meta-analysis is, to our knowledge, the first quantitative synthesis of the association between Big Five personality traits and academic achievement that focuses specifically on online learning environments. Our review addresses three research questions and evaluates five directional hypotheses. The research questions are as follows. First (RQ1), what is the pooled magnitude of the association between each Big Five trait and academic achievement in online learning environments, and how does this magnitude compare with published face-to-face benchmarks? Second (RQ2), does the personality-achievement association vary systematically across learning modality, education level, region, era, outcome type, and personality instrument? Third (RQ3), is the personality-achievement association in online environments fully accounted for by mediating constructs such as self-efficacy and self-regulation, or does it exhibit direct effects beyond these mediators?</w:t>
      </w:r>
    </w:p>
    <w:p>
      <w:pPr>
        <w:spacing w:line="480" w:lineRule="auto" w:before="0" w:after="0"/>
        <w:ind w:firstLine="720"/>
      </w:pPr>
      <w:r>
        <w:rPr>
          <w:rFonts w:ascii="Times New Roman" w:hAnsi="Times New Roman" w:eastAsia="Times New Roman"/>
          <w:sz w:val="24"/>
        </w:rPr>
        <w:t xml:space="preserve">Five directional hypotheses, pre-specified in the OSF registration (https://osf.io/e5w47/), are evaluated. Hypothesis 1 (H1) states that Conscientiousness will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Hypothesis 2 (H2) states that Openness will show the second-strongest positive correlation, potentially stronger than in face-to-face contexts, reflecting the premium placed on self-directed exploration in online environments. Hypothesis 3 (H3) states that Agreeableness will show a small positive correlation, potentially weaker than in face-to-face contexts because cooperative group behaviors are less central in asynchronous online environments. Hypothesis 4 (H4) states that Neuroticism will show a negative correlation, more pronounced in fully online than in blended modalities, reflecting the isolating and technology-mediated nature of fully online environments. Hypothesis 5 (H5) states that Extraversion will show a null or weak negative correlation, with possible facet-level cancellation between sociability (expected negative) and assertiveness (expected positive) components, reflecting the reduced social presence of online environments. Hypotheses H2, H4, and H5 constitute the novel contribution of this review, as they predict modality-specific divergences from established patterns observed in face-to-face meta-analyses.</w:t>
      </w:r>
    </w:p>
    <w:p>
      <w:pPr>
        <w:spacing w:line="480" w:lineRule="auto" w:before="0" w:after="0"/>
        <w:ind w:firstLine="720"/>
      </w:pPr>
      <w:r>
        <w:rPr>
          <w:rFonts w:ascii="Times New Roman" w:hAnsi="Times New Roman" w:eastAsia="Times New Roman"/>
          <w:sz w:val="24"/>
        </w:rPr>
        <w:t>A null result for any of these hypotheses would itself be informative, indicating that online and face-to-face personality-achievement relationships are equivalent in the corresponding dimension. The present review therefore offers , to the author's knowledge, the first quantitative evaluation of whether personality operates differently across learning modalities, and provides a necessary empirical foundation for both theoretical refinement and evidence-informed educational practice in the post-pandemic era.</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for this systematic review and meta-analysis was pre-registered on OSF Registries (https://osf.io/e5w47/; DOI: 10.17605/OSF.IO/E5W47) on April 23, 2026, prior to the formal database search and quantitative synthesis. The registration template used was OSF Preregistration, with the full protocol structured according to the Preferred Reporting Items for Systematic Review and Meta-Analysis Protocols (PRISMA-P) 2015 statement (Moher et al., 2015). The review was originally drafted for PROSPERO submission, but was re-routed to OSF Registries because PROSPERO requires a health-related outcome, which this educationally focused review does not satisfy. The present manuscript is reported in accordance with the PRISMA 2020 statement (Page et al., 2021), and the completed PRISMA 2020 checklist is provided as Supplementary Material on the OSF project page (https://osf.io/79m5j/). Any deviations from the pre-registered protocol are transparently disclosed in a dedicated subsection below.</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Secondary outcomes, analyzed only if at least 10 studies reported each indicator, were academic satisfaction, academic engagement, learning-related behaviors (e.g., learning management system use, completion rate), and dropout or persistence. Study design: cross-sectional correlational, longitudinal, or prospective studies reporting sufficient statistics for effect-size extraction or conversion. Qualitative-only studies, commentary, editorial, narrative review, and single-case studies with fewer than 10 participants were excluded, although the reference lists of narrative reviews were hand-searched for original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doctoral dissertations. Unpublished manuscripts and preprints that had not undergone peer review were excluded in order to maintain a minimum quality threshold. No restriction was placed on publication year. Studies in which learners were non-human (e.g., AI agents or simulated students) were excluded, as were studies of fully face-to-face samples with no online learning component. When a study's modality status was ambiguous, the corresponding author was contacted for clarification, with up to two contact attempts separated by at least two weeks; studies for which ambiguity could not be resolved were excluded, and the exclusion reason was recorded in the flow diagram.</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The pre-registered search plan specified six electronic databases—PubMed/MEDLINE, PsycINFO, the Education Resources Information Center (ERIC), Web of Science (Core Collection), Scopus, and ProQuest Dissertations &amp; Theses Global—supplemented by Google Scholar (first 200 hits per query) and forward/backward citation snowballing. Because the review was executed in a computing environment that did not have institutional access to the subscription-gated databases (Scopus, Web of Science, PsycINFO), and because the direct E-utilities and OpenAlex APIs were unavailable due to network allowlist restrictions, the final search was executed through a web-based search interface equivalent in coverage to Google Scholar, combined with targeted retrieval from open-access repositories (PubMed Central, Frontiers, MDPI, Open Praxis). This constitutes a deviation from the pre-registered protocol and is discussed transparently under “Deviations from the Pre-registered Protocol.” The deviation was mitigated by applying the same pre-specified three-concept Boolean search strategy across all executed queries and by retaining the original retrieval logs on the OSF project.</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Language and publication-type filters were applied post hoc during screening rather than at the database level. The complete search log, including the exact query syntax for each executed search, the date of execution, and the hit count, is deposited as a supplementary file (search_log.md) on the OSF project.</w:t>
      </w:r>
    </w:p>
    <w:p>
      <w:pPr>
        <w:spacing w:line="480" w:lineRule="auto" w:before="0" w:after="0"/>
        <w:ind w:firstLine="720"/>
      </w:pPr>
      <w:r>
        <w:rPr>
          <w:rFonts w:ascii="Times New Roman" w:hAnsi="Times New Roman" w:eastAsia="Times New Roman"/>
          <w:sz w:val="24"/>
        </w:rPr>
        <w:t>In addition to the database searches, forward citation tracking (cited-by) and backward citation tracking (reference list scanning) were performed for all studies identified as eligible, and for the eight benchmark meta-analyses that constitute the face-to-face comparison corpus (Poropat, 2009; McAbee &amp; Oswald, 2013; Vedel, 2014; Stajkovic et al., 2018; Mammadov, 2022; Zell &amp; Lesick, 2022; Meyer et al., 2023; Chen et al., 2025). Reference lists of the most directly relevant narrative review (Hunter et al., 2025) were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All retrieved records were imported into a reference manager (Zotero) and de-duplicated both automatically and by manual verification of near-duplicates. The remaining records were screened in two stages. At Stage 1, one reviewer (ET) screened titles and abstracts against the eligibility criteria. To estimate intra-rater reliability under a single-reviewer workflow, 10% of the title/abstract records were randomly re-screened after a wash-out interval of at least seven days, without reference to the initial decisions; the intra-rater reliability target was Cohen's κ ≥ 0.80. When the observed κ fell below this threshold, the eligibility criteria were refined and the full set was re-screened. At Stage 2, full-text reports of the records that passed title/abstract screening were retrieved and assessed against the detailed eligibility criteria; 20% of full-text assessments were randomly re-performed after a wash-out interval of at least seven days, with the same κ ≥ 0.80 target. All exclusions at the full-text stage were recorded with a specific reason (wrong population, wrong exposure, wrong outcome, wrong modality, non-Big-Five personality framework, insufficient statistics, duplicate sample) for reporting in the PRISMA 2020 flow diagram.</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A pre-specified data extraction form was developed prior to registration and is available on the OSF project (data_extraction.csv; data_extraction_README.md). Extracted fields included study identification (author, year, DOI, journal, country of data collection), sample characteristics (analytic </w:t>
      </w:r>
      <w:r>
        <w:rPr>
          <w:rFonts w:ascii="Times New Roman" w:hAnsi="Times New Roman" w:eastAsia="Times New Roman"/>
          <w:i/>
          <w:sz w:val="24"/>
        </w:rPr>
        <w:t>N</w:t>
      </w:r>
      <w:r>
        <w:rPr>
          <w:rFonts w:ascii="Times New Roman" w:hAnsi="Times New Roman" w:eastAsia="Times New Roman"/>
          <w:sz w:val="24"/>
        </w:rPr>
        <w:t xml:space="preserve">, age mean and </w:t>
      </w:r>
      <w:r>
        <w:rPr>
          <w:rFonts w:ascii="Times New Roman" w:hAnsi="Times New Roman" w:eastAsia="Times New Roman"/>
          <w:i/>
          <w:sz w:val="24"/>
        </w:rPr>
        <w:t>SD</w:t>
      </w:r>
      <w:r>
        <w:rPr>
          <w:rFonts w:ascii="Times New Roman" w:hAnsi="Times New Roman" w:eastAsia="Times New Roman"/>
          <w:sz w:val="24"/>
        </w:rPr>
        <w:t xml:space="preserve">, gender composition, education level, discipline, recruitment method), learning context (modality, platform or learning management system, course duration, era), personality measurement (instrument, version, item count, Cronbach's alpha or McDonald's omega per trait), outcome measurement (instrument, timing, reliability), and effect-size statistics (Pearson </w:t>
      </w:r>
      <w:r>
        <w:rPr>
          <w:rFonts w:ascii="Times New Roman" w:hAnsi="Times New Roman" w:eastAsia="Times New Roman"/>
          <w:i/>
          <w:sz w:val="24"/>
        </w:rPr>
        <w:t>r</w:t>
      </w:r>
      <w:r>
        <w:rPr>
          <w:rFonts w:ascii="Times New Roman" w:hAnsi="Times New Roman" w:eastAsia="Times New Roman"/>
          <w:sz w:val="24"/>
        </w:rPr>
        <w:t xml:space="preserve">, standardized </w:t>
      </w:r>
      <w:r>
        <w:rPr>
          <w:rFonts w:ascii="Times New Roman" w:hAnsi="Times New Roman" w:eastAsia="Times New Roman"/>
          <w:i/>
          <w:sz w:val="24"/>
        </w:rPr>
        <w:t>β</w:t>
      </w:r>
      <w:r>
        <w:rPr>
          <w:rFonts w:ascii="Times New Roman" w:hAnsi="Times New Roman" w:eastAsia="Times New Roman"/>
          <w:sz w:val="24"/>
        </w:rPr>
        <w:t xml:space="preserve">, Cohen's d, η², </w:t>
      </w:r>
      <w:r>
        <w:rPr>
          <w:rFonts w:ascii="Times New Roman" w:hAnsi="Times New Roman" w:eastAsia="Times New Roman"/>
          <w:i/>
          <w:sz w:val="24"/>
        </w:rPr>
        <w:t>t</w:t>
      </w:r>
      <w:r>
        <w:rPr>
          <w:rFonts w:ascii="Times New Roman" w:hAnsi="Times New Roman" w:eastAsia="Times New Roman"/>
          <w:sz w:val="24"/>
        </w:rPr>
        <w:t xml:space="preserve">, or </w:t>
      </w:r>
      <w:r>
        <w:rPr>
          <w:rFonts w:ascii="Times New Roman" w:hAnsi="Times New Roman" w:eastAsia="Times New Roman"/>
          <w:i/>
          <w:sz w:val="24"/>
        </w:rPr>
        <w:t>F</w:t>
      </w:r>
      <w:r>
        <w:rPr>
          <w:rFonts w:ascii="Times New Roman" w:hAnsi="Times New Roman" w:eastAsia="Times New Roman"/>
          <w:sz w:val="24"/>
        </w:rPr>
        <w:t>, with associated sample size and confidence interval). Data extraction was performed by one reviewer (ET); a randomly selected 10% of included studies was re-extracted after a wash-out interval of at least seven days, with target intra-rater reliability of Cohen's κ ≥ 0.80 for categorical fields and intraclass correlation ICC(2,1) ≥ 0.90 for continuous fields. When effect-size statistics required to populate the extraction form were not reported, the corresponding author of the primary study was contacted by email, with up to two attempts separated by at least two weeks; unanswered requests were recorded and the relevant effect size was either converted from an alternative statistic (see below) or excluded from the trait-specific pool with the reason logged.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(Moola et al., 2017),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ranging from 0 to 8 was computed, with higher scores indicating lower risk of bias. The aggregate score was used as a continuous moderator in meta-regression analyses, and a binary dichotomization at the threshold of 5 was used for sensitivity analyses. To estimate intra-rater reliability under single-reviewer assessment, 20% of included studies were re-assessed after a wash-out interval of at least seven days; the target κ was ≥ 0.80.</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primary effect-size metric was the Pearson product-moment correlation coefficient (</w:t>
      </w:r>
      <w:r>
        <w:rPr>
          <w:rFonts w:ascii="Times New Roman" w:hAnsi="Times New Roman" w:eastAsia="Times New Roman"/>
          <w:i/>
          <w:sz w:val="24"/>
        </w:rPr>
        <w:t>r</w:t>
      </w:r>
      <w:r>
        <w:rPr>
          <w:rFonts w:ascii="Times New Roman" w:hAnsi="Times New Roman" w:eastAsia="Times New Roman"/>
          <w:sz w:val="24"/>
        </w:rPr>
        <w:t xml:space="preserve">) between each Big Five trait score and the academic achievement outcome. Prior to pooling, every extracted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(Borenstein et al., 2009) using the formula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for that effect size. Pooled z-values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using </w:t>
      </w:r>
      <w:r>
        <w:rPr>
          <w:rFonts w:ascii="Times New Roman" w:hAnsi="Times New Roman" w:eastAsia="Times New Roman"/>
          <w:i/>
          <w:sz w:val="24"/>
        </w:rPr>
        <w:t>r</w:t>
      </w:r>
      <w:r>
        <w:rPr>
          <w:rFonts w:ascii="Times New Roman" w:hAnsi="Times New Roman" w:eastAsia="Times New Roman"/>
          <w:sz w:val="24"/>
        </w:rPr>
        <w:t xml:space="preserve"> = [exp(2z) − 1] / [exp(2z) + 1].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whereas point estimates and credibility intervals were reported on the </w:t>
      </w:r>
      <w:r>
        <w:rPr>
          <w:rFonts w:ascii="Times New Roman" w:hAnsi="Times New Roman" w:eastAsia="Times New Roman"/>
          <w:i/>
          <w:sz w:val="24"/>
        </w:rPr>
        <w:t>r</w:t>
      </w:r>
      <w:r>
        <w:rPr>
          <w:rFonts w:ascii="Times New Roman" w:hAnsi="Times New Roman" w:eastAsia="Times New Roman"/>
          <w:sz w:val="24"/>
        </w:rPr>
        <w:t xml:space="preserve"> scale for interpretability.</w:t>
      </w:r>
    </w:p>
    <w:p>
      <w:pPr>
        <w:spacing w:line="480" w:lineRule="auto" w:before="0" w:after="0"/>
        <w:ind w:firstLine="720"/>
      </w:pPr>
      <w:r>
        <w:rPr>
          <w:rFonts w:ascii="Times New Roman" w:hAnsi="Times New Roman" w:eastAsia="Times New Roman"/>
          <w:sz w:val="24"/>
        </w:rPr>
        <w:t xml:space="preserve">When a primary study reported an effect-size statistic other than Pearson </w:t>
      </w:r>
      <w:r>
        <w:rPr>
          <w:rFonts w:ascii="Times New Roman" w:hAnsi="Times New Roman" w:eastAsia="Times New Roman"/>
          <w:i/>
          <w:sz w:val="24"/>
        </w:rPr>
        <w:t>r</w:t>
      </w:r>
      <w:r>
        <w:rPr>
          <w:rFonts w:ascii="Times New Roman" w:hAnsi="Times New Roman" w:eastAsia="Times New Roman"/>
          <w:sz w:val="24"/>
        </w:rPr>
        <w:t xml:space="preserve">, the statistic was converted to </w:t>
      </w:r>
      <w:r>
        <w:rPr>
          <w:rFonts w:ascii="Times New Roman" w:hAnsi="Times New Roman" w:eastAsia="Times New Roman"/>
          <w:i/>
          <w:sz w:val="24"/>
        </w:rPr>
        <w:t>r</w:t>
      </w:r>
      <w:r>
        <w:rPr>
          <w:rFonts w:ascii="Times New Roman" w:hAnsi="Times New Roman" w:eastAsia="Times New Roman"/>
          <w:sz w:val="24"/>
        </w:rPr>
        <w:t xml:space="preserve"> using pre-specified rules, and every converted effect size was flagged for a pre-specified sensitivity analysis in which pooled estimates were recomputed with and without converted effect sizes. Standardized regression coefficients (</w:t>
      </w:r>
      <w:r>
        <w:rPr>
          <w:rFonts w:ascii="Times New Roman" w:hAnsi="Times New Roman" w:eastAsia="Times New Roman"/>
          <w:i/>
          <w:sz w:val="24"/>
        </w:rPr>
        <w:t>β</w:t>
      </w:r>
      <w:r>
        <w:rPr>
          <w:rFonts w:ascii="Times New Roman" w:hAnsi="Times New Roman" w:eastAsia="Times New Roman"/>
          <w:sz w:val="24"/>
        </w:rPr>
        <w:t xml:space="preserve">) were converted using the approximation of Peterson and Brown (2005),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sz w:val="24"/>
        </w:rPr>
        <w:t xml:space="preserve"> + 0.05λ, where λ = 1 if </w:t>
      </w:r>
      <w:r>
        <w:rPr>
          <w:rFonts w:ascii="Times New Roman" w:hAnsi="Times New Roman" w:eastAsia="Times New Roman"/>
          <w:i/>
          <w:sz w:val="24"/>
        </w:rPr>
        <w:t>β</w:t>
      </w:r>
      <w:r>
        <w:rPr>
          <w:rFonts w:ascii="Times New Roman" w:hAnsi="Times New Roman" w:eastAsia="Times New Roman"/>
          <w:sz w:val="24"/>
        </w:rPr>
        <w:t xml:space="preserve"> ≥ 0 and 0 otherwise; conversions from </w:t>
      </w:r>
      <w:r>
        <w:rPr>
          <w:rFonts w:ascii="Times New Roman" w:hAnsi="Times New Roman" w:eastAsia="Times New Roman"/>
          <w:i/>
          <w:sz w:val="24"/>
        </w:rPr>
        <w:t>β</w:t>
      </w:r>
      <w:r>
        <w:rPr>
          <w:rFonts w:ascii="Times New Roman" w:hAnsi="Times New Roman" w:eastAsia="Times New Roman"/>
          <w:sz w:val="24"/>
        </w:rPr>
        <w:t xml:space="preserve"> were applied only when the source model contained at most two predictors, and β-only reports from larger models were excluded. Cohen's d values were converted to </w:t>
      </w:r>
      <w:r>
        <w:rPr>
          <w:rFonts w:ascii="Times New Roman" w:hAnsi="Times New Roman" w:eastAsia="Times New Roman"/>
          <w:i/>
          <w:sz w:val="24"/>
        </w:rPr>
        <w:t>r</w:t>
      </w:r>
      <w:r>
        <w:rPr>
          <w:rFonts w:ascii="Times New Roman" w:hAnsi="Times New Roman" w:eastAsia="Times New Roman"/>
          <w:sz w:val="24"/>
        </w:rPr>
        <w:t xml:space="preserve"> as </w:t>
      </w:r>
      <w:r>
        <w:rPr>
          <w:rFonts w:ascii="Times New Roman" w:hAnsi="Times New Roman" w:eastAsia="Times New Roman"/>
          <w:i/>
          <w:sz w:val="24"/>
        </w:rPr>
        <w:t>r</w:t>
      </w:r>
      <w:r>
        <w:rPr>
          <w:rFonts w:ascii="Times New Roman" w:hAnsi="Times New Roman" w:eastAsia="Times New Roman"/>
          <w:sz w:val="24"/>
        </w:rPr>
        <w:t xml:space="preserve"> = d / √(d² + 4) for equal-group comparisons, adjusted for unequal group sizes as </w:t>
      </w:r>
      <w:r>
        <w:rPr>
          <w:rFonts w:ascii="Times New Roman" w:hAnsi="Times New Roman" w:eastAsia="Times New Roman"/>
          <w:i/>
          <w:sz w:val="24"/>
        </w:rPr>
        <w:t>r</w:t>
      </w:r>
      <w:r>
        <w:rPr>
          <w:rFonts w:ascii="Times New Roman" w:hAnsi="Times New Roman" w:eastAsia="Times New Roman"/>
          <w:sz w:val="24"/>
        </w:rPr>
        <w:t xml:space="preserve"> = d / √(d² + (n₁ + n₂)² / (n₁ × n₂)). Eta-squared (η²) values from single-predictor models were converted as </w:t>
      </w:r>
      <w:r>
        <w:rPr>
          <w:rFonts w:ascii="Times New Roman" w:hAnsi="Times New Roman" w:eastAsia="Times New Roman"/>
          <w:i/>
          <w:sz w:val="24"/>
        </w:rPr>
        <w:t>r</w:t>
      </w:r>
      <w:r>
        <w:rPr>
          <w:rFonts w:ascii="Times New Roman" w:hAnsi="Times New Roman" w:eastAsia="Times New Roman"/>
          <w:sz w:val="24"/>
        </w:rPr>
        <w:t xml:space="preserve"> = √η², with sign assigned based on the reported direction of association. </w:t>
      </w:r>
      <w:r>
        <w:rPr>
          <w:rFonts w:ascii="Times New Roman" w:hAnsi="Times New Roman" w:eastAsia="Times New Roman"/>
          <w:i/>
          <w:sz w:val="24"/>
        </w:rPr>
        <w:t>F</w:t>
      </w:r>
      <w:r>
        <w:rPr>
          <w:rFonts w:ascii="Times New Roman" w:hAnsi="Times New Roman" w:eastAsia="Times New Roman"/>
          <w:sz w:val="24"/>
        </w:rPr>
        <w:t xml:space="preserve"> and </w:t>
      </w:r>
      <w:r>
        <w:rPr>
          <w:rFonts w:ascii="Times New Roman" w:hAnsi="Times New Roman" w:eastAsia="Times New Roman"/>
          <w:i/>
          <w:sz w:val="24"/>
        </w:rPr>
        <w:t>t</w:t>
      </w:r>
      <w:r>
        <w:rPr>
          <w:rFonts w:ascii="Times New Roman" w:hAnsi="Times New Roman" w:eastAsia="Times New Roman"/>
          <w:sz w:val="24"/>
        </w:rPr>
        <w:t xml:space="preserve"> statistics were converted using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df_error)) and </w:t>
      </w:r>
      <w:r>
        <w:rPr>
          <w:rFonts w:ascii="Times New Roman" w:hAnsi="Times New Roman" w:eastAsia="Times New Roman"/>
          <w:i/>
          <w:sz w:val="24"/>
        </w:rPr>
        <w:t>r</w:t>
      </w:r>
      <w:r>
        <w:rPr>
          <w:rFonts w:ascii="Times New Roman" w:hAnsi="Times New Roman" w:eastAsia="Times New Roman"/>
          <w:sz w:val="24"/>
        </w:rPr>
        <w:t xml:space="preserve"> = √(t² / (t² + </w:t>
      </w:r>
      <w:r>
        <w:rPr>
          <w:rFonts w:ascii="Times New Roman" w:hAnsi="Times New Roman" w:eastAsia="Times New Roman"/>
          <w:i/>
          <w:sz w:val="24"/>
        </w:rPr>
        <w:t>df</w:t>
      </w:r>
      <w:r>
        <w:rPr>
          <w:rFonts w:ascii="Times New Roman" w:hAnsi="Times New Roman" w:eastAsia="Times New Roman"/>
          <w:sz w:val="24"/>
        </w:rPr>
        <w:t>)), respectively.</w:t>
      </w:r>
    </w:p>
    <w:p>
      <w:pPr>
        <w:spacing w:line="480" w:lineRule="auto" w:before="0" w:after="0"/>
        <w:ind w:firstLine="720"/>
      </w:pPr>
      <w:r>
        <w:rPr>
          <w:rFonts w:ascii="Times New Roman" w:hAnsi="Times New Roman" w:eastAsia="Times New Roman"/>
          <w:sz w:val="24"/>
        </w:rPr>
        <w:t>Two measurement-specific pre-processing steps were applied before pooling. First, for primary studies that reported Emotional Stability rather than Neuroticism, the sign of the reported correlation was reversed so that all effect sizes in the Neuroticism pool were oriented such that higher trait scores corresponded to higher Neuroticism; this sign-alignment step was applied uniformly and was recorded in the extraction file. Second, for primary studies using the HEXACO framework, HEXACO traits were mapped to the Big Five using the crosswalk proposed by Ashton and Lee (2007): HEXACO Extraversion mapped to Big Five Extraversion; HEXACO Conscientiousness to Big Five Conscientiousness; HEXACO Openness to Big Five Openness; HEXACO Emotionality (sign-aligned) to Big Five Neuroticism; and the variance-weighted composite of HEXACO Agreeableness and Honesty–Humility to Big Five Agreeableness. A pre-specified sensitivity analysis re-ran the primary pooling models (a) with HEXACO studies excluded entirely and (b) with HEXACO Emotionality mapped to Neuroticism but without compositing Agreeableness with Honesty–Humility, in order to evaluate the robustness of this crosswalk.</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Five primary meta-analytic models were estimated, one for each Big Five trait (Conscientiousness, Openness, Extraversion, Agreeableness, Neuroticism) paired with academic achievement. Each model was a random-effects meta-analysis with between-study variance (</w:t>
      </w:r>
      <w:r>
        <w:rPr>
          <w:rFonts w:ascii="Times New Roman" w:hAnsi="Times New Roman" w:eastAsia="Times New Roman"/>
          <w:i/>
          <w:sz w:val="24"/>
        </w:rPr>
        <w:t>τ²</w:t>
      </w:r>
      <w:r>
        <w:rPr>
          <w:rFonts w:ascii="Times New Roman" w:hAnsi="Times New Roman" w:eastAsia="Times New Roman"/>
          <w:sz w:val="24"/>
        </w:rPr>
        <w:t xml:space="preserve">) estimated using the Restricted Maximum Likelihood (REML) estimator, and 95% confidence intervals for the pooled effect adjusted with the Hartung-Knapp-Sidik-Jonkman (HKSJ) method to reduce Type I error inflation in small-k scenarios (IntHout, Ioannidis, &amp; Borm, 2014). Heterogeneity was quantified using Cochran's </w:t>
      </w:r>
      <w:r>
        <w:rPr>
          <w:rFonts w:ascii="Times New Roman" w:hAnsi="Times New Roman" w:eastAsia="Times New Roman"/>
          <w:i/>
          <w:sz w:val="24"/>
        </w:rPr>
        <w:t>Q</w:t>
      </w:r>
      <w:r>
        <w:rPr>
          <w:rFonts w:ascii="Times New Roman" w:hAnsi="Times New Roman" w:eastAsia="Times New Roman"/>
          <w:sz w:val="24"/>
        </w:rPr>
        <w:t xml:space="preserve">, the </w:t>
      </w:r>
      <w:r>
        <w:rPr>
          <w:rFonts w:ascii="Times New Roman" w:hAnsi="Times New Roman" w:eastAsia="Times New Roman"/>
          <w:i/>
          <w:sz w:val="24"/>
        </w:rPr>
        <w:t>I²</w:t>
      </w:r>
      <w:r>
        <w:rPr>
          <w:rFonts w:ascii="Times New Roman" w:hAnsi="Times New Roman" w:eastAsia="Times New Roman"/>
          <w:sz w:val="24"/>
        </w:rPr>
        <w:t xml:space="preserve"> statistic, </w:t>
      </w:r>
      <w:r>
        <w:rPr>
          <w:rFonts w:ascii="Times New Roman" w:hAnsi="Times New Roman" w:eastAsia="Times New Roman"/>
          <w:i/>
          <w:sz w:val="24"/>
        </w:rPr>
        <w:t>τ²</w:t>
      </w:r>
      <w:r>
        <w:rPr>
          <w:rFonts w:ascii="Times New Roman" w:hAnsi="Times New Roman" w:eastAsia="Times New Roman"/>
          <w:sz w:val="24"/>
        </w:rPr>
        <w:t xml:space="preserve"> and </w:t>
      </w:r>
      <w:r>
        <w:rPr>
          <w:rFonts w:ascii="Times New Roman" w:hAnsi="Times New Roman" w:eastAsia="Times New Roman"/>
          <w:i/>
          <w:sz w:val="24"/>
        </w:rPr>
        <w:t>τ</w:t>
      </w:r>
      <w:r>
        <w:rPr>
          <w:rFonts w:ascii="Times New Roman" w:hAnsi="Times New Roman" w:eastAsia="Times New Roman"/>
          <w:sz w:val="24"/>
        </w:rPr>
        <w:t>, and 95% prediction intervals. When a single sample contributed multiple effect sizes to a given trait pool (e.g., across multiple outcome indicators), dependence was handled by retaining the most inclusive effect size in the primary pool and conducting a sensitivity analysis using Robust Variance Estimation (RVE) with small-sample correction (Tipton, 2015), as well as a three-level random-effects model with variance components at the effect-size, study, and sample levels.</w:t>
      </w:r>
    </w:p>
    <w:p>
      <w:pPr>
        <w:spacing w:line="480" w:lineRule="auto" w:before="0" w:after="0"/>
        <w:ind w:firstLine="720"/>
      </w:pPr>
      <w:r>
        <w:rPr>
          <w:rFonts w:ascii="Times New Roman" w:hAnsi="Times New Roman" w:eastAsia="Times New Roman"/>
          <w:sz w:val="24"/>
        </w:rPr>
        <w:t xml:space="preserve">All primary pooling was conducted on the Fisher </w:t>
      </w:r>
      <w:r>
        <w:rPr>
          <w:rFonts w:ascii="Times New Roman" w:hAnsi="Times New Roman" w:eastAsia="Times New Roman"/>
          <w:i/>
          <w:sz w:val="24"/>
        </w:rPr>
        <w:t>z</w:t>
      </w:r>
      <w:r>
        <w:rPr>
          <w:rFonts w:ascii="Times New Roman" w:hAnsi="Times New Roman" w:eastAsia="Times New Roman"/>
          <w:sz w:val="24"/>
        </w:rPr>
        <w:t xml:space="preserve"> scale, and pooled </w:t>
      </w:r>
      <w:r>
        <w:rPr>
          <w:rFonts w:ascii="Times New Roman" w:hAnsi="Times New Roman" w:eastAsia="Times New Roman"/>
          <w:i/>
          <w:sz w:val="24"/>
        </w:rPr>
        <w:t>z</w:t>
      </w:r>
      <w:r>
        <w:rPr>
          <w:rFonts w:ascii="Times New Roman" w:hAnsi="Times New Roman" w:eastAsia="Times New Roman"/>
          <w:sz w:val="24"/>
        </w:rPr>
        <w:t xml:space="preserve">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Inference criteria were two-tailed, with α = .05 for pooled effect significance tests, α = .10 for Cochran's </w:t>
      </w:r>
      <w:r>
        <w:rPr>
          <w:rFonts w:ascii="Times New Roman" w:hAnsi="Times New Roman" w:eastAsia="Times New Roman"/>
          <w:i/>
          <w:sz w:val="24"/>
        </w:rPr>
        <w:t>Q</w:t>
      </w:r>
      <w:r>
        <w:rPr>
          <w:rFonts w:ascii="Times New Roman" w:hAnsi="Times New Roman" w:eastAsia="Times New Roman"/>
          <w:sz w:val="24"/>
        </w:rPr>
        <w:t xml:space="preserve"> (per convention), and α = .05 for moderator </w:t>
      </w:r>
      <w:r>
        <w:rPr>
          <w:rFonts w:ascii="Times New Roman" w:hAnsi="Times New Roman" w:eastAsia="Times New Roman"/>
          <w:i/>
          <w:sz w:val="24"/>
        </w:rPr>
        <w:t>QM</w:t>
      </w:r>
      <w:r>
        <w:rPr>
          <w:rFonts w:ascii="Times New Roman" w:hAnsi="Times New Roman" w:eastAsia="Times New Roman"/>
          <w:sz w:val="24"/>
        </w:rPr>
        <w:t xml:space="preserve"> tests. Effect-size magnitudes were interpreted against the benchmarks proposed by Gignac and Szodorai (2016) for correlational meta-analyses, with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moderate, and </w:t>
      </w:r>
      <w:r>
        <w:rPr>
          <w:rFonts w:ascii="Times New Roman" w:hAnsi="Times New Roman" w:eastAsia="Times New Roman"/>
          <w:i/>
          <w:sz w:val="24"/>
        </w:rPr>
        <w:t>r</w:t>
      </w:r>
      <w:r>
        <w:rPr>
          <w:rFonts w:ascii="Times New Roman" w:hAnsi="Times New Roman" w:eastAsia="Times New Roman"/>
          <w:sz w:val="24"/>
        </w:rPr>
        <w:t xml:space="preserve"> ≈ .30 large. The minimum effect of interest for GRADE imprecision judgments was set at |r| = .10.</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Five categorical moderators were tested: learning modality (fully online, blended, MOOC, synchronous online, asynchronous online, mixed), education level (K-12, undergraduate, graduate, adult, mixed), region (Asia, Europe, North America, Other), era (pre-COVID ≤ 2019, COVID 2020–2022, post-COVID 2023–), outcome type (GPA, exam, LMS behavior, composite), and personality instrument (BFI, BFI-2, NEO-FFI, NEO-PI-R, IPIP, HEXACO, TIPI, other). Three continuous moderators were tested: publication year (grand-mean centered), sample size (natural-log transformed), and risk-of-bias aggregate score (0–8). Each moderator was entered separately into a mixed-effects meta-regression within each trait pool, with significance assessed via the Wald-type </w:t>
      </w:r>
      <w:r>
        <w:rPr>
          <w:rFonts w:ascii="Times New Roman" w:hAnsi="Times New Roman" w:eastAsia="Times New Roman"/>
          <w:i/>
          <w:sz w:val="24"/>
        </w:rPr>
        <w:t>QM</w:t>
      </w:r>
      <w:r>
        <w:rPr>
          <w:rFonts w:ascii="Times New Roman" w:hAnsi="Times New Roman" w:eastAsia="Times New Roman"/>
          <w:sz w:val="24"/>
        </w:rPr>
        <w:t xml:space="preserve"> test. The </w:t>
      </w:r>
      <w:r>
        <w:rPr>
          <w:rFonts w:ascii="Times New Roman" w:hAnsi="Times New Roman" w:eastAsia="Times New Roman"/>
          <w:i/>
          <w:sz w:val="24"/>
        </w:rPr>
        <w:t>R²</w:t>
      </w:r>
      <w:r>
        <w:rPr>
          <w:rFonts w:ascii="Times New Roman" w:hAnsi="Times New Roman" w:eastAsia="Times New Roman"/>
          <w:sz w:val="24"/>
        </w:rPr>
        <w:t xml:space="preserve"> analog proposed by Raudenbush (2009) was reported for each moderator to quantify the proportion of between-study variance explained. To control the family-wise error rate across the nine moderators tested within each trait, the Holm-Bonferroni correction was applied; both uncorrected and corrected p-values were reported. Given that </w:t>
      </w:r>
      <w:r>
        <w:rPr>
          <w:rFonts w:ascii="Times New Roman" w:hAnsi="Times New Roman" w:eastAsia="Times New Roman"/>
          <w:i/>
          <w:sz w:val="24"/>
        </w:rPr>
        <w:t>k</w:t>
      </w:r>
      <w:r>
        <w:rPr>
          <w:rFonts w:ascii="Times New Roman" w:hAnsi="Times New Roman" w:eastAsia="Times New Roman"/>
          <w:sz w:val="24"/>
        </w:rPr>
        <w:t xml:space="preserve"> ≥ 10 per predictor level was required for robust meta-regression (Borenstein et al., 2021), moderator levels with fewer than 10 contributing effect sizes were reported narratively rather than quantitatively.</w:t>
      </w:r>
    </w:p>
    <w:p>
      <w:pPr>
        <w:spacing w:line="480" w:lineRule="auto" w:before="0" w:after="0"/>
        <w:ind w:firstLine="720"/>
      </w:pPr>
      <w:r>
        <w:rPr>
          <w:rFonts w:ascii="Times New Roman" w:hAnsi="Times New Roman" w:eastAsia="Times New Roman"/>
          <w:sz w:val="24"/>
        </w:rPr>
        <w:t>Seven sensitivity analyses were pre-specified. The primary pooling models were re-estimated (a) excluding studies with a risk-of-bias aggregate score below 5; (b) excluding the present author's own prior primary study (Tokiwa, 2025) to address the potential conflict of interest; (c) excluding studies that contributed converted effect sizes (β-to-r, d-to-r, η²-to-r); (d) excluding studies with analytic samples of fewer than 50 participants; (e) with the two alternative HEXACO-to-Big-Five mapping protocols described above; (f) with each individual effect size removed in turn (leave-one-out analysis, using Cook's distance to identify influential observations); and (g) with the DerSimonian-Laird estimator substituted for REML, to evaluate estimator-dependence.</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rPr>
        <w:t>Publication bias was assessed per trait using four complementary procedures: visual inspection of funnel plots with pseudo-95% confidence bounds; Egger's regression asymmetry test (Egger et al., 1997); Peters' regression test adapted for correlation effect sizes; and Duval and Tweedie's (2000) trim-and-fill procedure, reported as a sensitivity check rather than as a point-estimate correction. In addition, p-curve analysis (Simonsohn et al., 2014) was performed to evaluate the evidential value of the statistically significant primary findings. Grey literature—doctoral dissertations and peer-reviewed conference proceedings—was included in the primary synthesis to partially mitigate publication bias arising from the file-drawer problem, while unpublished manuscripts and non-peer-reviewed preprints were excluded for quality reasons; this trade-off is acknowledged as a limitation in the Discussion.</w:t>
      </w:r>
    </w:p>
    <w:p>
      <w:pPr>
        <w:pStyle w:val="Heading2"/>
        <w:spacing w:line="480" w:lineRule="auto" w:before="0" w:after="0"/>
      </w:pPr>
      <w:r>
        <w:t>Confidence in Cumulative Evidence (GRADE)</w:t>
      </w:r>
    </w:p>
    <w:p>
      <w:pPr>
        <w:spacing w:line="480" w:lineRule="auto" w:before="0" w:after="0"/>
        <w:ind w:firstLine="720"/>
      </w:pPr>
      <w:r>
        <w:rPr>
          <w:rFonts w:ascii="Times New Roman" w:hAnsi="Times New Roman" w:eastAsia="Times New Roman"/>
          <w:sz w:val="24"/>
        </w:rPr>
        <w:t xml:space="preserve">The confidence in the cumulative evidence per Big Five trait was assessed using an adaptation of the GRADE framework for observational correlational syntheses (Schünemann et al., 2019). Five domains were evaluated: risk of bias (downgrade if the mean JBI aggregate score across included studies was below 5), inconsistency (downgrade if </w:t>
      </w:r>
      <w:r>
        <w:rPr>
          <w:rFonts w:ascii="Times New Roman" w:hAnsi="Times New Roman" w:eastAsia="Times New Roman"/>
          <w:i/>
          <w:sz w:val="24"/>
        </w:rPr>
        <w:t>I²</w:t>
      </w:r>
      <w:r>
        <w:rPr>
          <w:rFonts w:ascii="Times New Roman" w:hAnsi="Times New Roman" w:eastAsia="Times New Roman"/>
          <w:sz w:val="24"/>
        </w:rPr>
        <w:t xml:space="preserve"> exceeded 75% or if the 95% prediction interval crossed zero and extended to a meaningfully opposite effect), indirectness (downgrade for population, exposure, or outcome indirectness relative to the review question), imprecision (downgrade if the 95% confidence interval crossed the null or was wider than twice the minimum effect of interest of |r| = .10), and publication bias (downgrade if Egger's test was significant at </w:t>
      </w:r>
      <w:r>
        <w:rPr>
          <w:rFonts w:ascii="Times New Roman" w:hAnsi="Times New Roman" w:eastAsia="Times New Roman"/>
          <w:i/>
          <w:sz w:val="24"/>
        </w:rPr>
        <w:t>p</w:t>
      </w:r>
      <w:r>
        <w:rPr>
          <w:rFonts w:ascii="Times New Roman" w:hAnsi="Times New Roman" w:eastAsia="Times New Roman"/>
          <w:sz w:val="24"/>
        </w:rPr>
        <w:t xml:space="preserve"> &lt; .05 with visible funnel asymmetry, or if the p-curve analysis failed to support evidential value). Two upgrade considerations were applied: large magnitude (upgrade one level if |pooled r| ≥ .30) and evidence of a dose-response gradient (e.g., facet-level gradient), if data permitted. The final confidence rating for each trait was reported as High, Moderate, Low, or Very Low, and was presented together with the pooled estimates in a GRADE Summary of Findings table.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Three deviations from the pre-registered protocol (OSF Registration DOI 10.17605/OSF.IO/E5W47) are disclosed. First, as noted in the Information Sources subsection, direct programmatic access to PubMed, PsycINFO, Web of Science, Scopus, and ProQuest Dissertations was not available in the execution environment; the pre-registered three-concept Boolean search strategy was executed through an equivalent web-based search interface and supplemented by targeted retrieval from open-access repositories. The search log transparently records every executed query, the retrieval date, and the hit count. Second, the original pre-registration listed nine moderators to be tested per trait; given the smaller-than-anticipated number of eligible primary studies providing direct trait-by-achievement correlations (</w:t>
      </w:r>
      <w:r>
        <w:rPr>
          <w:rFonts w:ascii="Times New Roman" w:hAnsi="Times New Roman" w:eastAsia="Times New Roman"/>
          <w:i/>
          <w:sz w:val="24"/>
        </w:rPr>
        <w:t>k</w:t>
      </w:r>
      <w:r>
        <w:rPr>
          <w:rFonts w:ascii="Times New Roman" w:hAnsi="Times New Roman" w:eastAsia="Times New Roman"/>
          <w:sz w:val="24"/>
        </w:rPr>
        <w:t xml:space="preserve"> = 9–10 for the core achievement pool), the quantitative subgroup analyses were restricted to three moderators for which at least two independent contributing studies per level existed (region, era, and outcome type). The remaining six moderators are described narratively in the subsection below. Third, a new benchmark meta-analysis (Chen et al., 2025) was identified after the pre-registration was time-stamped but before data extraction was completed; it was added to the Introduction's benchmark corpus rather than to the primary synthesis pool, consistent with its role as a face-to-face reference point.</w:t>
      </w:r>
    </w:p>
    <w:p>
      <w:pPr>
        <w:spacing w:line="480" w:lineRule="auto" w:before="0" w:after="0"/>
        <w:ind w:firstLine="720"/>
      </w:pPr>
      <w:r>
        <w:rPr>
          <w:rFonts w:ascii="Times New Roman" w:hAnsi="Times New Roman" w:eastAsia="Times New Roman"/>
          <w:sz w:val="24"/>
        </w:rPr>
        <w:t>Narrative description of the six moderators for which quantitative meta-regression was not feasible is summarized below. (a) Personality instrument: the instrument was heavily skewed toward the Big Five Inventory family (13 of 25 retained studies); NEO-family, IPIP, HEXACO, and TIPI/TIPI-J together contributed fewer than three studies each in the retained set. Within the primary achievement pool, Conscientiousness estimates were comparable across BFI-44 studies (</w:t>
      </w:r>
      <w:r>
        <w:rPr>
          <w:rFonts w:ascii="Times New Roman" w:hAnsi="Times New Roman" w:eastAsia="Times New Roman"/>
          <w:i/>
          <w:sz w:val="24"/>
        </w:rPr>
        <w:t>r</w:t>
      </w:r>
      <w:r>
        <w:rPr>
          <w:rFonts w:ascii="Times New Roman" w:hAnsi="Times New Roman" w:eastAsia="Times New Roman"/>
          <w:sz w:val="24"/>
        </w:rPr>
        <w:t xml:space="preserve"> range from .068 in Bahçekapılı &amp; Karaman, 2020 to .37 in Abe, 2020 paper-grade outcome), TIPI-J (</w:t>
      </w:r>
      <w:r>
        <w:rPr>
          <w:rFonts w:ascii="Times New Roman" w:hAnsi="Times New Roman" w:eastAsia="Times New Roman"/>
          <w:i/>
          <w:sz w:val="24"/>
        </w:rPr>
        <w:t>r</w:t>
      </w:r>
      <w:r>
        <w:rPr>
          <w:rFonts w:ascii="Times New Roman" w:hAnsi="Times New Roman" w:eastAsia="Times New Roman"/>
          <w:sz w:val="24"/>
        </w:rPr>
        <w:t xml:space="preserve"> = .144 in Rivers, 2021), and β-converted studies (Yu, 2021 and Kaspar et al., 2023). Consistent with McAbee and Oswald (2013), the short-form Mini-IPIP and TIPI produced smaller magnitudes than full BFI-family instruments, but the k-per-instrument was insufficient for inferential testing. (b) Publication year: the retained studies spanned 2003 to 2025, with concentration in 2020–2023. A scatter-plot inspection of year vs. effect size (not reported) indicated no systematic trend. (c) Log-sample size: among the 10 studies in the primary quantitative pool, larger samples (Yu, 2021 </w:t>
      </w:r>
      <w:r>
        <w:rPr>
          <w:rFonts w:ascii="Times New Roman" w:hAnsi="Times New Roman" w:eastAsia="Times New Roman"/>
          <w:i/>
          <w:sz w:val="24"/>
        </w:rPr>
        <w:t>N</w:t>
      </w:r>
      <w:r>
        <w:rPr>
          <w:rFonts w:ascii="Times New Roman" w:hAnsi="Times New Roman" w:eastAsia="Times New Roman"/>
          <w:sz w:val="24"/>
        </w:rPr>
        <w:t xml:space="preserve"> = 1,152; Bahçekapılı &amp; Karaman, 2020 </w:t>
      </w:r>
      <w:r>
        <w:rPr>
          <w:rFonts w:ascii="Times New Roman" w:hAnsi="Times New Roman" w:eastAsia="Times New Roman"/>
          <w:i/>
          <w:sz w:val="24"/>
        </w:rPr>
        <w:t>N</w:t>
      </w:r>
      <w:r>
        <w:rPr>
          <w:rFonts w:ascii="Times New Roman" w:hAnsi="Times New Roman" w:eastAsia="Times New Roman"/>
          <w:sz w:val="24"/>
        </w:rPr>
        <w:t xml:space="preserve"> = 525; Kaspar et al., 2023 </w:t>
      </w:r>
      <w:r>
        <w:rPr>
          <w:rFonts w:ascii="Times New Roman" w:hAnsi="Times New Roman" w:eastAsia="Times New Roman"/>
          <w:i/>
          <w:sz w:val="24"/>
        </w:rPr>
        <w:t>N</w:t>
      </w:r>
      <w:r>
        <w:rPr>
          <w:rFonts w:ascii="Times New Roman" w:hAnsi="Times New Roman" w:eastAsia="Times New Roman"/>
          <w:sz w:val="24"/>
        </w:rPr>
        <w:t xml:space="preserve"> = 413; Quigley et al., 2022 </w:t>
      </w:r>
      <w:r>
        <w:rPr>
          <w:rFonts w:ascii="Times New Roman" w:hAnsi="Times New Roman" w:eastAsia="Times New Roman"/>
          <w:i/>
          <w:sz w:val="24"/>
        </w:rPr>
        <w:t>N</w:t>
      </w:r>
      <w:r>
        <w:rPr>
          <w:rFonts w:ascii="Times New Roman" w:hAnsi="Times New Roman" w:eastAsia="Times New Roman"/>
          <w:sz w:val="24"/>
        </w:rPr>
        <w:t xml:space="preserve"> = 301; Zheng &amp; Zheng, 2023 </w:t>
      </w:r>
      <w:r>
        <w:rPr>
          <w:rFonts w:ascii="Times New Roman" w:hAnsi="Times New Roman" w:eastAsia="Times New Roman"/>
          <w:i/>
          <w:sz w:val="24"/>
        </w:rPr>
        <w:t>N</w:t>
      </w:r>
      <w:r>
        <w:rPr>
          <w:rFonts w:ascii="Times New Roman" w:hAnsi="Times New Roman" w:eastAsia="Times New Roman"/>
          <w:sz w:val="24"/>
        </w:rPr>
        <w:t xml:space="preserve"> = 282; Rodrigues et al., 2024 </w:t>
      </w:r>
      <w:r>
        <w:rPr>
          <w:rFonts w:ascii="Times New Roman" w:hAnsi="Times New Roman" w:eastAsia="Times New Roman"/>
          <w:i/>
          <w:sz w:val="24"/>
        </w:rPr>
        <w:t>N</w:t>
      </w:r>
      <w:r>
        <w:rPr>
          <w:rFonts w:ascii="Times New Roman" w:hAnsi="Times New Roman" w:eastAsia="Times New Roman"/>
          <w:sz w:val="24"/>
        </w:rPr>
        <w:t xml:space="preserve"> = 260; Alkış &amp; Taşkaya Temizel, 2018 online subsample </w:t>
      </w:r>
      <w:r>
        <w:rPr>
          <w:rFonts w:ascii="Times New Roman" w:hAnsi="Times New Roman" w:eastAsia="Times New Roman"/>
          <w:i/>
          <w:sz w:val="24"/>
        </w:rPr>
        <w:t>N</w:t>
      </w:r>
      <w:r>
        <w:rPr>
          <w:rFonts w:ascii="Times New Roman" w:hAnsi="Times New Roman" w:eastAsia="Times New Roman"/>
          <w:sz w:val="24"/>
        </w:rPr>
        <w:t xml:space="preserve"> = 189) produced smaller pooled Conscientiousness estimates (</w:t>
      </w:r>
      <w:r>
        <w:rPr>
          <w:rFonts w:ascii="Times New Roman" w:hAnsi="Times New Roman" w:eastAsia="Times New Roman"/>
          <w:i/>
          <w:sz w:val="24"/>
        </w:rPr>
        <w:t>r</w:t>
      </w:r>
      <w:r>
        <w:rPr>
          <w:rFonts w:ascii="Times New Roman" w:hAnsi="Times New Roman" w:eastAsia="Times New Roman"/>
          <w:sz w:val="24"/>
        </w:rPr>
        <w:t xml:space="preserve"> ≈ .10) than the two smallest pool members (Abe, 2020 </w:t>
      </w:r>
      <w:r>
        <w:rPr>
          <w:rFonts w:ascii="Times New Roman" w:hAnsi="Times New Roman" w:eastAsia="Times New Roman"/>
          <w:i/>
          <w:sz w:val="24"/>
        </w:rPr>
        <w:t>N</w:t>
      </w:r>
      <w:r>
        <w:rPr>
          <w:rFonts w:ascii="Times New Roman" w:hAnsi="Times New Roman" w:eastAsia="Times New Roman"/>
          <w:sz w:val="24"/>
        </w:rPr>
        <w:t xml:space="preserve"> = 92; Elvers et al., 2003 online subset </w:t>
      </w:r>
      <w:r>
        <w:rPr>
          <w:rFonts w:ascii="Times New Roman" w:hAnsi="Times New Roman" w:eastAsia="Times New Roman"/>
          <w:i/>
          <w:sz w:val="24"/>
        </w:rPr>
        <w:t>N</w:t>
      </w:r>
      <w:r>
        <w:rPr>
          <w:rFonts w:ascii="Times New Roman" w:hAnsi="Times New Roman" w:eastAsia="Times New Roman"/>
          <w:sz w:val="24"/>
        </w:rPr>
        <w:t xml:space="preserve"> = 21; </w:t>
      </w:r>
      <w:r>
        <w:rPr>
          <w:rFonts w:ascii="Times New Roman" w:hAnsi="Times New Roman" w:eastAsia="Times New Roman"/>
          <w:i/>
          <w:sz w:val="24"/>
        </w:rPr>
        <w:t>r</w:t>
      </w:r>
      <w:r>
        <w:rPr>
          <w:rFonts w:ascii="Times New Roman" w:hAnsi="Times New Roman" w:eastAsia="Times New Roman"/>
          <w:sz w:val="24"/>
        </w:rPr>
        <w:t xml:space="preserve"> ≈ .30), a pattern consistent with small-study effects and detected also in the Egger analysis. (d) Risk-of-bias score: the low-quality exclusion sensitivity analysis (reported in Results) showed robustness to RoB &lt; 5 exclusion, with |Δr| ≤ .015 for all traits. (e) Modality: among the 25 retained studies, only one was not-explicitly-online (A-13 Dang et al., 2025; general learning-engagement scale not online-specific) and one (A-02 Alkış &amp; Taşkaya Temizel, 2018) contributed both online (</w:t>
      </w:r>
      <w:r>
        <w:rPr>
          <w:rFonts w:ascii="Times New Roman" w:hAnsi="Times New Roman" w:eastAsia="Times New Roman"/>
          <w:i/>
          <w:sz w:val="24"/>
        </w:rPr>
        <w:t>N</w:t>
      </w:r>
      <w:r>
        <w:rPr>
          <w:rFonts w:ascii="Times New Roman" w:hAnsi="Times New Roman" w:eastAsia="Times New Roman"/>
          <w:sz w:val="24"/>
        </w:rPr>
        <w:t xml:space="preserve"> = 189) and blended (</w:t>
      </w:r>
      <w:r>
        <w:rPr>
          <w:rFonts w:ascii="Times New Roman" w:hAnsi="Times New Roman" w:eastAsia="Times New Roman"/>
          <w:i/>
          <w:sz w:val="24"/>
        </w:rPr>
        <w:t>N</w:t>
      </w:r>
      <w:r>
        <w:rPr>
          <w:rFonts w:ascii="Times New Roman" w:hAnsi="Times New Roman" w:eastAsia="Times New Roman"/>
          <w:sz w:val="24"/>
        </w:rPr>
        <w:t xml:space="preserve"> = 127) subsamples. A-28 Yu's MOOC context is itself a form of online learning. The </w:t>
      </w:r>
      <w:r>
        <w:rPr>
          <w:rFonts w:ascii="Times New Roman" w:hAnsi="Times New Roman" w:eastAsia="Times New Roman"/>
          <w:i/>
          <w:sz w:val="24"/>
        </w:rPr>
        <w:t>k</w:t>
      </w:r>
      <w:r>
        <w:rPr>
          <w:rFonts w:ascii="Times New Roman" w:hAnsi="Times New Roman" w:eastAsia="Times New Roman"/>
          <w:sz w:val="24"/>
        </w:rPr>
        <w:t xml:space="preserve"> for any non-fully-online cell was insufficient for quantitative modality moderation. (f) Education level: 2 K-12 studies were retained (A-25 Tokiwa, 2025; A-26 Wang et al., 2023), with an additional K-12 record (A-10 Boonyapison et al., 2025) excluded for face-to-face modality. Neither retained K-12 study contributed direct or β-converted </w:t>
      </w:r>
      <w:r>
        <w:rPr>
          <w:rFonts w:ascii="Times New Roman" w:hAnsi="Times New Roman" w:eastAsia="Times New Roman"/>
          <w:i/>
          <w:sz w:val="24"/>
        </w:rPr>
        <w:t>r</w:t>
      </w:r>
      <w:r>
        <w:rPr>
          <w:rFonts w:ascii="Times New Roman" w:hAnsi="Times New Roman" w:eastAsia="Times New Roman"/>
          <w:sz w:val="24"/>
        </w:rPr>
        <w:t xml:space="preserve"> to the primary quantitative achievement pool: A-25 reported test-completion outcomes without extractable achievement </w:t>
      </w:r>
      <w:r>
        <w:rPr>
          <w:rFonts w:ascii="Times New Roman" w:hAnsi="Times New Roman" w:eastAsia="Times New Roman"/>
          <w:i/>
          <w:sz w:val="24"/>
        </w:rPr>
        <w:t>r</w:t>
      </w:r>
      <w:r>
        <w:rPr>
          <w:rFonts w:ascii="Times New Roman" w:hAnsi="Times New Roman" w:eastAsia="Times New Roman"/>
          <w:sz w:val="24"/>
        </w:rPr>
        <w:t xml:space="preserve">, and A-26 reported only a </w:t>
      </w:r>
      <w:r>
        <w:rPr>
          <w:rFonts w:ascii="Times New Roman" w:hAnsi="Times New Roman" w:eastAsia="Times New Roman"/>
          <w:i/>
          <w:sz w:val="24"/>
        </w:rPr>
        <w:t>β</w:t>
      </w:r>
      <w:r>
        <w:rPr>
          <w:rFonts w:ascii="Times New Roman" w:hAnsi="Times New Roman" w:eastAsia="Times New Roman"/>
          <w:sz w:val="24"/>
        </w:rPr>
        <w:t xml:space="preserve"> path through engagement (no direct trait–achievement </w:t>
      </w:r>
      <w:r>
        <w:rPr>
          <w:rFonts w:ascii="Times New Roman" w:hAnsi="Times New Roman" w:eastAsia="Times New Roman"/>
          <w:i/>
          <w:sz w:val="24"/>
        </w:rPr>
        <w:t>r</w:t>
      </w:r>
      <w:r>
        <w:rPr>
          <w:rFonts w:ascii="Times New Roman" w:hAnsi="Times New Roman" w:eastAsia="Times New Roman"/>
          <w:sz w:val="24"/>
        </w:rPr>
        <w:t>). The K-12 contribution to the present synthesis is therefore narrative-only and cannot be generalized to the K-12 online population more broadly. Each of these six narrative observations is offered as descriptive orientation rather than as a formal hypothesis test.</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 xml:space="preserve">All quantitative analyses were performed in Python (version ≥ 3.11) using the scientific Python stack as the primary engine for random-effects meta-analysis, mixed-effects meta-regression, and heterogeneity diagnostics: NumPy and SciPy for numerical primitives (REML </w:t>
      </w:r>
      <w:r>
        <w:rPr>
          <w:rFonts w:ascii="Times New Roman" w:hAnsi="Times New Roman" w:eastAsia="Times New Roman"/>
          <w:i/>
          <w:sz w:val="24"/>
        </w:rPr>
        <w:t>τ²</w:t>
      </w:r>
      <w:r>
        <w:rPr>
          <w:rFonts w:ascii="Times New Roman" w:hAnsi="Times New Roman" w:eastAsia="Times New Roman"/>
          <w:sz w:val="24"/>
        </w:rPr>
        <w:t xml:space="preserve"> estimation, Fisher-z transformations, Hartung-Knapp-Sidik-Jonkman confidence-interval adjustment, Q-statistic and </w:t>
      </w:r>
      <w:r>
        <w:rPr>
          <w:rFonts w:ascii="Times New Roman" w:hAnsi="Times New Roman" w:eastAsia="Times New Roman"/>
          <w:i/>
          <w:sz w:val="24"/>
        </w:rPr>
        <w:t>I²</w:t>
      </w:r>
      <w:r>
        <w:rPr>
          <w:rFonts w:ascii="Times New Roman" w:hAnsi="Times New Roman" w:eastAsia="Times New Roman"/>
          <w:sz w:val="24"/>
        </w:rPr>
        <w:t xml:space="preserve"> computation, prediction-interval calculation), pandas for the extraction-CSV data layer, statsmodels for ancillary regression and trim-and-fill calculations, and Matplotlib for forest, funnel, and bubble plots. The clubSandwich approach to cluster-robust variance estimation (Pustejovsky, 2023; Tipton, 2015) was re-implemented in Python following the published mathematical specification rather than via the R package, and was validated against the canonical Harrer et al. (2021) worked examples. All analysis code, the deposited extraction CSV, and pinned package versions (uv.lock) are deposited on the associated OSF project (https://doi.org/10.17605/OSF.IO/79M5J), specifically in the 06_analysis component (https://doi.org/10.17605/OSF.IO/Q4XKB), and are mirrored at https://github.com/etoki/paper for version control. Any interested researcher can reproduce every analytic step reported in this paper from the deposited extraction CSV and the Python scripts.</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The PRISMA 2020 flow of information through the review is summarized in Figure 1. The database searches (WebSearch-based due to the deviation described in Methods) and supplementary sources yielded approximately 80 candidate records identified through eight targeted queries, combined with 28 primary studies already obtained through preliminary searches and an additional 12 primary-study or benchmark PDFs retrieved from open-access repositories during the formal search execution. After removal of duplicates and exclusion of records obviously outside the review scope at title/abstract screening, 38 reports were assessed at the full-text stage. Of these, five were excluded for measuring a non-Big-Five personality framework (MBTI, Proactive Personality, TAM, TUE, and other non-FFM operationalization), four were excluded for a fully face-to-face modality (A-09, A-10, A-14, A-16), one was excluded for sample overlap (A-05 with A-04), and one was excluded because effect sizes were not extractable (A-24). The remaining 27 primary studies met all eligibility criteria, plus four newly identified primary studies (A-29 Bahçekapılı &amp; Karaman, 2020; A-30 Kaspar et al., 2023; A-31 Rivers, 2021; A-37 Zheng &amp; Zheng, 2023) were added, for a total of 31 primary studies catalogued in this review (Table 1). Of these 31 catalogued records, 25 were retained for qualitative synthesis (10 contributing direct or β-converted Pearson correlations to the primary quantitative achievement pool, plus 15 contributing only to secondary-outcome narrative synthesis), and 6 were documented post-eligibility with explicit exclusion reasons disclosed in Table 1 (face-to-face modality after secondary review: A-09, A-10, A-16; effect size not extractable: A-24; sample overlap: A-05; PDF unavailable: A-27).</w:t>
      </w:r>
    </w:p>
    <w:p>
      <w:pPr>
        <w:spacing w:line="480" w:lineRule="auto" w:before="0" w:after="0"/>
        <w:ind w:firstLine="720"/>
      </w:pPr>
      <w:r>
        <w:rPr>
          <w:rFonts w:ascii="Times New Roman" w:hAnsi="Times New Roman" w:eastAsia="Times New Roman"/>
          <w:sz w:val="24"/>
        </w:rPr>
        <w:t xml:space="preserve">Intra-rater reliability was assessed under the single-reviewer workflow. At the title/abstract stage a 10% random subsample was re-screened after a wash-out interval of at least seven days, and at the full-text stage a 20% random subsample was re-assessed; both intra-rater agreement values met the pre-specified target of Cohen's κ ≥ 0.80. Of the 31 catalogued primary studies, two of the 10 contributing to the primary quantitative pool were flagged for subsequent sensitivity analysis because their effect-size contribution depended on Peterson-Brown conversion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(A-28 Yu, 2021 and A-30 Kaspar et al., 2023), and one was flagged as a conflict-of-interest study because it is the present author's own prior primary research (A-25 Tokiwa, 2025; Tokiwa is in the qualitative-synthesis retained set but did not contribute extractable </w:t>
      </w:r>
      <w:r>
        <w:rPr>
          <w:rFonts w:ascii="Times New Roman" w:hAnsi="Times New Roman" w:eastAsia="Times New Roman"/>
          <w:i/>
          <w:sz w:val="24"/>
        </w:rPr>
        <w:t>r</w:t>
      </w:r>
      <w:r>
        <w:rPr>
          <w:rFonts w:ascii="Times New Roman" w:hAnsi="Times New Roman" w:eastAsia="Times New Roman"/>
          <w:sz w:val="24"/>
        </w:rPr>
        <w:t xml:space="preserve"> values to the primary pool).</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 xml:space="preserve">Characteristics of the 25 retained primary studies (and the 6 post-eligibility exclusions documented for transparency) are presented in Table 1. Publication years ranged from 2003 to 2025, with a marked acceleration in the COVID-19 era (2020–2022), during which roughly half of the retained studies were conducted. Analytic sample sizes (retained 25) ranged from 47 (Elvers, 2003) to 1,625 (Wang et al., 2023), with a median </w:t>
      </w:r>
      <w:r>
        <w:rPr>
          <w:rFonts w:ascii="Times New Roman" w:hAnsi="Times New Roman" w:eastAsia="Times New Roman"/>
          <w:i/>
          <w:sz w:val="24"/>
        </w:rPr>
        <w:t>N</w:t>
      </w:r>
      <w:r>
        <w:rPr>
          <w:rFonts w:ascii="Times New Roman" w:hAnsi="Times New Roman" w:eastAsia="Times New Roman"/>
          <w:sz w:val="24"/>
        </w:rPr>
        <w:t xml:space="preserve"> of 260. The 10 studies contributing direct or β-converted Pearson correlations to the primary achievement pool aggregated a total sample of 3,384 participants (</w:t>
      </w:r>
      <w:r>
        <w:rPr>
          <w:rFonts w:ascii="Times New Roman" w:hAnsi="Times New Roman" w:eastAsia="Times New Roman"/>
          <w:i/>
          <w:sz w:val="24"/>
        </w:rPr>
        <w:t>k</w:t>
      </w:r>
      <w:r>
        <w:rPr>
          <w:rFonts w:ascii="Times New Roman" w:hAnsi="Times New Roman" w:eastAsia="Times New Roman"/>
          <w:sz w:val="24"/>
        </w:rPr>
        <w:t xml:space="preserve"> = 10 for Conscientiousness and Neuroticism; </w:t>
      </w:r>
      <w:r>
        <w:rPr>
          <w:rFonts w:ascii="Times New Roman" w:hAnsi="Times New Roman" w:eastAsia="Times New Roman"/>
          <w:i/>
          <w:sz w:val="24"/>
        </w:rPr>
        <w:t>k</w:t>
      </w:r>
      <w:r>
        <w:rPr>
          <w:rFonts w:ascii="Times New Roman" w:hAnsi="Times New Roman" w:eastAsia="Times New Roman"/>
          <w:sz w:val="24"/>
        </w:rPr>
        <w:t xml:space="preserve"> = 9 for Openness, Extraversion, Agreeableness — A-15 Elvers reported only C and </w:t>
      </w:r>
      <w:r>
        <w:rPr>
          <w:rFonts w:ascii="Times New Roman" w:hAnsi="Times New Roman" w:eastAsia="Times New Roman"/>
          <w:i/>
          <w:sz w:val="24"/>
        </w:rPr>
        <w:t>N</w:t>
      </w:r>
      <w:r>
        <w:rPr>
          <w:rFonts w:ascii="Times New Roman" w:hAnsi="Times New Roman" w:eastAsia="Times New Roman"/>
          <w:sz w:val="24"/>
        </w:rPr>
        <w:t>).</w:t>
      </w:r>
    </w:p>
    <w:p>
      <w:pPr>
        <w:spacing w:line="480" w:lineRule="auto" w:before="0" w:after="0"/>
        <w:ind w:firstLine="720"/>
      </w:pPr>
      <w:r>
        <w:rPr>
          <w:rFonts w:ascii="Times New Roman" w:hAnsi="Times New Roman" w:eastAsia="Times New Roman"/>
          <w:sz w:val="24"/>
        </w:rPr>
        <w:t xml:space="preserve">Among the 25 retained studies, learning modality was overwhelmingly fully online (24 of 25 studies); the remaining study (A-13 Dang) used a Big Five-engagement scale that was not explicitly online-specific and is included with that caveat. The asynchronous/synchronous distinction was explicitly reported for a minority of records. Education levels comprised K-12 (2 studies: A-25 Tokiwa, A-26 Wang), undergraduate (15 studies), mixed undergraduate/graduate (5 studies: A-08, A-18, A-20, A-28, A-30), graduate only (2 studies: A-07 Cohen &amp; Baruth, 2017; A-37 Zheng &amp; Zheng, 2023), and mixed secondary/post-secondary (1 study: A-11 Cheng et al., 2023). Regional distribution, important for the pre-registered Asian-amplification moderator analysis, was Asia (12 studies; includes East Asian and Middle Eastern samples), Europe (7 studies), and North America (6 studies); within the primary quantitative pool the Asian subset is reduced to </w:t>
      </w:r>
      <w:r>
        <w:rPr>
          <w:rFonts w:ascii="Times New Roman" w:hAnsi="Times New Roman" w:eastAsia="Times New Roman"/>
          <w:i/>
          <w:sz w:val="24"/>
        </w:rPr>
        <w:t>k</w:t>
      </w:r>
      <w:r>
        <w:rPr>
          <w:rFonts w:ascii="Times New Roman" w:hAnsi="Times New Roman" w:eastAsia="Times New Roman"/>
          <w:sz w:val="24"/>
        </w:rPr>
        <w:t xml:space="preserve"> = 2. Era coding for the era moderator yielded 8 pre-COVID, 12 COVID-era, 4 post-COVID, and 1 mixed-era (A-37 Zheng &amp; Zheng, spanning pre/during/post lockdown) retained studies.</w:t>
      </w:r>
    </w:p>
    <w:p>
      <w:pPr>
        <w:spacing w:line="480" w:lineRule="auto" w:before="0" w:after="0"/>
        <w:ind w:firstLine="720"/>
      </w:pPr>
      <w:r>
        <w:rPr>
          <w:rFonts w:ascii="Times New Roman" w:hAnsi="Times New Roman" w:eastAsia="Times New Roman"/>
          <w:sz w:val="24"/>
        </w:rPr>
        <w:t>Personality measurement instruments used across the 25 retained studies comprised the Big Five Inventory family (BFI-44, BFI-2, BFI-S; 13 studies), the NEO Personality Inventory family (NEO-FFI; 2 studies), the International Personality Item Pool (IPIP, Mini-IPIP; 3 studies), the HEXACO Personality Inventory (1 study: A-19 MacLean, 2022), the Ten-Item Personality Inventory (TIPI, TIPI-J; 2 studies: A-31 Rivers, A-37 Zheng &amp; Zheng), and other validated Big Five–aligned scales (Sahinidis and Tsaknis's (2021) 30-item custom scale, Chinese-language Big Five scales of A-20 Mustafa et al. (2022) and A-26 Wang et al. (2023), and McCrae's 40-item scale used in A-28 Yu; 4 studies in total). Achievement outcomes in the 10-study primary pool were operationalized as GPA or course grade (6 studies: A-02 Alkis, A-23 Rodrigues, A-29 Bahçekapılı, A-31 Rivers, A-37 Zheng &amp; Zheng, plus the paper-grade subscale of A-01 Abe), standardized exam (1 study: A-15 Elvers Intro-Psych exam), MOOC platform composite (1 study: A-28 Yu), and self-rated performance (2 studies: A-22 Quigley OSES subscale; A-30 Kaspar self-rated performance composite). Secondary outcomes — satisfaction, engagement, preference, or perception — were the only available outcome in the remaining 15 retained studies and were not pooled into the primary achievement meta-analysis.</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ratings using the Joanna Briggs Institute 8-item checklist are reported per study in Table S2 (Supplementary Material). The mean aggregate score across the 25 retained studies was 5.44 (</w:t>
      </w:r>
      <w:r>
        <w:rPr>
          <w:rFonts w:ascii="Times New Roman" w:hAnsi="Times New Roman" w:eastAsia="Times New Roman"/>
          <w:i/>
          <w:sz w:val="24"/>
        </w:rPr>
        <w:t>SD</w:t>
      </w:r>
      <w:r>
        <w:rPr>
          <w:rFonts w:ascii="Times New Roman" w:hAnsi="Times New Roman" w:eastAsia="Times New Roman"/>
          <w:sz w:val="24"/>
        </w:rPr>
        <w:t xml:space="preserve"> = 0.87, range = 4–7). Twenty-one studies scored at or above the pre-specified low-bias threshold of 5, while four scored below and were flagged for sensitivity analysis. Domain-level weaknesses were most common in Item 5 (identification of confounding factors) and Item 6 (strategies to deal with confounding factors), consistent with the cross-sectional and convenience-sampling nature of most included studies. Higher-quality studies typically reported pre-registered analysis plans (A-23 Rodrigues et al., 2024) or objective LMS-log outcome measurement (A-28 Yu, 2021; A-31 Rivers, 2021). Intra-rater reliability for risk-of-bias assessment, estimated on a 20% subsample, met the pre-specified threshold of κ ≥ 0.80.</w:t>
      </w:r>
    </w:p>
    <w:p>
      <w:pPr>
        <w:pStyle w:val="Heading2"/>
        <w:spacing w:line="480" w:lineRule="auto" w:before="0" w:after="0"/>
      </w:pPr>
      <w:r>
        <w:t>Primary Pooled Effect Sizes</w:t>
      </w:r>
    </w:p>
    <w:p>
      <w:pPr>
        <w:spacing w:line="480" w:lineRule="auto" w:before="0" w:after="0"/>
        <w:ind w:firstLine="720"/>
      </w:pPr>
      <w:r>
        <w:rPr>
          <w:rFonts w:ascii="Times New Roman" w:hAnsi="Times New Roman" w:eastAsia="Times New Roman"/>
          <w:sz w:val="24"/>
        </w:rPr>
        <w:t>Random-effects meta-analyses with REML estimation and Hartung-Knapp-Sidik-Jonkman confidence-interval adjustment were conducted separately for each Big Five trait. Pooled effect sizes, 95% confidence intervals, 95% prediction intervals, and heterogeneity statistics are summarized in Table 2. Forest plots for each trait are presented in Figures 2 through 6.</w:t>
      </w:r>
    </w:p>
    <w:p>
      <w:pPr>
        <w:spacing w:line="480" w:lineRule="auto" w:before="0" w:after="0"/>
        <w:ind w:firstLine="720"/>
      </w:pPr>
      <w:r>
        <w:rPr>
          <w:rFonts w:ascii="Times New Roman" w:hAnsi="Times New Roman" w:eastAsia="Times New Roman"/>
          <w:sz w:val="24"/>
        </w:rPr>
        <w:t xml:space="preserve">Conscientiousness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academic achievement in online learning environments was </w:t>
      </w:r>
      <w:r>
        <w:rPr>
          <w:rFonts w:ascii="Times New Roman" w:hAnsi="Times New Roman" w:eastAsia="Times New Roman"/>
          <w:i/>
          <w:sz w:val="24"/>
        </w:rPr>
        <w:t>r</w:t>
      </w:r>
      <w:r>
        <w:rPr>
          <w:rFonts w:ascii="Times New Roman" w:hAnsi="Times New Roman" w:eastAsia="Times New Roman"/>
          <w:sz w:val="24"/>
        </w:rPr>
        <w:t xml:space="preserve"> = .167 (95% CI [.089, .243], 95% PI [−.020, .343]), partially supporting Hypothesis 1 (H1: expected </w:t>
      </w:r>
      <w:r>
        <w:rPr>
          <w:rFonts w:ascii="Times New Roman" w:hAnsi="Times New Roman" w:eastAsia="Times New Roman"/>
          <w:i/>
          <w:sz w:val="24"/>
        </w:rPr>
        <w:t>ρ</w:t>
      </w:r>
      <w:r>
        <w:rPr>
          <w:rFonts w:ascii="Times New Roman" w:hAnsi="Times New Roman" w:eastAsia="Times New Roman"/>
          <w:sz w:val="24"/>
        </w:rPr>
        <w:t xml:space="preserve"> = .20–.35). The point estimate was the largest of the five Big Five traits in the present synthesis, confirming the ordinal prediction of H1, but its magnitude was somewhat below the face-to-face benchmark range of </w:t>
      </w:r>
      <w:r>
        <w:rPr>
          <w:rFonts w:ascii="Times New Roman" w:hAnsi="Times New Roman" w:eastAsia="Times New Roman"/>
          <w:i/>
          <w:sz w:val="24"/>
        </w:rPr>
        <w:t>ρ</w:t>
      </w:r>
      <w:r>
        <w:rPr>
          <w:rFonts w:ascii="Times New Roman" w:hAnsi="Times New Roman" w:eastAsia="Times New Roman"/>
          <w:sz w:val="24"/>
        </w:rPr>
        <w:t xml:space="preserve"> = .19–.28 reported by Poropat (2009), McAbee and Oswald (2013), Vedel (2014), Mammadov (2022), Meyer et al. (2023), and Chen et al. (2025). Heterogeneity was moderate (Q(9) = 25.79, </w:t>
      </w:r>
      <w:r>
        <w:rPr>
          <w:rFonts w:ascii="Times New Roman" w:hAnsi="Times New Roman" w:eastAsia="Times New Roman"/>
          <w:i/>
          <w:sz w:val="24"/>
        </w:rPr>
        <w:t>p</w:t>
      </w:r>
      <w:r>
        <w:rPr>
          <w:rFonts w:ascii="Times New Roman" w:hAnsi="Times New Roman" w:eastAsia="Times New Roman"/>
          <w:sz w:val="24"/>
        </w:rPr>
        <w:t xml:space="preserve"> = .002; </w:t>
      </w:r>
      <w:r>
        <w:rPr>
          <w:rFonts w:ascii="Times New Roman" w:hAnsi="Times New Roman" w:eastAsia="Times New Roman"/>
          <w:i/>
          <w:sz w:val="24"/>
        </w:rPr>
        <w:t>I²</w:t>
      </w:r>
      <w:r>
        <w:rPr>
          <w:rFonts w:ascii="Times New Roman" w:hAnsi="Times New Roman" w:eastAsia="Times New Roman"/>
          <w:sz w:val="24"/>
        </w:rPr>
        <w:t xml:space="preserve"> = 65.1%; </w:t>
      </w:r>
      <w:r>
        <w:rPr>
          <w:rFonts w:ascii="Times New Roman" w:hAnsi="Times New Roman" w:eastAsia="Times New Roman"/>
          <w:i/>
          <w:sz w:val="24"/>
        </w:rPr>
        <w:t>τ²</w:t>
      </w:r>
      <w:r>
        <w:rPr>
          <w:rFonts w:ascii="Times New Roman" w:hAnsi="Times New Roman" w:eastAsia="Times New Roman"/>
          <w:sz w:val="24"/>
        </w:rPr>
        <w:t xml:space="preserve"> = .006; </w:t>
      </w:r>
      <w:r>
        <w:rPr>
          <w:rFonts w:ascii="Times New Roman" w:hAnsi="Times New Roman" w:eastAsia="Times New Roman"/>
          <w:i/>
          <w:sz w:val="24"/>
        </w:rPr>
        <w:t>τ</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 xml:space="preserve">Openness to Experience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.086 (95% CI [−.044, .214], 95% PI [−.273, .425]). This estimate was comparable to the face-to-face benchmark from Mammadov (2022; </w:t>
      </w:r>
      <w:r>
        <w:rPr>
          <w:rFonts w:ascii="Times New Roman" w:hAnsi="Times New Roman" w:eastAsia="Times New Roman"/>
          <w:i/>
          <w:sz w:val="24"/>
        </w:rPr>
        <w:t>ρ</w:t>
      </w:r>
      <w:r>
        <w:rPr>
          <w:rFonts w:ascii="Times New Roman" w:hAnsi="Times New Roman" w:eastAsia="Times New Roman"/>
          <w:sz w:val="24"/>
        </w:rPr>
        <w:t xml:space="preserve"> = .16) and smaller than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and the 95% confidence interval crossed zero. Hypothesis 2 (H2), which predicted a stronger Openness effect in online than in face-to-face contexts, was therefore not supported by the present primary analysis. Heterogeneity was very high (Q(8) = 100.17,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92.0%; </w:t>
      </w:r>
      <w:r>
        <w:rPr>
          <w:rFonts w:ascii="Times New Roman" w:hAnsi="Times New Roman" w:eastAsia="Times New Roman"/>
          <w:i/>
          <w:sz w:val="24"/>
        </w:rPr>
        <w:t>τ²</w:t>
      </w:r>
      <w:r>
        <w:rPr>
          <w:rFonts w:ascii="Times New Roman" w:hAnsi="Times New Roman" w:eastAsia="Times New Roman"/>
          <w:sz w:val="24"/>
        </w:rPr>
        <w:t xml:space="preserve"> = .021), consistent with the wide dispersion of reported Openness effects across primary studies (e.g., </w:t>
      </w:r>
      <w:r>
        <w:rPr>
          <w:rFonts w:ascii="Times New Roman" w:hAnsi="Times New Roman" w:eastAsia="Times New Roman"/>
          <w:i/>
          <w:sz w:val="24"/>
        </w:rPr>
        <w:t>r</w:t>
      </w:r>
      <w:r>
        <w:rPr>
          <w:rFonts w:ascii="Times New Roman" w:hAnsi="Times New Roman" w:eastAsia="Times New Roman"/>
          <w:sz w:val="24"/>
        </w:rPr>
        <w:t xml:space="preserve"> = .35 for Abe's essay outcome; </w:t>
      </w:r>
      <w:r>
        <w:rPr>
          <w:rFonts w:ascii="Times New Roman" w:hAnsi="Times New Roman" w:eastAsia="Times New Roman"/>
          <w:i/>
          <w:sz w:val="24"/>
        </w:rPr>
        <w:t>r</w:t>
      </w:r>
      <w:r>
        <w:rPr>
          <w:rFonts w:ascii="Times New Roman" w:hAnsi="Times New Roman" w:eastAsia="Times New Roman"/>
          <w:sz w:val="24"/>
        </w:rPr>
        <w:t xml:space="preserve"> = .305 for Yu's MOOC composite vs. </w:t>
      </w:r>
      <w:r>
        <w:rPr>
          <w:rFonts w:ascii="Times New Roman" w:hAnsi="Times New Roman" w:eastAsia="Times New Roman"/>
          <w:i/>
          <w:sz w:val="24"/>
        </w:rPr>
        <w:t>r</w:t>
      </w:r>
      <w:r>
        <w:rPr>
          <w:rFonts w:ascii="Times New Roman" w:hAnsi="Times New Roman" w:eastAsia="Times New Roman"/>
          <w:sz w:val="24"/>
        </w:rPr>
        <w:t xml:space="preserve"> = −.066 for Rivers's asynchronous Moodle outcome).</w:t>
      </w:r>
    </w:p>
    <w:p>
      <w:pPr>
        <w:spacing w:line="480" w:lineRule="auto" w:before="0" w:after="0"/>
        <w:ind w:firstLine="720"/>
      </w:pPr>
      <w:r>
        <w:rPr>
          <w:rFonts w:ascii="Times New Roman" w:hAnsi="Times New Roman" w:eastAsia="Times New Roman"/>
          <w:sz w:val="24"/>
        </w:rPr>
        <w:t xml:space="preserve">Extraversion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.002 (95% CI [−.076, .080]). This null estimate supports Hypothesis 5 (H5), which predicted a null or weak negative Extraversion–achievement association in online environments. Notably, the direct negative effect reported by Rivers (2021; </w:t>
      </w:r>
      <w:r>
        <w:rPr>
          <w:rFonts w:ascii="Times New Roman" w:hAnsi="Times New Roman" w:eastAsia="Times New Roman"/>
          <w:i/>
          <w:sz w:val="24"/>
        </w:rPr>
        <w:t>β</w:t>
      </w:r>
      <w:r>
        <w:rPr>
          <w:rFonts w:ascii="Times New Roman" w:hAnsi="Times New Roman" w:eastAsia="Times New Roman"/>
          <w:sz w:val="24"/>
        </w:rPr>
        <w:t xml:space="preserve"> = −.168) and the MOOC finding of Yu (2021; standardized </w:t>
      </w:r>
      <w:r>
        <w:rPr>
          <w:rFonts w:ascii="Times New Roman" w:hAnsi="Times New Roman" w:eastAsia="Times New Roman"/>
          <w:i/>
          <w:sz w:val="24"/>
        </w:rPr>
        <w:t>β</w:t>
      </w:r>
      <w:r>
        <w:rPr>
          <w:rFonts w:ascii="Times New Roman" w:hAnsi="Times New Roman" w:eastAsia="Times New Roman"/>
          <w:sz w:val="24"/>
        </w:rPr>
        <w:t xml:space="preserve"> = −.076) contributed to pulling the pooled estimate toward zero from the otherwise mixed face-to-face pattern. Heterogeneity was moderate-to-high (Q(8) = 32.66,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75.5%; </w:t>
      </w:r>
      <w:r>
        <w:rPr>
          <w:rFonts w:ascii="Times New Roman" w:hAnsi="Times New Roman" w:eastAsia="Times New Roman"/>
          <w:i/>
          <w:sz w:val="24"/>
        </w:rPr>
        <w:t>τ²</w:t>
      </w:r>
      <w:r>
        <w:rPr>
          <w:rFonts w:ascii="Times New Roman" w:hAnsi="Times New Roman" w:eastAsia="Times New Roman"/>
          <w:sz w:val="24"/>
        </w:rPr>
        <w:t xml:space="preserve"> = .006), suggesting that the overall null effect masks systematic moderator-driven variation, an expectation explored below.</w:t>
      </w:r>
    </w:p>
    <w:p>
      <w:pPr>
        <w:spacing w:line="480" w:lineRule="auto" w:before="0" w:after="0"/>
        <w:ind w:firstLine="720"/>
      </w:pPr>
      <w:r>
        <w:rPr>
          <w:rFonts w:ascii="Times New Roman" w:hAnsi="Times New Roman" w:eastAsia="Times New Roman"/>
          <w:sz w:val="24"/>
        </w:rPr>
        <w:t xml:space="preserve">Agreeableness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.112 (95% CI [−.031, .250]). This estimate was slightly larger than the face-to-face benchmark of </w:t>
      </w:r>
      <w:r>
        <w:rPr>
          <w:rFonts w:ascii="Times New Roman" w:hAnsi="Times New Roman" w:eastAsia="Times New Roman"/>
          <w:i/>
          <w:sz w:val="24"/>
        </w:rPr>
        <w:t>ρ</w:t>
      </w:r>
      <w:r>
        <w:rPr>
          <w:rFonts w:ascii="Times New Roman" w:hAnsi="Times New Roman" w:eastAsia="Times New Roman"/>
          <w:sz w:val="24"/>
        </w:rPr>
        <w:t xml:space="preserve"> = .05–.10 (Poropat, 2009; Vedel, 2014; Chen et al., 2025), contrary to Hypothesis 3 (H3), which predicted a weaker Agreeableness effect in online than in face-to-face contexts. Within the primary pool the largest Agreeableness contribution came from a single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confirmed Yu as the most influential study for the Agreeableness estimate (removal shifts </w:t>
      </w:r>
      <w:r>
        <w:rPr>
          <w:rFonts w:ascii="Times New Roman" w:hAnsi="Times New Roman" w:eastAsia="Times New Roman"/>
          <w:i/>
          <w:sz w:val="24"/>
        </w:rPr>
        <w:t>r</w:t>
      </w:r>
      <w:r>
        <w:rPr>
          <w:rFonts w:ascii="Times New Roman" w:hAnsi="Times New Roman" w:eastAsia="Times New Roman"/>
          <w:sz w:val="24"/>
        </w:rPr>
        <w:t xml:space="preserve"> from .112 to .038).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and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provide narrative support for Agreeableness amplification in East Asian and Israeli samples respectively, but neither contributed direct correlations to the primary pool. Heterogeneity was extremely high (Q(8) = 208.49,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96.2%; </w:t>
      </w:r>
      <w:r>
        <w:rPr>
          <w:rFonts w:ascii="Times New Roman" w:hAnsi="Times New Roman" w:eastAsia="Times New Roman"/>
          <w:i/>
          <w:sz w:val="24"/>
        </w:rPr>
        <w:t>τ²</w:t>
      </w:r>
      <w:r>
        <w:rPr>
          <w:rFonts w:ascii="Times New Roman" w:hAnsi="Times New Roman" w:eastAsia="Times New Roman"/>
          <w:sz w:val="24"/>
        </w:rPr>
        <w:t xml:space="preserve"> = .030).</w:t>
      </w:r>
    </w:p>
    <w:p>
      <w:pPr>
        <w:spacing w:line="480" w:lineRule="auto" w:before="0" w:after="0"/>
        <w:ind w:firstLine="720"/>
      </w:pPr>
      <w:r>
        <w:rPr>
          <w:rFonts w:ascii="Times New Roman" w:hAnsi="Times New Roman" w:eastAsia="Times New Roman"/>
          <w:sz w:val="24"/>
        </w:rPr>
        <w:t xml:space="preserve">Neuroticism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was </w:t>
      </w:r>
      <w:r>
        <w:rPr>
          <w:rFonts w:ascii="Times New Roman" w:hAnsi="Times New Roman" w:eastAsia="Times New Roman"/>
          <w:i/>
          <w:sz w:val="24"/>
        </w:rPr>
        <w:t>r</w:t>
      </w:r>
      <w:r>
        <w:rPr>
          <w:rFonts w:ascii="Times New Roman" w:hAnsi="Times New Roman" w:eastAsia="Times New Roman"/>
          <w:sz w:val="24"/>
        </w:rPr>
        <w:t xml:space="preserve"> = .018 (95% CI [−.079, .114]). The direction was null and the magnitude was substantially weaker than the prediction of Hypothesis 4 (H4), which expected a negative effect more pronounced in fully online than in blended modalities; H4 was not supported in the primary analysis. Heterogeneity was moderate-to-high (Q(9) = 42.76,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79.0%; </w:t>
      </w:r>
      <w:r>
        <w:rPr>
          <w:rFonts w:ascii="Times New Roman" w:hAnsi="Times New Roman" w:eastAsia="Times New Roman"/>
          <w:i/>
          <w:sz w:val="24"/>
        </w:rPr>
        <w:t>τ²</w:t>
      </w:r>
      <w:r>
        <w:rPr>
          <w:rFonts w:ascii="Times New Roman" w:hAnsi="Times New Roman" w:eastAsia="Times New Roman"/>
          <w:sz w:val="24"/>
        </w:rPr>
        <w:t xml:space="preserve"> = .010). Within the 10-study primary Neuroticism pool, signs were mixed: Rodrigues et al. (2024) reported a negative direct association with sign-flipped GPA (</w:t>
      </w:r>
      <w:r>
        <w:rPr>
          <w:rFonts w:ascii="Times New Roman" w:hAnsi="Times New Roman" w:eastAsia="Times New Roman"/>
          <w:i/>
          <w:sz w:val="24"/>
        </w:rPr>
        <w:t>r</w:t>
      </w:r>
      <w:r>
        <w:rPr>
          <w:rFonts w:ascii="Times New Roman" w:hAnsi="Times New Roman" w:eastAsia="Times New Roman"/>
          <w:sz w:val="24"/>
        </w:rPr>
        <w:t xml:space="preserve"> = −.142), and Bahçekapılı and Karaman (2020) likewise reported a negative direct </w:t>
      </w:r>
      <w:r>
        <w:rPr>
          <w:rFonts w:ascii="Times New Roman" w:hAnsi="Times New Roman" w:eastAsia="Times New Roman"/>
          <w:i/>
          <w:sz w:val="24"/>
        </w:rPr>
        <w:t>r</w:t>
      </w:r>
      <w:r>
        <w:rPr>
          <w:rFonts w:ascii="Times New Roman" w:hAnsi="Times New Roman" w:eastAsia="Times New Roman"/>
          <w:sz w:val="24"/>
        </w:rPr>
        <w:t xml:space="preserve"> (−.072), whereas the two β-converted contributions (Yu, 2021 weakly positive </w:t>
      </w:r>
      <w:r>
        <w:rPr>
          <w:rFonts w:ascii="Times New Roman" w:hAnsi="Times New Roman" w:eastAsia="Times New Roman"/>
          <w:i/>
          <w:sz w:val="24"/>
        </w:rPr>
        <w:t>β</w:t>
      </w:r>
      <w:r>
        <w:rPr>
          <w:rFonts w:ascii="Times New Roman" w:hAnsi="Times New Roman" w:eastAsia="Times New Roman"/>
          <w:sz w:val="24"/>
        </w:rPr>
        <w:t xml:space="preserve"> = .037; Kaspar et al., 2023 </w:t>
      </w:r>
      <w:r>
        <w:rPr>
          <w:rFonts w:ascii="Times New Roman" w:hAnsi="Times New Roman" w:eastAsia="Times New Roman"/>
          <w:i/>
          <w:sz w:val="24"/>
        </w:rPr>
        <w:t>β</w:t>
      </w:r>
      <w:r>
        <w:rPr>
          <w:rFonts w:ascii="Times New Roman" w:hAnsi="Times New Roman" w:eastAsia="Times New Roman"/>
          <w:sz w:val="24"/>
        </w:rPr>
        <w:t xml:space="preserve"> = .20 driven by a suppressor effect of covariates) pulled the pooled estimate toward zero. Convergent narrative evidence of negative associations between Neuroticism and well-being or satisfaction was reported by Baruth and Cohen (2023; </w:t>
      </w:r>
      <w:r>
        <w:rPr>
          <w:rFonts w:ascii="Times New Roman" w:hAnsi="Times New Roman" w:eastAsia="Times New Roman"/>
          <w:i/>
          <w:sz w:val="24"/>
        </w:rPr>
        <w:t>ρ</w:t>
      </w:r>
      <w:r>
        <w:rPr>
          <w:rFonts w:ascii="Times New Roman" w:hAnsi="Times New Roman" w:eastAsia="Times New Roman"/>
          <w:sz w:val="24"/>
        </w:rPr>
        <w:t xml:space="preserve"> = −.542 with general satisfaction; secondary-outcome study, not in the primary pool). The β-excluded sensitivity analysis (see below) reduced the pooled </w:t>
      </w:r>
      <w:r>
        <w:rPr>
          <w:rFonts w:ascii="Times New Roman" w:hAnsi="Times New Roman" w:eastAsia="Times New Roman"/>
          <w:i/>
          <w:sz w:val="24"/>
        </w:rPr>
        <w:t>N</w:t>
      </w:r>
      <w:r>
        <w:rPr>
          <w:rFonts w:ascii="Times New Roman" w:hAnsi="Times New Roman" w:eastAsia="Times New Roman"/>
          <w:sz w:val="24"/>
        </w:rPr>
        <w:t xml:space="preserve"> estimate to </w:t>
      </w:r>
      <w:r>
        <w:rPr>
          <w:rFonts w:ascii="Times New Roman" w:hAnsi="Times New Roman" w:eastAsia="Times New Roman"/>
          <w:i/>
          <w:sz w:val="24"/>
        </w:rPr>
        <w:t>r</w:t>
      </w:r>
      <w:r>
        <w:rPr>
          <w:rFonts w:ascii="Times New Roman" w:hAnsi="Times New Roman" w:eastAsia="Times New Roman"/>
          <w:sz w:val="24"/>
        </w:rPr>
        <w:t xml:space="preserve"> = −.043, partially consistent with H4 under β-free conditions.</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Substantial between-study heterogeneity was observed across all five trait pools, with </w:t>
      </w:r>
      <w:r>
        <w:rPr>
          <w:rFonts w:ascii="Times New Roman" w:hAnsi="Times New Roman" w:eastAsia="Times New Roman"/>
          <w:i/>
          <w:sz w:val="24"/>
        </w:rPr>
        <w:t>I²</w:t>
      </w:r>
      <w:r>
        <w:rPr>
          <w:rFonts w:ascii="Times New Roman" w:hAnsi="Times New Roman" w:eastAsia="Times New Roman"/>
          <w:sz w:val="24"/>
        </w:rPr>
        <w:t xml:space="preserve"> values ranging from 65.1% (Conscientiousness) to 96.2% (Agreeableness). The consistently high </w:t>
      </w:r>
      <w:r>
        <w:rPr>
          <w:rFonts w:ascii="Times New Roman" w:hAnsi="Times New Roman" w:eastAsia="Times New Roman"/>
          <w:i/>
          <w:sz w:val="24"/>
        </w:rPr>
        <w:t>I²</w:t>
      </w:r>
      <w:r>
        <w:rPr>
          <w:rFonts w:ascii="Times New Roman" w:hAnsi="Times New Roman" w:eastAsia="Times New Roman"/>
          <w:sz w:val="24"/>
        </w:rPr>
        <w:t xml:space="preserve"> estimates—typical for psychological meta-analyses of personality-achievement associations (Mammadov, 2022; Meyer et al., 2023)—indicate that a single fixed population effect is implausible and that exploration of moderators is warranted. The 95% prediction intervals included zero for all five traits and extended to substantially different magnitudes at both tails (for Agreeableness, the PI spanned [−.310, .496]), suggesting that the true population effect in a new study drawn from this literature could plausibly vary substantially in magnitude and in some cases in direction. These patterns motivate the moderator analyses reported next.</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 xml:space="preserve">Three pre-registered moderators met the minimum k-per-level requirement of the present synthesis and were analyzed quantitatively via subgroup random-effects meta-analyses: region (Asia vs. non-Asia), era (pre-COVID vs. COVID-era), and outcome type (objective vs. self-reported achievement). The remaining six pre-registered moderators (personality instrument, publication year, log-sample size, risk-of-bias score, modality, education level) did not meet the </w:t>
      </w:r>
      <w:r>
        <w:rPr>
          <w:rFonts w:ascii="Times New Roman" w:hAnsi="Times New Roman" w:eastAsia="Times New Roman"/>
          <w:i/>
          <w:sz w:val="24"/>
        </w:rPr>
        <w:t>k</w:t>
      </w:r>
      <w:r>
        <w:rPr>
          <w:rFonts w:ascii="Times New Roman" w:hAnsi="Times New Roman" w:eastAsia="Times New Roman"/>
          <w:sz w:val="24"/>
        </w:rPr>
        <w:t xml:space="preserve"> ≥ 10 per predictor level requirement, and are reported narratively below and in the Methods Deviations subsection. Full moderator results are presented in Table 3.</w:t>
      </w:r>
    </w:p>
    <w:p>
      <w:pPr>
        <w:spacing w:line="480" w:lineRule="auto" w:before="0" w:after="0"/>
        <w:ind w:firstLine="720"/>
      </w:pPr>
      <w:r>
        <w:rPr>
          <w:rFonts w:ascii="Times New Roman" w:hAnsi="Times New Roman" w:eastAsia="Times New Roman"/>
          <w:sz w:val="24"/>
        </w:rPr>
        <w:t xml:space="preserve">Region. The Asian-sample pattern reported by Mammadov (2022) and Chen et al. (2025) was evaluated with </w:t>
      </w:r>
      <w:r>
        <w:rPr>
          <w:rFonts w:ascii="Times New Roman" w:hAnsi="Times New Roman" w:eastAsia="Times New Roman"/>
          <w:i/>
          <w:sz w:val="24"/>
        </w:rPr>
        <w:t>k</w:t>
      </w:r>
      <w:r>
        <w:rPr>
          <w:rFonts w:ascii="Times New Roman" w:hAnsi="Times New Roman" w:eastAsia="Times New Roman"/>
          <w:sz w:val="24"/>
        </w:rPr>
        <w:t xml:space="preserve"> = 2 Asian studies against </w:t>
      </w:r>
      <w:r>
        <w:rPr>
          <w:rFonts w:ascii="Times New Roman" w:hAnsi="Times New Roman" w:eastAsia="Times New Roman"/>
          <w:i/>
          <w:sz w:val="24"/>
        </w:rPr>
        <w:t>k</w:t>
      </w:r>
      <w:r>
        <w:rPr>
          <w:rFonts w:ascii="Times New Roman" w:hAnsi="Times New Roman" w:eastAsia="Times New Roman"/>
          <w:sz w:val="24"/>
        </w:rPr>
        <w:t xml:space="preserve"> = 7–8 non-Asian studies per trait. A highly significant region effect emerged for Extraversion: in the Asian subgroup the pooled correlation was </w:t>
      </w:r>
      <w:r>
        <w:rPr>
          <w:rFonts w:ascii="Times New Roman" w:hAnsi="Times New Roman" w:eastAsia="Times New Roman"/>
          <w:i/>
          <w:sz w:val="24"/>
        </w:rPr>
        <w:t>r</w:t>
      </w:r>
      <w:r>
        <w:rPr>
          <w:rFonts w:ascii="Times New Roman" w:hAnsi="Times New Roman" w:eastAsia="Times New Roman"/>
          <w:sz w:val="24"/>
        </w:rPr>
        <w:t xml:space="preserve"> = −.131 (95% CI [−.314, .061]), whereas in the non-Asian subgroup it was </w:t>
      </w:r>
      <w:r>
        <w:rPr>
          <w:rFonts w:ascii="Times New Roman" w:hAnsi="Times New Roman" w:eastAsia="Times New Roman"/>
          <w:i/>
          <w:sz w:val="24"/>
        </w:rPr>
        <w:t>r</w:t>
      </w:r>
      <w:r>
        <w:rPr>
          <w:rFonts w:ascii="Times New Roman" w:hAnsi="Times New Roman" w:eastAsia="Times New Roman"/>
          <w:sz w:val="24"/>
        </w:rPr>
        <w:t xml:space="preserve"> = .050 (95% CI [−.004, .104]); Q_between(1) = 46.43, </w:t>
      </w:r>
      <w:r>
        <w:rPr>
          <w:rFonts w:ascii="Times New Roman" w:hAnsi="Times New Roman" w:eastAsia="Times New Roman"/>
          <w:i/>
          <w:sz w:val="24"/>
        </w:rPr>
        <w:t>p</w:t>
      </w:r>
      <w:r>
        <w:rPr>
          <w:rFonts w:ascii="Times New Roman" w:hAnsi="Times New Roman" w:eastAsia="Times New Roman"/>
          <w:sz w:val="24"/>
        </w:rPr>
        <w:t xml:space="preserve"> &lt; .001. This pattern is consistent with Chen et al.'s (2025) finding that Extraversion shows significantly negative effects in collectivistic and culturally sensitive contexts. Trends in the same direction, not reaching significance, were observed for Neuroticism (Asia </w:t>
      </w:r>
      <w:r>
        <w:rPr>
          <w:rFonts w:ascii="Times New Roman" w:hAnsi="Times New Roman" w:eastAsia="Times New Roman"/>
          <w:i/>
          <w:sz w:val="24"/>
        </w:rPr>
        <w:t>r</w:t>
      </w:r>
      <w:r>
        <w:rPr>
          <w:rFonts w:ascii="Times New Roman" w:hAnsi="Times New Roman" w:eastAsia="Times New Roman"/>
          <w:sz w:val="24"/>
        </w:rPr>
        <w:t xml:space="preserve"> = .089 vs. non-Asia </w:t>
      </w:r>
      <w:r>
        <w:rPr>
          <w:rFonts w:ascii="Times New Roman" w:hAnsi="Times New Roman" w:eastAsia="Times New Roman"/>
          <w:i/>
          <w:sz w:val="24"/>
        </w:rPr>
        <w:t>r</w:t>
      </w:r>
      <w:r>
        <w:rPr>
          <w:rFonts w:ascii="Times New Roman" w:hAnsi="Times New Roman" w:eastAsia="Times New Roman"/>
          <w:sz w:val="24"/>
        </w:rPr>
        <w:t xml:space="preserve"> = −.007; Q_between(1) = 3.31, </w:t>
      </w:r>
      <w:r>
        <w:rPr>
          <w:rFonts w:ascii="Times New Roman" w:hAnsi="Times New Roman" w:eastAsia="Times New Roman"/>
          <w:i/>
          <w:sz w:val="24"/>
        </w:rPr>
        <w:t>p</w:t>
      </w:r>
      <w:r>
        <w:rPr>
          <w:rFonts w:ascii="Times New Roman" w:hAnsi="Times New Roman" w:eastAsia="Times New Roman"/>
          <w:sz w:val="24"/>
        </w:rPr>
        <w:t xml:space="preserve"> = .069) and for Agreeableness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Q_between(1) = 2.17, </w:t>
      </w:r>
      <w:r>
        <w:rPr>
          <w:rFonts w:ascii="Times New Roman" w:hAnsi="Times New Roman" w:eastAsia="Times New Roman"/>
          <w:i/>
          <w:sz w:val="24"/>
        </w:rPr>
        <w:t>p</w:t>
      </w:r>
      <w:r>
        <w:rPr>
          <w:rFonts w:ascii="Times New Roman" w:hAnsi="Times New Roman" w:eastAsia="Times New Roman"/>
          <w:sz w:val="24"/>
        </w:rPr>
        <w:t xml:space="preserve"> = .140). Counterintuitively, the Conscientiousness effect was slightly weaker in the Asian subgroup (</w:t>
      </w:r>
      <w:r>
        <w:rPr>
          <w:rFonts w:ascii="Times New Roman" w:hAnsi="Times New Roman" w:eastAsia="Times New Roman"/>
          <w:i/>
          <w:sz w:val="24"/>
        </w:rPr>
        <w:t>r</w:t>
      </w:r>
      <w:r>
        <w:rPr>
          <w:rFonts w:ascii="Times New Roman" w:hAnsi="Times New Roman" w:eastAsia="Times New Roman"/>
          <w:sz w:val="24"/>
        </w:rPr>
        <w:t xml:space="preserve"> = .111) than in the non-Asian subgroup (</w:t>
      </w:r>
      <w:r>
        <w:rPr>
          <w:rFonts w:ascii="Times New Roman" w:hAnsi="Times New Roman" w:eastAsia="Times New Roman"/>
          <w:i/>
          <w:sz w:val="24"/>
        </w:rPr>
        <w:t>r</w:t>
      </w:r>
      <w:r>
        <w:rPr>
          <w:rFonts w:ascii="Times New Roman" w:hAnsi="Times New Roman" w:eastAsia="Times New Roman"/>
          <w:sz w:val="24"/>
        </w:rPr>
        <w:t xml:space="preserve"> = .185); Q_between(1) = 2.68, </w:t>
      </w:r>
      <w:r>
        <w:rPr>
          <w:rFonts w:ascii="Times New Roman" w:hAnsi="Times New Roman" w:eastAsia="Times New Roman"/>
          <w:i/>
          <w:sz w:val="24"/>
        </w:rPr>
        <w:t>p</w:t>
      </w:r>
      <w:r>
        <w:rPr>
          <w:rFonts w:ascii="Times New Roman" w:hAnsi="Times New Roman" w:eastAsia="Times New Roman"/>
          <w:sz w:val="24"/>
        </w:rPr>
        <w:t xml:space="preserve"> = .102. The </w:t>
      </w:r>
      <w:r>
        <w:rPr>
          <w:rFonts w:ascii="Times New Roman" w:hAnsi="Times New Roman" w:eastAsia="Times New Roman"/>
          <w:i/>
          <w:sz w:val="24"/>
        </w:rPr>
        <w:t>k</w:t>
      </w:r>
      <w:r>
        <w:rPr>
          <w:rFonts w:ascii="Times New Roman" w:hAnsi="Times New Roman" w:eastAsia="Times New Roman"/>
          <w:sz w:val="24"/>
        </w:rPr>
        <w:t xml:space="preserve"> = 2 Asian subsample limits power, and replication is required.</w:t>
      </w:r>
    </w:p>
    <w:p>
      <w:pPr>
        <w:spacing w:line="480" w:lineRule="auto" w:before="0" w:after="0"/>
        <w:ind w:firstLine="720"/>
      </w:pPr>
      <w:r>
        <w:rPr>
          <w:rFonts w:ascii="Times New Roman" w:hAnsi="Times New Roman" w:eastAsia="Times New Roman"/>
          <w:sz w:val="24"/>
        </w:rPr>
        <w:t xml:space="preserve">Era. The pre-COVID vs. COVID-era contrast yielded no significant moderation for any trait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.15). Notably,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Q_between(1) = 0.13, </w:t>
      </w:r>
      <w:r>
        <w:rPr>
          <w:rFonts w:ascii="Times New Roman" w:hAnsi="Times New Roman" w:eastAsia="Times New Roman"/>
          <w:i/>
          <w:sz w:val="24"/>
        </w:rPr>
        <w:t>p</w:t>
      </w:r>
      <w:r>
        <w:rPr>
          <w:rFonts w:ascii="Times New Roman" w:hAnsi="Times New Roman" w:eastAsia="Times New Roman"/>
          <w:sz w:val="24"/>
        </w:rPr>
        <w:t xml:space="preserve"> = .716), providing no evidence that the COVID-19 emergency remote teaching context selectively amplified the role of Conscientiousness. The Neuroticism-era pattern was consistent with an attenuation hypothesis (pre-COVID </w:t>
      </w:r>
      <w:r>
        <w:rPr>
          <w:rFonts w:ascii="Times New Roman" w:hAnsi="Times New Roman" w:eastAsia="Times New Roman"/>
          <w:i/>
          <w:sz w:val="24"/>
        </w:rPr>
        <w:t>r</w:t>
      </w:r>
      <w:r>
        <w:rPr>
          <w:rFonts w:ascii="Times New Roman" w:hAnsi="Times New Roman" w:eastAsia="Times New Roman"/>
          <w:sz w:val="24"/>
        </w:rPr>
        <w:t xml:space="preserve"> = −.050 vs. COVID </w:t>
      </w:r>
      <w:r>
        <w:rPr>
          <w:rFonts w:ascii="Times New Roman" w:hAnsi="Times New Roman" w:eastAsia="Times New Roman"/>
          <w:i/>
          <w:sz w:val="24"/>
        </w:rPr>
        <w:t>r</w:t>
      </w:r>
      <w:r>
        <w:rPr>
          <w:rFonts w:ascii="Times New Roman" w:hAnsi="Times New Roman" w:eastAsia="Times New Roman"/>
          <w:sz w:val="24"/>
        </w:rPr>
        <w:t xml:space="preserve"> = .060; Q_between(1) = 2.04, </w:t>
      </w:r>
      <w:r>
        <w:rPr>
          <w:rFonts w:ascii="Times New Roman" w:hAnsi="Times New Roman" w:eastAsia="Times New Roman"/>
          <w:i/>
          <w:sz w:val="24"/>
        </w:rPr>
        <w:t>p</w:t>
      </w:r>
      <w:r>
        <w:rPr>
          <w:rFonts w:ascii="Times New Roman" w:hAnsi="Times New Roman" w:eastAsia="Times New Roman"/>
          <w:sz w:val="24"/>
        </w:rPr>
        <w:t xml:space="preserve"> = .153), but did not reach conventional significance. The post-COVID era could not be isolated as a moderator subgroup because no explicitly post-COVID study contributed direct or β-converted Pearson correlations to the primary quantitative pool (the 4 post-COVID studies in the qualitative-synthesis retained set — A-13 Dang et al., 2025; A-17 Kara, 2024; A-25 Tokiwa, 2025; A-26 Wang et al., 2023 — are described narratively only).</w:t>
      </w:r>
    </w:p>
    <w:p>
      <w:pPr>
        <w:spacing w:line="480" w:lineRule="auto" w:before="0" w:after="0"/>
        <w:ind w:firstLine="720"/>
      </w:pPr>
      <w:r>
        <w:rPr>
          <w:rFonts w:ascii="Times New Roman" w:hAnsi="Times New Roman" w:eastAsia="Times New Roman"/>
          <w:sz w:val="24"/>
        </w:rPr>
        <w:t xml:space="preserve">Outcome type. A second highly significant moderator effect emerged for Extraversion: in objective achievement outcomes (GPA, MOOC composite, course grade; </w:t>
      </w:r>
      <w:r>
        <w:rPr>
          <w:rFonts w:ascii="Times New Roman" w:hAnsi="Times New Roman" w:eastAsia="Times New Roman"/>
          <w:i/>
          <w:sz w:val="24"/>
        </w:rPr>
        <w:t>k</w:t>
      </w:r>
      <w:r>
        <w:rPr>
          <w:rFonts w:ascii="Times New Roman" w:hAnsi="Times New Roman" w:eastAsia="Times New Roman"/>
          <w:sz w:val="24"/>
        </w:rPr>
        <w:t xml:space="preserve"> = 7) the pooled correlation was </w:t>
      </w:r>
      <w:r>
        <w:rPr>
          <w:rFonts w:ascii="Times New Roman" w:hAnsi="Times New Roman" w:eastAsia="Times New Roman"/>
          <w:i/>
          <w:sz w:val="24"/>
        </w:rPr>
        <w:t>r</w:t>
      </w:r>
      <w:r>
        <w:rPr>
          <w:rFonts w:ascii="Times New Roman" w:hAnsi="Times New Roman" w:eastAsia="Times New Roman"/>
          <w:sz w:val="24"/>
        </w:rPr>
        <w:t xml:space="preserve"> = −.038 (95% CI calculation yielded narrow bounds near zero), whereas in self-rated performance outcomes (</w:t>
      </w:r>
      <w:r>
        <w:rPr>
          <w:rFonts w:ascii="Times New Roman" w:hAnsi="Times New Roman" w:eastAsia="Times New Roman"/>
          <w:i/>
          <w:sz w:val="24"/>
        </w:rPr>
        <w:t>k</w:t>
      </w:r>
      <w:r>
        <w:rPr>
          <w:rFonts w:ascii="Times New Roman" w:hAnsi="Times New Roman" w:eastAsia="Times New Roman"/>
          <w:sz w:val="24"/>
        </w:rPr>
        <w:t xml:space="preserve"> = 2) it was </w:t>
      </w:r>
      <w:r>
        <w:rPr>
          <w:rFonts w:ascii="Times New Roman" w:hAnsi="Times New Roman" w:eastAsia="Times New Roman"/>
          <w:i/>
          <w:sz w:val="24"/>
        </w:rPr>
        <w:t>r</w:t>
      </w:r>
      <w:r>
        <w:rPr>
          <w:rFonts w:ascii="Times New Roman" w:hAnsi="Times New Roman" w:eastAsia="Times New Roman"/>
          <w:sz w:val="24"/>
        </w:rPr>
        <w:t xml:space="preserve"> = .117; Q_between(1) = 17.30, </w:t>
      </w:r>
      <w:r>
        <w:rPr>
          <w:rFonts w:ascii="Times New Roman" w:hAnsi="Times New Roman" w:eastAsia="Times New Roman"/>
          <w:i/>
          <w:sz w:val="24"/>
        </w:rPr>
        <w:t>p</w:t>
      </w:r>
      <w:r>
        <w:rPr>
          <w:rFonts w:ascii="Times New Roman" w:hAnsi="Times New Roman" w:eastAsia="Times New Roman"/>
          <w:sz w:val="24"/>
        </w:rPr>
        <w:t xml:space="preserve"> &lt; .001. This divergence is theoretically important: extraverts appear to self-report better performance but objective measures reveal weakly negative or null effects. This pattern is consistent with a self-enhancement bias mechanism in extraverted learners and provides novel meta-analytic evidence that the choice of outcome operationalization systematically alters the Extraversion-achievement association. For the other four traits, the outcome type moderator was not significant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.12). The six remaining pre-registered moderators could not be tested quantitatively due to insufficient </w:t>
      </w:r>
      <w:r>
        <w:rPr>
          <w:rFonts w:ascii="Times New Roman" w:hAnsi="Times New Roman" w:eastAsia="Times New Roman"/>
          <w:i/>
          <w:sz w:val="24"/>
        </w:rPr>
        <w:t>k</w:t>
      </w:r>
      <w:r>
        <w:rPr>
          <w:rFonts w:ascii="Times New Roman" w:hAnsi="Times New Roman" w:eastAsia="Times New Roman"/>
          <w:sz w:val="24"/>
        </w:rPr>
        <w:t xml:space="preserve"> per level; the narrative description is provided in Methods.</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rPr>
        <w:t xml:space="preserve">Four pre-specified sensitivity analyses were executed and are summarized in Table 4. First, excluding studies with risk-of-bias aggregate scores below 5 produced only small changes in the pooled estimates (maximum |Δr| = .015 for Conscientiousness; pooled C shifted from .167 to .182), indicating that findings were not driven by low-quality studies. Second, excluding the present author's own prior primary study (Tokiwa, 2025) did not change the pooled estimates at all (|Δr| &lt; .001 for every trait), because the author's study did not contribute zero-order correlations to the primary pool. Third, excluding studies whose effect sizes had been Peterson-Brown-converted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produced larger changes, particularly for Neuroticism (pooled </w:t>
      </w:r>
      <w:r>
        <w:rPr>
          <w:rFonts w:ascii="Times New Roman" w:hAnsi="Times New Roman" w:eastAsia="Times New Roman"/>
          <w:i/>
          <w:sz w:val="24"/>
        </w:rPr>
        <w:t>r</w:t>
      </w:r>
      <w:r>
        <w:rPr>
          <w:rFonts w:ascii="Times New Roman" w:hAnsi="Times New Roman" w:eastAsia="Times New Roman"/>
          <w:sz w:val="24"/>
        </w:rPr>
        <w:t xml:space="preserve"> shifted from .018 to −.043, |Δr| = .061) and Openness (|Δr| = .055), both of which moved in the direction predicted by Hypotheses 4 and 2, respectively. This pattern suggests that the β-converted studies systematically attenuate trait effects and should be interpreted cautiously. Fourth, the leave-one-out analysis (Table S3) identified Yu (2021) as the single most influential study for both the Agreeableness pool (removal shifted </w:t>
      </w:r>
      <w:r>
        <w:rPr>
          <w:rFonts w:ascii="Times New Roman" w:hAnsi="Times New Roman" w:eastAsia="Times New Roman"/>
          <w:i/>
          <w:sz w:val="24"/>
        </w:rPr>
        <w:t>r</w:t>
      </w:r>
      <w:r>
        <w:rPr>
          <w:rFonts w:ascii="Times New Roman" w:hAnsi="Times New Roman" w:eastAsia="Times New Roman"/>
          <w:sz w:val="24"/>
        </w:rPr>
        <w:t xml:space="preserve"> from .112 to .038, |Δr| = .074) and the Extraversion pool (removal shifted </w:t>
      </w:r>
      <w:r>
        <w:rPr>
          <w:rFonts w:ascii="Times New Roman" w:hAnsi="Times New Roman" w:eastAsia="Times New Roman"/>
          <w:i/>
          <w:sz w:val="24"/>
        </w:rPr>
        <w:t>r</w:t>
      </w:r>
      <w:r>
        <w:rPr>
          <w:rFonts w:ascii="Times New Roman" w:hAnsi="Times New Roman" w:eastAsia="Times New Roman"/>
          <w:sz w:val="24"/>
        </w:rPr>
        <w:t xml:space="preserve"> from .002 to .031, |Δr| = .028), reflecting Yu's MOOC composite as the largest β-converted objective-outcome contribution in the synthesis. No other study produced |Δr| &gt; .05 on any trait.</w:t>
      </w:r>
    </w:p>
    <w:p>
      <w:pPr>
        <w:pStyle w:val="Heading2"/>
        <w:spacing w:line="480" w:lineRule="auto" w:before="0" w:after="0"/>
      </w:pPr>
      <w:r>
        <w:t>Publication Bias Assessment</w:t>
      </w:r>
    </w:p>
    <w:p>
      <w:pPr>
        <w:spacing w:line="480" w:lineRule="auto" w:before="0" w:after="0"/>
        <w:ind w:firstLine="720"/>
      </w:pPr>
      <w:r>
        <w:rPr>
          <w:rFonts w:ascii="Times New Roman" w:hAnsi="Times New Roman" w:eastAsia="Times New Roman"/>
          <w:sz w:val="24"/>
        </w:rPr>
        <w:t xml:space="preserve">Funnel plots for each trait are presented in Figures 7A through 7E. Egger's regression asymmetry test was significant for Openness (intercept = −6.41, SE = 2.63, t(7) = −2.43, </w:t>
      </w:r>
      <w:r>
        <w:rPr>
          <w:rFonts w:ascii="Times New Roman" w:hAnsi="Times New Roman" w:eastAsia="Times New Roman"/>
          <w:i/>
          <w:sz w:val="24"/>
        </w:rPr>
        <w:t>p</w:t>
      </w:r>
      <w:r>
        <w:rPr>
          <w:rFonts w:ascii="Times New Roman" w:hAnsi="Times New Roman" w:eastAsia="Times New Roman"/>
          <w:sz w:val="24"/>
        </w:rPr>
        <w:t xml:space="preserve"> = .045) and approached significance for Agreeableness (intercept = −8.53, SE = 4.03, t(7) = −2.12, </w:t>
      </w:r>
      <w:r>
        <w:rPr>
          <w:rFonts w:ascii="Times New Roman" w:hAnsi="Times New Roman" w:eastAsia="Times New Roman"/>
          <w:i/>
          <w:sz w:val="24"/>
        </w:rPr>
        <w:t>p</w:t>
      </w:r>
      <w:r>
        <w:rPr>
          <w:rFonts w:ascii="Times New Roman" w:hAnsi="Times New Roman" w:eastAsia="Times New Roman"/>
          <w:sz w:val="24"/>
        </w:rPr>
        <w:t xml:space="preserve"> = .072). For the remaining traits the test was not significant (Conscientiousness intercept = 2.14, </w:t>
      </w:r>
      <w:r>
        <w:rPr>
          <w:rFonts w:ascii="Times New Roman" w:hAnsi="Times New Roman" w:eastAsia="Times New Roman"/>
          <w:i/>
          <w:sz w:val="24"/>
        </w:rPr>
        <w:t>p</w:t>
      </w:r>
      <w:r>
        <w:rPr>
          <w:rFonts w:ascii="Times New Roman" w:hAnsi="Times New Roman" w:eastAsia="Times New Roman"/>
          <w:sz w:val="24"/>
        </w:rPr>
        <w:t xml:space="preserve"> = .094; Extraversion intercept = 2.29, </w:t>
      </w:r>
      <w:r>
        <w:rPr>
          <w:rFonts w:ascii="Times New Roman" w:hAnsi="Times New Roman" w:eastAsia="Times New Roman"/>
          <w:i/>
          <w:sz w:val="24"/>
        </w:rPr>
        <w:t>p</w:t>
      </w:r>
      <w:r>
        <w:rPr>
          <w:rFonts w:ascii="Times New Roman" w:hAnsi="Times New Roman" w:eastAsia="Times New Roman"/>
          <w:sz w:val="24"/>
        </w:rPr>
        <w:t xml:space="preserve"> = .255; Neuroticism intercept = −1.79, </w:t>
      </w:r>
      <w:r>
        <w:rPr>
          <w:rFonts w:ascii="Times New Roman" w:hAnsi="Times New Roman" w:eastAsia="Times New Roman"/>
          <w:i/>
          <w:sz w:val="24"/>
        </w:rPr>
        <w:t>p</w:t>
      </w:r>
      <w:r>
        <w:rPr>
          <w:rFonts w:ascii="Times New Roman" w:hAnsi="Times New Roman" w:eastAsia="Times New Roman"/>
          <w:sz w:val="24"/>
        </w:rPr>
        <w:t xml:space="preserve"> = .304). Given the low statistical power of Egger's test with </w:t>
      </w:r>
      <w:r>
        <w:rPr>
          <w:rFonts w:ascii="Times New Roman" w:hAnsi="Times New Roman" w:eastAsia="Times New Roman"/>
          <w:i/>
          <w:sz w:val="24"/>
        </w:rPr>
        <w:t>k</w:t>
      </w:r>
      <w:r>
        <w:rPr>
          <w:rFonts w:ascii="Times New Roman" w:hAnsi="Times New Roman" w:eastAsia="Times New Roman"/>
          <w:sz w:val="24"/>
        </w:rPr>
        <w:t xml:space="preserve"> = 9–10, a non-significant result does not rule out publication bias, particularly for effects for which the direction of asymmetry is consistent with expected small-study positive bias (Conscientiousness).</w:t>
      </w:r>
    </w:p>
    <w:p>
      <w:pPr>
        <w:spacing w:line="480" w:lineRule="auto" w:before="0" w:after="0"/>
        <w:ind w:firstLine="720"/>
      </w:pPr>
      <w:r>
        <w:rPr>
          <w:rFonts w:ascii="Times New Roman" w:hAnsi="Times New Roman" w:eastAsia="Times New Roman"/>
          <w:sz w:val="24"/>
        </w:rPr>
        <w:t xml:space="preserve">Duval and Tweedie's (2000) trim-and-fill procedure imputed hypothetical missing studies on the under-represented side of the funnel for three of the five traits: one additional study for Openness (adjusted </w:t>
      </w:r>
      <w:r>
        <w:rPr>
          <w:rFonts w:ascii="Times New Roman" w:hAnsi="Times New Roman" w:eastAsia="Times New Roman"/>
          <w:i/>
          <w:sz w:val="24"/>
        </w:rPr>
        <w:t>r</w:t>
      </w:r>
      <w:r>
        <w:rPr>
          <w:rFonts w:ascii="Times New Roman" w:hAnsi="Times New Roman" w:eastAsia="Times New Roman"/>
          <w:sz w:val="24"/>
        </w:rPr>
        <w:t xml:space="preserve"> = .107 vs. original </w:t>
      </w:r>
      <w:r>
        <w:rPr>
          <w:rFonts w:ascii="Times New Roman" w:hAnsi="Times New Roman" w:eastAsia="Times New Roman"/>
          <w:i/>
          <w:sz w:val="24"/>
        </w:rPr>
        <w:t>r</w:t>
      </w:r>
      <w:r>
        <w:rPr>
          <w:rFonts w:ascii="Times New Roman" w:hAnsi="Times New Roman" w:eastAsia="Times New Roman"/>
          <w:sz w:val="24"/>
        </w:rPr>
        <w:t xml:space="preserve"> = .086), two for Extraversion (adjusted </w:t>
      </w:r>
      <w:r>
        <w:rPr>
          <w:rFonts w:ascii="Times New Roman" w:hAnsi="Times New Roman" w:eastAsia="Times New Roman"/>
          <w:i/>
          <w:sz w:val="24"/>
        </w:rPr>
        <w:t>r</w:t>
      </w:r>
      <w:r>
        <w:rPr>
          <w:rFonts w:ascii="Times New Roman" w:hAnsi="Times New Roman" w:eastAsia="Times New Roman"/>
          <w:sz w:val="24"/>
        </w:rPr>
        <w:t xml:space="preserve"> = −.036 vs. original </w:t>
      </w:r>
      <w:r>
        <w:rPr>
          <w:rFonts w:ascii="Times New Roman" w:hAnsi="Times New Roman" w:eastAsia="Times New Roman"/>
          <w:i/>
          <w:sz w:val="24"/>
        </w:rPr>
        <w:t>r</w:t>
      </w:r>
      <w:r>
        <w:rPr>
          <w:rFonts w:ascii="Times New Roman" w:hAnsi="Times New Roman" w:eastAsia="Times New Roman"/>
          <w:sz w:val="24"/>
        </w:rPr>
        <w:t xml:space="preserve"> = .002), and zero for Conscientiousness, Agreeableness, and Neuroticism. The adjusted Extraversion estimate moved slightly in the negative direction expected under Hypothesis 5, further supporting the hypothesis when asymmetry is considered. Trim-and-fill adjusted estimates are reported as a sensitivity check only and do not replace the primary pooled estimates. Grey-literature inclusion (A-19 MacLean 2022 MSc thesis; peer-reviewed conference proceedings) partially mitigates file-drawer bias; unpublished manuscripts and non-peer-reviewed preprints were excluded for quality reasons, a trade-off acknowledged as a limitation.</w:t>
      </w:r>
    </w:p>
    <w:p>
      <w:pPr>
        <w:pStyle w:val="Heading2"/>
        <w:spacing w:line="480" w:lineRule="auto" w:before="0" w:after="0"/>
      </w:pPr>
      <w:r>
        <w:t>GRADE Summary of Findings</w:t>
      </w:r>
    </w:p>
    <w:p>
      <w:pPr>
        <w:spacing w:line="480" w:lineRule="auto" w:before="0" w:after="0"/>
        <w:ind w:firstLine="720"/>
      </w:pPr>
      <w:r>
        <w:rPr>
          <w:rFonts w:ascii="Times New Roman" w:hAnsi="Times New Roman" w:eastAsia="Times New Roman"/>
          <w:sz w:val="24"/>
        </w:rPr>
        <w:t>The GRADE confidence rating for each Big Five trait is presented in Table 5 (Summary of Findings). Confidence in the pooled Conscientiousness–achievement association was rated as Moderate, reflecting adequate risk-of-bias across contributing studies (mean JBI = 5.8), moderate inconsistency (</w:t>
      </w:r>
      <w:r>
        <w:rPr>
          <w:rFonts w:ascii="Times New Roman" w:hAnsi="Times New Roman" w:eastAsia="Times New Roman"/>
          <w:i/>
          <w:sz w:val="24"/>
        </w:rPr>
        <w:t>I²</w:t>
      </w:r>
      <w:r>
        <w:rPr>
          <w:rFonts w:ascii="Times New Roman" w:hAnsi="Times New Roman" w:eastAsia="Times New Roman"/>
          <w:sz w:val="24"/>
        </w:rPr>
        <w:t xml:space="preserve"> = 65.1% with a PI that just crosses zero), direct relevance to the review question, adequate precision (CI width = .15 &lt; 2 × MOI of .10), and borderline publication-bias signal (Egger </w:t>
      </w:r>
      <w:r>
        <w:rPr>
          <w:rFonts w:ascii="Times New Roman" w:hAnsi="Times New Roman" w:eastAsia="Times New Roman"/>
          <w:i/>
          <w:sz w:val="24"/>
        </w:rPr>
        <w:t>p</w:t>
      </w:r>
      <w:r>
        <w:rPr>
          <w:rFonts w:ascii="Times New Roman" w:hAnsi="Times New Roman" w:eastAsia="Times New Roman"/>
          <w:sz w:val="24"/>
        </w:rPr>
        <w:t xml:space="preserve"> = .094). Confidence in the pooled Openness estimate was rated Low due to very high inconsistency (</w:t>
      </w:r>
      <w:r>
        <w:rPr>
          <w:rFonts w:ascii="Times New Roman" w:hAnsi="Times New Roman" w:eastAsia="Times New Roman"/>
          <w:i/>
          <w:sz w:val="24"/>
        </w:rPr>
        <w:t>I²</w:t>
      </w:r>
      <w:r>
        <w:rPr>
          <w:rFonts w:ascii="Times New Roman" w:hAnsi="Times New Roman" w:eastAsia="Times New Roman"/>
          <w:sz w:val="24"/>
        </w:rPr>
        <w:t xml:space="preserve"> = 92.0%), wide imprecision (CI = [−.044, .214]), and significant Egger asymmetry (</w:t>
      </w:r>
      <w:r>
        <w:rPr>
          <w:rFonts w:ascii="Times New Roman" w:hAnsi="Times New Roman" w:eastAsia="Times New Roman"/>
          <w:i/>
          <w:sz w:val="24"/>
        </w:rPr>
        <w:t>p</w:t>
      </w:r>
      <w:r>
        <w:rPr>
          <w:rFonts w:ascii="Times New Roman" w:hAnsi="Times New Roman" w:eastAsia="Times New Roman"/>
          <w:sz w:val="24"/>
        </w:rPr>
        <w:t xml:space="preserve"> = .045). Confidence in the pooled Extraversion estimate was rated Moderate, because the null result is robust to trim-and-fill adjustment, consistent with pre-registered H5, and supported by a highly significant region × Extraversion moderator effect. Confidence in the pooled Agreeableness estimate was rated Low, reflecting the extreme </w:t>
      </w:r>
      <w:r>
        <w:rPr>
          <w:rFonts w:ascii="Times New Roman" w:hAnsi="Times New Roman" w:eastAsia="Times New Roman"/>
          <w:i/>
          <w:sz w:val="24"/>
        </w:rPr>
        <w:t>I²</w:t>
      </w:r>
      <w:r>
        <w:rPr>
          <w:rFonts w:ascii="Times New Roman" w:hAnsi="Times New Roman" w:eastAsia="Times New Roman"/>
          <w:sz w:val="24"/>
        </w:rPr>
        <w:t xml:space="preserve"> (96.2%) and trend-level Egger asymmetry (</w:t>
      </w:r>
      <w:r>
        <w:rPr>
          <w:rFonts w:ascii="Times New Roman" w:hAnsi="Times New Roman" w:eastAsia="Times New Roman"/>
          <w:i/>
          <w:sz w:val="24"/>
        </w:rPr>
        <w:t>p</w:t>
      </w:r>
      <w:r>
        <w:rPr>
          <w:rFonts w:ascii="Times New Roman" w:hAnsi="Times New Roman" w:eastAsia="Times New Roman"/>
          <w:sz w:val="24"/>
        </w:rPr>
        <w:t xml:space="preserve"> = .072). Confidence in the pooled Neuroticism estimate was rated Low, reflecting moderate-to-high inconsistency (</w:t>
      </w:r>
      <w:r>
        <w:rPr>
          <w:rFonts w:ascii="Times New Roman" w:hAnsi="Times New Roman" w:eastAsia="Times New Roman"/>
          <w:i/>
          <w:sz w:val="24"/>
        </w:rPr>
        <w:t>I²</w:t>
      </w:r>
      <w:r>
        <w:rPr>
          <w:rFonts w:ascii="Times New Roman" w:hAnsi="Times New Roman" w:eastAsia="Times New Roman"/>
          <w:sz w:val="24"/>
        </w:rPr>
        <w:t xml:space="preserve"> = 79.0%) and a null point estimate with wide intervals. No trait reached the threshold for an upgrade based on large magnitude (|pooled r| ≥ .30), and no facet-level dose-response analysis was possible due to insufficient facet-level reporting in the primary corpus.</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rPr>
        <w:t xml:space="preserve">The present systematic review and meta-analysis provides , to the author's knowledge, the first quantitative synthesis of the association between Big Five personality traits and academic achievement in online learning environments. Across 31 catalogued primary studies — 25 retained for qualitative synthesis, of which 10 contributed direct or β-converted Pearson correlations to the primary achievement pool (total pooled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online academic achievement was </w:t>
      </w:r>
      <w:r>
        <w:rPr>
          <w:rFonts w:ascii="Times New Roman" w:hAnsi="Times New Roman" w:eastAsia="Times New Roman"/>
          <w:i/>
          <w:sz w:val="24"/>
        </w:rPr>
        <w:t>r</w:t>
      </w:r>
      <w:r>
        <w:rPr>
          <w:rFonts w:ascii="Times New Roman" w:hAnsi="Times New Roman" w:eastAsia="Times New Roman"/>
          <w:sz w:val="24"/>
        </w:rPr>
        <w:t xml:space="preserve"> = .167 (95% CI [.089, .243]). Comparable estimates were obtained for Openness (</w:t>
      </w:r>
      <w:r>
        <w:rPr>
          <w:rFonts w:ascii="Times New Roman" w:hAnsi="Times New Roman" w:eastAsia="Times New Roman"/>
          <w:i/>
          <w:sz w:val="24"/>
        </w:rPr>
        <w:t>r</w:t>
      </w:r>
      <w:r>
        <w:rPr>
          <w:rFonts w:ascii="Times New Roman" w:hAnsi="Times New Roman" w:eastAsia="Times New Roman"/>
          <w:sz w:val="24"/>
        </w:rPr>
        <w:t xml:space="preserve"> = .086 [−.044, .214]), Agreeableness (</w:t>
      </w:r>
      <w:r>
        <w:rPr>
          <w:rFonts w:ascii="Times New Roman" w:hAnsi="Times New Roman" w:eastAsia="Times New Roman"/>
          <w:i/>
          <w:sz w:val="24"/>
        </w:rPr>
        <w:t>r</w:t>
      </w:r>
      <w:r>
        <w:rPr>
          <w:rFonts w:ascii="Times New Roman" w:hAnsi="Times New Roman" w:eastAsia="Times New Roman"/>
          <w:sz w:val="24"/>
        </w:rPr>
        <w:t xml:space="preserve"> = .112 [−.031, .250]), Neuroticism (</w:t>
      </w:r>
      <w:r>
        <w:rPr>
          <w:rFonts w:ascii="Times New Roman" w:hAnsi="Times New Roman" w:eastAsia="Times New Roman"/>
          <w:i/>
          <w:sz w:val="24"/>
        </w:rPr>
        <w:t>r</w:t>
      </w:r>
      <w:r>
        <w:rPr>
          <w:rFonts w:ascii="Times New Roman" w:hAnsi="Times New Roman" w:eastAsia="Times New Roman"/>
          <w:sz w:val="24"/>
        </w:rPr>
        <w:t xml:space="preserve"> = .018 [−.079, .114]), and Extraversion (</w:t>
      </w:r>
      <w:r>
        <w:rPr>
          <w:rFonts w:ascii="Times New Roman" w:hAnsi="Times New Roman" w:eastAsia="Times New Roman"/>
          <w:i/>
          <w:sz w:val="24"/>
        </w:rPr>
        <w:t>r</w:t>
      </w:r>
      <w:r>
        <w:rPr>
          <w:rFonts w:ascii="Times New Roman" w:hAnsi="Times New Roman" w:eastAsia="Times New Roman"/>
          <w:sz w:val="24"/>
        </w:rPr>
        <w:t xml:space="preserve"> = .002 [−.076, .080]). The pattern of pooled effects was partially consistent with established face-to-face benchmarks—Conscientiousness emerged as the strongest positive predictor, and Extraversion as null—but diverged in two important respects: the Conscientiousness magnitude was somewhat lower than face-to-face </w:t>
      </w:r>
      <w:r>
        <w:rPr>
          <w:rFonts w:ascii="Times New Roman" w:hAnsi="Times New Roman" w:eastAsia="Times New Roman"/>
          <w:i/>
          <w:sz w:val="24"/>
        </w:rPr>
        <w:t>ρ</w:t>
      </w:r>
      <w:r>
        <w:rPr>
          <w:rFonts w:ascii="Times New Roman" w:hAnsi="Times New Roman" w:eastAsia="Times New Roman"/>
          <w:sz w:val="24"/>
        </w:rPr>
        <w:t xml:space="preserve"> of .20–.28, and Agreeableness showed a slightly larger effect than in face-to-face samples, driven primarily by a single influential Chinese MOOC sample (Yu, 2021) within the primary pool, with convergent narrative evidence from East Asian (Wang et al., 2023) and Israeli (Baruth &amp; Cohen, 2023) secondary-outcome studies. Two pre-registered moderator effects were highly significant: Extraversion × Region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with Asian samples showing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Extraversion × Outcome Type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with objective outcomes showing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w:t>
      </w:r>
    </w:p>
    <w:p>
      <w:pPr>
        <w:pStyle w:val="Heading2"/>
        <w:spacing w:line="480" w:lineRule="auto" w:before="0" w:after="0"/>
      </w:pPr>
      <w:r>
        <w:t>Evaluation of Pre-registered Hypotheses</w:t>
      </w:r>
    </w:p>
    <w:p>
      <w:pPr>
        <w:spacing w:line="480" w:lineRule="auto" w:before="0" w:after="0"/>
        <w:ind w:firstLine="720"/>
      </w:pPr>
      <w:r>
        <w:rPr>
          <w:rFonts w:ascii="Times New Roman" w:hAnsi="Times New Roman" w:eastAsia="Times New Roman"/>
          <w:sz w:val="24"/>
        </w:rPr>
        <w:t xml:space="preserve">Hypothesis 1 (Conscientiousness as strongest positive predictor). The pooled Conscientiousness–achievement correlation of </w:t>
      </w:r>
      <w:r>
        <w:rPr>
          <w:rFonts w:ascii="Times New Roman" w:hAnsi="Times New Roman" w:eastAsia="Times New Roman"/>
          <w:i/>
          <w:sz w:val="24"/>
        </w:rPr>
        <w:t>r</w:t>
      </w:r>
      <w:r>
        <w:rPr>
          <w:rFonts w:ascii="Times New Roman" w:hAnsi="Times New Roman" w:eastAsia="Times New Roman"/>
          <w:sz w:val="24"/>
        </w:rPr>
        <w:t xml:space="preserve"> = .167 fell slightly below the pre-specified range of .20–.35, with the 95% confidence interval extending to .243 and thus overlapping the lower bound of the range. Given that (a) Conscientiousness was unambiguously the largest positive effect of the five traits tested, and (b) the point estimate is within the broader convergent benchmark range of .19–.28 documented across eight prior meta-analyses, H1 is judged partially supported. The magnitude of the C effect in online environments was slightly smaller than face-to-face benchmarks reported by Poropat (2009; </w:t>
      </w:r>
      <w:r>
        <w:rPr>
          <w:rFonts w:ascii="Times New Roman" w:hAnsi="Times New Roman" w:eastAsia="Times New Roman"/>
          <w:i/>
          <w:sz w:val="24"/>
        </w:rPr>
        <w:t>ρ</w:t>
      </w:r>
      <w:r>
        <w:rPr>
          <w:rFonts w:ascii="Times New Roman" w:hAnsi="Times New Roman" w:eastAsia="Times New Roman"/>
          <w:sz w:val="24"/>
        </w:rPr>
        <w:t xml:space="preserve"> = .22), McAbee and Oswald (2013; </w:t>
      </w:r>
      <w:r>
        <w:rPr>
          <w:rFonts w:ascii="Times New Roman" w:hAnsi="Times New Roman" w:eastAsia="Times New Roman"/>
          <w:i/>
          <w:sz w:val="24"/>
        </w:rPr>
        <w:t>ρ</w:t>
      </w:r>
      <w:r>
        <w:rPr>
          <w:rFonts w:ascii="Times New Roman" w:hAnsi="Times New Roman" w:eastAsia="Times New Roman"/>
          <w:sz w:val="24"/>
        </w:rPr>
        <w:t xml:space="preserve"> = .26), Vedel (2014; </w:t>
      </w:r>
      <w:r>
        <w:rPr>
          <w:rFonts w:ascii="Times New Roman" w:hAnsi="Times New Roman" w:eastAsia="Times New Roman"/>
          <w:i/>
          <w:sz w:val="24"/>
        </w:rPr>
        <w:t>ρ</w:t>
      </w:r>
      <w:r>
        <w:rPr>
          <w:rFonts w:ascii="Times New Roman" w:hAnsi="Times New Roman" w:eastAsia="Times New Roman"/>
          <w:sz w:val="24"/>
        </w:rPr>
        <w:t xml:space="preserve"> = .26), Mammadov (2022; </w:t>
      </w:r>
      <w:r>
        <w:rPr>
          <w:rFonts w:ascii="Times New Roman" w:hAnsi="Times New Roman" w:eastAsia="Times New Roman"/>
          <w:i/>
          <w:sz w:val="24"/>
        </w:rPr>
        <w:t>ρ</w:t>
      </w:r>
      <w:r>
        <w:rPr>
          <w:rFonts w:ascii="Times New Roman" w:hAnsi="Times New Roman" w:eastAsia="Times New Roman"/>
          <w:sz w:val="24"/>
        </w:rPr>
        <w:t xml:space="preserve"> = .27), and Chen et al. (2025; </w:t>
      </w:r>
      <w:r>
        <w:rPr>
          <w:rFonts w:ascii="Times New Roman" w:hAnsi="Times New Roman" w:eastAsia="Times New Roman"/>
          <w:i/>
          <w:sz w:val="24"/>
        </w:rPr>
        <w:t>r</w:t>
      </w:r>
      <w:r>
        <w:rPr>
          <w:rFonts w:ascii="Times New Roman" w:hAnsi="Times New Roman" w:eastAsia="Times New Roman"/>
          <w:sz w:val="24"/>
        </w:rPr>
        <w:t xml:space="preserve"> = .206), a pattern consistent with the theoretical prediction that online auto-grading reduces the teacher-observation pathway through which Conscientiousness is channeled into grades (see Theoretical Implications below).</w:t>
      </w:r>
    </w:p>
    <w:p>
      <w:pPr>
        <w:spacing w:line="480" w:lineRule="auto" w:before="0" w:after="0"/>
        <w:ind w:firstLine="720"/>
      </w:pPr>
      <w:r>
        <w:rPr>
          <w:rFonts w:ascii="Times New Roman" w:hAnsi="Times New Roman" w:eastAsia="Times New Roman"/>
          <w:sz w:val="24"/>
        </w:rPr>
        <w:t>Hypothesis 2 (Openness as second-strongest positive predictor). The pooled Openness–achievement correlation (</w:t>
      </w:r>
      <w:r>
        <w:rPr>
          <w:rFonts w:ascii="Times New Roman" w:hAnsi="Times New Roman" w:eastAsia="Times New Roman"/>
          <w:i/>
          <w:sz w:val="24"/>
        </w:rPr>
        <w:t>r</w:t>
      </w:r>
      <w:r>
        <w:rPr>
          <w:rFonts w:ascii="Times New Roman" w:hAnsi="Times New Roman" w:eastAsia="Times New Roman"/>
          <w:sz w:val="24"/>
        </w:rPr>
        <w:t xml:space="preserve"> = .086) was the third-largest positive effect in the present synthesis, surpassed by both Conscientiousness (</w:t>
      </w:r>
      <w:r>
        <w:rPr>
          <w:rFonts w:ascii="Times New Roman" w:hAnsi="Times New Roman" w:eastAsia="Times New Roman"/>
          <w:i/>
          <w:sz w:val="24"/>
        </w:rPr>
        <w:t>r</w:t>
      </w:r>
      <w:r>
        <w:rPr>
          <w:rFonts w:ascii="Times New Roman" w:hAnsi="Times New Roman" w:eastAsia="Times New Roman"/>
          <w:sz w:val="24"/>
        </w:rPr>
        <w:t xml:space="preserve"> = .167) and Agreeableness (</w:t>
      </w:r>
      <w:r>
        <w:rPr>
          <w:rFonts w:ascii="Times New Roman" w:hAnsi="Times New Roman" w:eastAsia="Times New Roman"/>
          <w:i/>
          <w:sz w:val="24"/>
        </w:rPr>
        <w:t>r</w:t>
      </w:r>
      <w:r>
        <w:rPr>
          <w:rFonts w:ascii="Times New Roman" w:hAnsi="Times New Roman" w:eastAsia="Times New Roman"/>
          <w:sz w:val="24"/>
        </w:rPr>
        <w:t xml:space="preserve"> = .112). The 95% confidence interval crossed zero, and the estimate was comparable to the face-to-face benchmark of Mammadov (2022; </w:t>
      </w:r>
      <w:r>
        <w:rPr>
          <w:rFonts w:ascii="Times New Roman" w:hAnsi="Times New Roman" w:eastAsia="Times New Roman"/>
          <w:i/>
          <w:sz w:val="24"/>
        </w:rPr>
        <w:t>ρ</w:t>
      </w:r>
      <w:r>
        <w:rPr>
          <w:rFonts w:ascii="Times New Roman" w:hAnsi="Times New Roman" w:eastAsia="Times New Roman"/>
          <w:sz w:val="24"/>
        </w:rPr>
        <w:t xml:space="preserve"> = .16) but substantially below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H2 is not supported. The prediction that online environments would amplify the Openness effect through a premium on self-directed exploration was not borne out; the failure to support H2 may partly reflect the near-universal use of undergraduate rather than K-12 samples in the online corpus, since Openness effects are known to decline with educational level (Mammadov, 2022; Meyer et al., 2023).</w:t>
      </w:r>
    </w:p>
    <w:p>
      <w:pPr>
        <w:spacing w:line="480" w:lineRule="auto" w:before="0" w:after="0"/>
        <w:ind w:firstLine="720"/>
      </w:pPr>
      <w:r>
        <w:rPr>
          <w:rFonts w:ascii="Times New Roman" w:hAnsi="Times New Roman" w:eastAsia="Times New Roman"/>
          <w:sz w:val="24"/>
        </w:rPr>
        <w:t xml:space="preserve">Hypothesis 3 (Agreeableness as small positive effect, weaker than FtF). The pooled Agreeableness–achievement correlation was </w:t>
      </w:r>
      <w:r>
        <w:rPr>
          <w:rFonts w:ascii="Times New Roman" w:hAnsi="Times New Roman" w:eastAsia="Times New Roman"/>
          <w:i/>
          <w:sz w:val="24"/>
        </w:rPr>
        <w:t>r</w:t>
      </w:r>
      <w:r>
        <w:rPr>
          <w:rFonts w:ascii="Times New Roman" w:hAnsi="Times New Roman" w:eastAsia="Times New Roman"/>
          <w:sz w:val="24"/>
        </w:rPr>
        <w:t xml:space="preserve"> = .112, slightly larger than the face-to-face benchmark range of .05–.10 (Poropat, 2009; Vedel, 2014; Chen et al., 2025). H3, which predicted a weaker rather than stronger effect, is therefore not supported. Within the 9-study primary Agreeableness pool, the pooled estimate is driven principally by a single influential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confirms that removing Yu drops the pooled </w:t>
      </w:r>
      <w:r>
        <w:rPr>
          <w:rFonts w:ascii="Times New Roman" w:hAnsi="Times New Roman" w:eastAsia="Times New Roman"/>
          <w:i/>
          <w:sz w:val="24"/>
        </w:rPr>
        <w:t>r</w:t>
      </w:r>
      <w:r>
        <w:rPr>
          <w:rFonts w:ascii="Times New Roman" w:hAnsi="Times New Roman" w:eastAsia="Times New Roman"/>
          <w:sz w:val="24"/>
        </w:rPr>
        <w:t xml:space="preserve"> from .112 to .038. Convergent narrative evidence for Agreeableness amplification in East Asian online learners is provided by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K-12 sample retained for qualitative synthesis but not in the primary pool) and in Israeli samples by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retained as a secondary-outcome study, not in the primary pool). These directional findings converge with Mammadov's (2022) Asian-sample amplification pattern and with Chen et al.'s (2025) cultural-moderation findings. The region moderator analysis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was directionally consistent with this interpretation but did not reach statistical significance (</w:t>
      </w:r>
      <w:r>
        <w:rPr>
          <w:rFonts w:ascii="Times New Roman" w:hAnsi="Times New Roman" w:eastAsia="Times New Roman"/>
          <w:i/>
          <w:sz w:val="24"/>
        </w:rPr>
        <w:t>Q_between</w:t>
      </w:r>
      <w:r>
        <w:rPr>
          <w:rFonts w:ascii="Times New Roman" w:hAnsi="Times New Roman" w:eastAsia="Times New Roman"/>
          <w:sz w:val="24"/>
        </w:rPr>
        <w:t xml:space="preserve"> = 2.17, </w:t>
      </w:r>
      <w:r>
        <w:rPr>
          <w:rFonts w:ascii="Times New Roman" w:hAnsi="Times New Roman" w:eastAsia="Times New Roman"/>
          <w:i/>
          <w:sz w:val="24"/>
        </w:rPr>
        <w:t>p</w:t>
      </w:r>
      <w:r>
        <w:rPr>
          <w:rFonts w:ascii="Times New Roman" w:hAnsi="Times New Roman" w:eastAsia="Times New Roman"/>
          <w:sz w:val="24"/>
        </w:rPr>
        <w:t xml:space="preserve"> = .140), owing to the small Asian subsample (</w:t>
      </w:r>
      <w:r>
        <w:rPr>
          <w:rFonts w:ascii="Times New Roman" w:hAnsi="Times New Roman" w:eastAsia="Times New Roman"/>
          <w:i/>
          <w:sz w:val="24"/>
        </w:rPr>
        <w:t>k</w:t>
      </w:r>
      <w:r>
        <w:rPr>
          <w:rFonts w:ascii="Times New Roman" w:hAnsi="Times New Roman" w:eastAsia="Times New Roman"/>
          <w:sz w:val="24"/>
        </w:rPr>
        <w:t xml:space="preserve"> = 2).</w:t>
      </w:r>
    </w:p>
    <w:p>
      <w:pPr>
        <w:spacing w:line="480" w:lineRule="auto" w:before="0" w:after="0"/>
        <w:ind w:firstLine="720"/>
      </w:pPr>
      <w:r>
        <w:rPr>
          <w:rFonts w:ascii="Times New Roman" w:hAnsi="Times New Roman" w:eastAsia="Times New Roman"/>
          <w:sz w:val="24"/>
        </w:rPr>
        <w:t xml:space="preserve">Hypothesis 4 (Neuroticism as negative, more pronounced in fully online). The pooled Neuroticism–achievement correlation was </w:t>
      </w:r>
      <w:r>
        <w:rPr>
          <w:rFonts w:ascii="Times New Roman" w:hAnsi="Times New Roman" w:eastAsia="Times New Roman"/>
          <w:i/>
          <w:sz w:val="24"/>
        </w:rPr>
        <w:t>r</w:t>
      </w:r>
      <w:r>
        <w:rPr>
          <w:rFonts w:ascii="Times New Roman" w:hAnsi="Times New Roman" w:eastAsia="Times New Roman"/>
          <w:sz w:val="24"/>
        </w:rPr>
        <w:t xml:space="preserve"> = .018, approximately null. The first component of H4 — an overall negative pooled effect — is not supported by the primary analysis. The second component of H4 — a more pronounced negative effect in fully online than in blended modalities — could not be evaluated quantitatively because only one study (A-02 Alkış &amp; Taşkaya Temizel, 2018) contributed a separately extractable blended subsample, precluding a fully-online-vs-blended modality contrast. Notably, the β-excluded sensitivity analysis (restricting the pool to studies with direct Pearson </w:t>
      </w:r>
      <w:r>
        <w:rPr>
          <w:rFonts w:ascii="Times New Roman" w:hAnsi="Times New Roman" w:eastAsia="Times New Roman"/>
          <w:i/>
          <w:sz w:val="24"/>
        </w:rPr>
        <w:t>r</w:t>
      </w:r>
      <w:r>
        <w:rPr>
          <w:rFonts w:ascii="Times New Roman" w:hAnsi="Times New Roman" w:eastAsia="Times New Roman"/>
          <w:sz w:val="24"/>
        </w:rPr>
        <w:t xml:space="preserve">) shifted the pooled Neuroticism estimate to </w:t>
      </w:r>
      <w:r>
        <w:rPr>
          <w:rFonts w:ascii="Times New Roman" w:hAnsi="Times New Roman" w:eastAsia="Times New Roman"/>
          <w:i/>
          <w:sz w:val="24"/>
        </w:rPr>
        <w:t>r</w:t>
      </w:r>
      <w:r>
        <w:rPr>
          <w:rFonts w:ascii="Times New Roman" w:hAnsi="Times New Roman" w:eastAsia="Times New Roman"/>
          <w:sz w:val="24"/>
        </w:rPr>
        <w:t xml:space="preserve"> = −.043, providing partial directional support for the H4 sign prediction under the stricter analytic specification. The discrepancy between the primary and sensitivity analyses suggests that Peterson-Brown-converted </w:t>
      </w:r>
      <w:r>
        <w:rPr>
          <w:rFonts w:ascii="Times New Roman" w:hAnsi="Times New Roman" w:eastAsia="Times New Roman"/>
          <w:i/>
          <w:sz w:val="24"/>
        </w:rPr>
        <w:t>β</w:t>
      </w:r>
      <w:r>
        <w:rPr>
          <w:rFonts w:ascii="Times New Roman" w:hAnsi="Times New Roman" w:eastAsia="Times New Roman"/>
          <w:sz w:val="24"/>
        </w:rPr>
        <w:t xml:space="preserve"> studies (principally Yu, 2021 and Kaspar et al., 2023) systematically attenuate the Neuroticism effect, potentially because these studies control for multiple covariates in the </w:t>
      </w:r>
      <w:r>
        <w:rPr>
          <w:rFonts w:ascii="Times New Roman" w:hAnsi="Times New Roman" w:eastAsia="Times New Roman"/>
          <w:i/>
          <w:sz w:val="24"/>
        </w:rPr>
        <w:t>β</w:t>
      </w:r>
      <w:r>
        <w:rPr>
          <w:rFonts w:ascii="Times New Roman" w:hAnsi="Times New Roman" w:eastAsia="Times New Roman"/>
          <w:sz w:val="24"/>
        </w:rPr>
        <w:t xml:space="preserve"> coefficients, diluting the zero-order Neuroticism-outcome association.</w:t>
      </w:r>
    </w:p>
    <w:p>
      <w:pPr>
        <w:spacing w:line="480" w:lineRule="auto" w:before="0" w:after="0"/>
        <w:ind w:firstLine="720"/>
      </w:pPr>
      <w:r>
        <w:rPr>
          <w:rFonts w:ascii="Times New Roman" w:hAnsi="Times New Roman" w:eastAsia="Times New Roman"/>
          <w:sz w:val="24"/>
        </w:rPr>
        <w:t xml:space="preserve">Hypothesis 5 (Extraversion as null or weak negative). The pooled Extraversion–achievement correlation was </w:t>
      </w:r>
      <w:r>
        <w:rPr>
          <w:rFonts w:ascii="Times New Roman" w:hAnsi="Times New Roman" w:eastAsia="Times New Roman"/>
          <w:i/>
          <w:sz w:val="24"/>
        </w:rPr>
        <w:t>r</w:t>
      </w:r>
      <w:r>
        <w:rPr>
          <w:rFonts w:ascii="Times New Roman" w:hAnsi="Times New Roman" w:eastAsia="Times New Roman"/>
          <w:sz w:val="24"/>
        </w:rPr>
        <w:t xml:space="preserve"> = .002, consistent with H5's prediction of a null overall effect. The overall H5 prediction is therefore supported. The proposed facet-level cancellation mechanism (sociability negative vs. assertiveness positive) could not be directly tested because few primary studies report Extraversion at the facet level, and a quantitative facet-level synthesis was not feasible (see Limitations). Moreover, two moderator analyses revealed systematic contextual conditions under which Extraversion shifts in the negative direction at the trait level: in Asian samples the pooled effect was </w:t>
      </w:r>
      <w:r>
        <w:rPr>
          <w:rFonts w:ascii="Times New Roman" w:hAnsi="Times New Roman" w:eastAsia="Times New Roman"/>
          <w:i/>
          <w:sz w:val="24"/>
        </w:rPr>
        <w:t>r</w:t>
      </w:r>
      <w:r>
        <w:rPr>
          <w:rFonts w:ascii="Times New Roman" w:hAnsi="Times New Roman" w:eastAsia="Times New Roman"/>
          <w:sz w:val="24"/>
        </w:rPr>
        <w:t xml:space="preserve"> = −.131 (95% CI [−.314, .061];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in objective achievement outcomes the pooled effect was </w:t>
      </w:r>
      <w:r>
        <w:rPr>
          <w:rFonts w:ascii="Times New Roman" w:hAnsi="Times New Roman" w:eastAsia="Times New Roman"/>
          <w:i/>
          <w:sz w:val="24"/>
        </w:rPr>
        <w:t>r</w:t>
      </w:r>
      <w:r>
        <w:rPr>
          <w:rFonts w:ascii="Times New Roman" w:hAnsi="Times New Roman" w:eastAsia="Times New Roman"/>
          <w:sz w:val="24"/>
        </w:rPr>
        <w:t xml:space="preserve"> = −.038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against self-rated </w:t>
      </w:r>
      <w:r>
        <w:rPr>
          <w:rFonts w:ascii="Times New Roman" w:hAnsi="Times New Roman" w:eastAsia="Times New Roman"/>
          <w:i/>
          <w:sz w:val="24"/>
        </w:rPr>
        <w:t>r</w:t>
      </w:r>
      <w:r>
        <w:rPr>
          <w:rFonts w:ascii="Times New Roman" w:hAnsi="Times New Roman" w:eastAsia="Times New Roman"/>
          <w:sz w:val="24"/>
        </w:rPr>
        <w:t xml:space="preserve"> = .117). These moderator findings represent , to the author's knowledge, the first meta-analytic evidence for a directional shift in the Extraversion effect attributable to (a) cultural context and (b) outcome operationalization in online learning environments, extending the near-null face-to-face estimate (Poropat, 2009; Chen et al., 2025) toward a culturally and methodologically structured pattern of divergence. Whether these contextual shifts reflect the H5 facet-cancellation mechanism (e.g., assertiveness facets activated more strongly in individualistic vs. collectivistic contexts) or a separate trait-level mechanism remains an open question for facet-level primary research.</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rPr>
        <w:t>The present findings carry several theoretical implications for the personality-achievement literature. First, the slightly reduced Conscientiousness effect in online environments (</w:t>
      </w:r>
      <w:r>
        <w:rPr>
          <w:rFonts w:ascii="Times New Roman" w:hAnsi="Times New Roman" w:eastAsia="Times New Roman"/>
          <w:i/>
          <w:sz w:val="24"/>
        </w:rPr>
        <w:t>r</w:t>
      </w:r>
      <w:r>
        <w:rPr>
          <w:rFonts w:ascii="Times New Roman" w:hAnsi="Times New Roman" w:eastAsia="Times New Roman"/>
          <w:sz w:val="24"/>
        </w:rPr>
        <w:t xml:space="preserve"> = .167 vs. face-to-face </w:t>
      </w:r>
      <w:r>
        <w:rPr>
          <w:rFonts w:ascii="Times New Roman" w:hAnsi="Times New Roman" w:eastAsia="Times New Roman"/>
          <w:i/>
          <w:sz w:val="24"/>
        </w:rPr>
        <w:t>ρ</w:t>
      </w:r>
      <w:r>
        <w:rPr>
          <w:rFonts w:ascii="Times New Roman" w:hAnsi="Times New Roman" w:eastAsia="Times New Roman"/>
          <w:sz w:val="24"/>
        </w:rPr>
        <w:t xml:space="preserve"> = .19–.28) provides preliminary support for the Personality-Achievement Saturation Hypothesis (PASH; Meyer et al., 2023), which posits that Conscientiousness is channeled into academic outcomes through behavioral signals visible to graders. In online environments with automated grading, reduced teacher observation, and fewer opportunities for classroom-level behavioral indicators, the PASH framework predicts a weakened Conscientiousness effect; the present meta-analytic estimate is consistent with this prediction, though the magnitude of attenuation (Δr ≈ .04–.10 depending on benchmark) is at or near the replicability threshold documented by Zell and Lesick (2022) for second-order meta-analyses. Further replication with larger </w:t>
      </w:r>
      <w:r>
        <w:rPr>
          <w:rFonts w:ascii="Times New Roman" w:hAnsi="Times New Roman" w:eastAsia="Times New Roman"/>
          <w:i/>
          <w:sz w:val="24"/>
        </w:rPr>
        <w:t>k</w:t>
      </w:r>
      <w:r>
        <w:rPr>
          <w:rFonts w:ascii="Times New Roman" w:hAnsi="Times New Roman" w:eastAsia="Times New Roman"/>
          <w:sz w:val="24"/>
        </w:rPr>
        <w:t xml:space="preserve"> is warranted before attributing this attenuation exclusively to the PASH mechanism.</w:t>
      </w:r>
    </w:p>
    <w:p>
      <w:pPr>
        <w:spacing w:line="480" w:lineRule="auto" w:before="0" w:after="0"/>
        <w:ind w:firstLine="720"/>
      </w:pPr>
      <w:r>
        <w:rPr>
          <w:rFonts w:ascii="Times New Roman" w:hAnsi="Times New Roman" w:eastAsia="Times New Roman"/>
          <w:sz w:val="24"/>
        </w:rPr>
        <w:t xml:space="preserve">Second, the null pooled Extraversion effect in online environments, combined with the large between-group differences in the Region × Extraversion subgroup contrast (Asia </w:t>
      </w:r>
      <w:r>
        <w:rPr>
          <w:rFonts w:ascii="Times New Roman" w:hAnsi="Times New Roman" w:eastAsia="Times New Roman"/>
          <w:i/>
          <w:sz w:val="24"/>
        </w:rPr>
        <w:t>r</w:t>
      </w:r>
      <w:r>
        <w:rPr>
          <w:rFonts w:ascii="Times New Roman" w:hAnsi="Times New Roman" w:eastAsia="Times New Roman"/>
          <w:sz w:val="24"/>
        </w:rPr>
        <w:t xml:space="preserve"> = −.131 vs. non-Asia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and the Outcome-Type × Extraversion subgroup contrast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contributes a more nuanced descriptive picture of how social presence and cultural context appear to moderate personality-achievement associations. We emphasise that both subgroup contrasts are based on a very small number of studies per level (in some cases two to three) and that the same small set of studies enters both contrasts; the contrasts should therefore be read as exploratory descriptive patterns rather than as confirmatory tests of interaction. The face-to-face literature has consistently reported near-null Extraversion effects on tertiary academic achievement (Chen et al., 2025; Poropat, 2009), with the few modest positive effects concentrated in elementary/middle school contexts where classroom participation is more salient (Mammadov, 2022). In online environments, the present primary estimate converges with this face-to-face pattern but appears to decompose into a negative effect in Asian samples and objective outcomes and a positive effect in self-rated outcomes. This pattern is consistent with two exploratory hypotheses — (a) that extraverts may be disadvantaged in collectivistic online contexts where social interaction is most constrained, and (b) that self-rated performance may be subject to an extraversion-linked self-enhancement bias — but the present evidence base is too small to discriminate between these explanations and alternative explanations (sampling, instrument, or outcome-domain confounds). The descriptive Outcome-Type contrast is a potentially useful methodological observation, in that it suggests prior single-outcome studies may have produced divergent Extraversion estimates partly because they differentially sampled objective vs. self-rated indicators; this descriptive pattern would, however, need confirmation in primary research that simultaneously collects both outcome types within the same learners. The descriptive pattern is directionally consistent with person-environment fit models of personality expression in technology-mediated contexts and with self-enhancement models of self-report methodology (Paulhus, 1998), but cannot by itself be taken as evidence for either model.</w:t>
      </w:r>
    </w:p>
    <w:p>
      <w:pPr>
        <w:spacing w:line="480" w:lineRule="auto" w:before="0" w:after="0"/>
        <w:ind w:firstLine="720"/>
      </w:pPr>
      <w:r>
        <w:rPr>
          <w:rFonts w:ascii="Times New Roman" w:hAnsi="Times New Roman" w:eastAsia="Times New Roman"/>
          <w:sz w:val="24"/>
        </w:rPr>
        <w:t xml:space="preserve">Third, the descriptive cultural moderator patterns — a directionally amplified Agreeableness estimate and a directionally negative Extraversion estimate in Asian samples — are directionally consistent with face-to-face cultural-moderator findings reported by Mammadov (2022) and Chen et al. (2025), but the present online </w:t>
      </w:r>
      <w:r>
        <w:rPr>
          <w:rFonts w:ascii="Times New Roman" w:hAnsi="Times New Roman" w:eastAsia="Times New Roman"/>
          <w:i/>
          <w:sz w:val="24"/>
        </w:rPr>
        <w:t>k</w:t>
      </w:r>
      <w:r>
        <w:rPr>
          <w:rFonts w:ascii="Times New Roman" w:hAnsi="Times New Roman" w:eastAsia="Times New Roman"/>
          <w:sz w:val="24"/>
        </w:rPr>
        <w:t xml:space="preserve"> is too small to constitute replication in any strong sense. The Asian Agreeableness pooled estimate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did not reach significance in the present </w:t>
      </w:r>
      <w:r>
        <w:rPr>
          <w:rFonts w:ascii="Times New Roman" w:hAnsi="Times New Roman" w:eastAsia="Times New Roman"/>
          <w:i/>
          <w:sz w:val="24"/>
        </w:rPr>
        <w:t>k</w:t>
      </w:r>
      <w:r>
        <w:rPr>
          <w:rFonts w:ascii="Times New Roman" w:hAnsi="Times New Roman" w:eastAsia="Times New Roman"/>
          <w:sz w:val="24"/>
        </w:rPr>
        <w:t xml:space="preserve"> = 2 Asian subsample, and the larger pooled Agreeableness estimate is itself fragile to the exclusion of the single Chinese MOOC sample (Yu, 2021) that dominates the Asian subset. At most, the present synthesis can be read as offering directional consistency with the proposition that the cultural mechanism documented in face-to-face syntheses (individualism vs. collectivism; competitive vs. cooperative classroom norms) may also operate in online environments. The tentative implications for online course design in East Asian institutional contexts are addressed cautiously under Practical Implications.</w:t>
      </w:r>
    </w:p>
    <w:p>
      <w:pPr>
        <w:spacing w:line="480" w:lineRule="auto" w:before="0" w:after="0"/>
        <w:ind w:firstLine="720"/>
      </w:pPr>
      <w:r>
        <w:rPr>
          <w:rFonts w:ascii="Times New Roman" w:hAnsi="Times New Roman" w:eastAsia="Times New Roman"/>
          <w:sz w:val="24"/>
        </w:rPr>
        <w:t xml:space="preserve">Fourth, the era moderator analysis did not reveal significant pre-COVID vs. COVID-era differences for any trait. In particular,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 .716), contrary to the theoretical expectation that emergency remote teaching during COVID lockdowns would amplify the importance of Conscientiousness as a self-regulation buffer. This null era-moderation, combined with the generally lower Conscientiousness magnitude compared to face-to-face benchmarks, is consistent with a hypothesis that the online environment itself—independent of era—attenuates the visible behavioral channels through which Conscientiousness is expressed academically. The post-COVID era could not be evaluated quantitatively because no post-COVID study contributed correlations to the primary pool (</w:t>
      </w:r>
      <w:r>
        <w:rPr>
          <w:rFonts w:ascii="Times New Roman" w:hAnsi="Times New Roman" w:eastAsia="Times New Roman"/>
          <w:i/>
          <w:sz w:val="24"/>
        </w:rPr>
        <w:t>k</w:t>
      </w:r>
      <w:r>
        <w:rPr>
          <w:rFonts w:ascii="Times New Roman" w:hAnsi="Times New Roman" w:eastAsia="Times New Roman"/>
          <w:sz w:val="24"/>
        </w:rPr>
        <w:t xml:space="preserve"> = 0 in the moderator analysis, with 4 post-COVID studies retained for qualitative synthesis only); future meta-analytic updates should reassess this pattern as the post-COVID primary literature matures.</w:t>
      </w:r>
    </w:p>
    <w:p>
      <w:pPr>
        <w:pStyle w:val="Heading2"/>
        <w:spacing w:line="480" w:lineRule="auto" w:before="0" w:after="0"/>
      </w:pPr>
      <w:r>
        <w:t>Tentative Practical Implications</w:t>
      </w:r>
    </w:p>
    <w:p>
      <w:pPr>
        <w:spacing w:line="480" w:lineRule="auto" w:before="0" w:after="0"/>
        <w:ind w:firstLine="720"/>
      </w:pPr>
      <w:r>
        <w:rPr>
          <w:rFonts w:ascii="Times New Roman" w:hAnsi="Times New Roman" w:eastAsia="Times New Roman"/>
          <w:sz w:val="24"/>
        </w:rPr>
        <w:t>We note up front that the practical implications below are best read as tentative working hypotheses rather than as actionable design or pedagogical recommendations. The primary achievement pool is small (</w:t>
      </w:r>
      <w:r>
        <w:rPr>
          <w:rFonts w:ascii="Times New Roman" w:hAnsi="Times New Roman" w:eastAsia="Times New Roman"/>
          <w:i/>
          <w:sz w:val="24"/>
        </w:rPr>
        <w:t>k</w:t>
      </w:r>
      <w:r>
        <w:rPr>
          <w:rFonts w:ascii="Times New Roman" w:hAnsi="Times New Roman" w:eastAsia="Times New Roman"/>
          <w:sz w:val="24"/>
        </w:rPr>
        <w:t xml:space="preserve"> = 10), heterogeneity is moderate to high for most traits, prediction intervals cross zero for all traits except Conscientiousness, and the two moderator contrasts that drive the modality-related implications below rest on a very small number of studies per subgroup (in some cases two to three). Practitioners and educational technology developers should not use the present synthesis as a sole basis for design or instructional decisions, and any of the implications below should be validated against larger and more linguistically inclusive future syntheses before being operationalised.</w:t>
      </w:r>
    </w:p>
    <w:p>
      <w:pPr>
        <w:spacing w:line="480" w:lineRule="auto" w:before="0" w:after="0"/>
        <w:ind w:firstLine="720"/>
      </w:pPr>
      <w:r>
        <w:rPr>
          <w:rFonts w:ascii="Times New Roman" w:hAnsi="Times New Roman" w:eastAsia="Times New Roman"/>
          <w:sz w:val="24"/>
        </w:rPr>
        <w:t>Subject to those caveats, the preserved (albeit slightly reduced) Conscientiousness effect (</w:t>
      </w:r>
      <w:r>
        <w:rPr>
          <w:rFonts w:ascii="Times New Roman" w:hAnsi="Times New Roman" w:eastAsia="Times New Roman"/>
          <w:i/>
          <w:sz w:val="24"/>
        </w:rPr>
        <w:t>r</w:t>
      </w:r>
      <w:r>
        <w:rPr>
          <w:rFonts w:ascii="Times New Roman" w:hAnsi="Times New Roman" w:eastAsia="Times New Roman"/>
          <w:sz w:val="24"/>
        </w:rPr>
        <w:t xml:space="preserve"> = .167) is consistent with the broadly held expectation that features supporting self-regulated learning—structured scheduling tools, progress tracking, deadline reminders, and LMS engagement analytics—are likely to benefit learners who are lower in Conscientiousness. This is also the implication that draws on the most stable finding in the present synthesis (Conscientiousness is the only trait whose 95% prediction interval does not include zero), and is therefore the implication for which the present evidence base provides the least tentative support.</w:t>
      </w:r>
    </w:p>
    <w:p>
      <w:pPr>
        <w:spacing w:line="480" w:lineRule="auto" w:before="0" w:after="0"/>
        <w:ind w:firstLine="720"/>
      </w:pPr>
      <w:r>
        <w:rPr>
          <w:rFonts w:ascii="Times New Roman" w:hAnsi="Times New Roman" w:eastAsia="Times New Roman"/>
          <w:sz w:val="24"/>
        </w:rPr>
        <w:t>The exploratory subgroup finding that the Extraversion-achievement association is negative in Asian samples and in objective outcomes — and positive in non-Asian samples and in self-rated outcomes — may be hypothesised, on the present evidence, to imply that (a) intentional incorporation of synchronous elements in fully asynchronous Asian-context courses may partially restore the social channels through which extraverted learners express engagement, and (b) self-rated performance metrics in online contexts may be subject to extraversion-related self-enhancement and should be triangulated with objective indicators where possible. We emphasise, however, that the Region and Outcome-Type subgroup contrasts are based on as few as two studies per level on at least one side of the contrast; that the Asian subset includes Middle Eastern samples whose theoretical positioning relative to East Asian collectivism is debated; and that the English-language restriction means a non-trivial fraction of the underlying Asian-context literature was implicitly excluded. These implications should therefore be treated as exploratory leads for primary-research replication rather than as established practical guidance.</w:t>
      </w:r>
    </w:p>
    <w:p>
      <w:pPr>
        <w:spacing w:line="480" w:lineRule="auto" w:before="0" w:after="0"/>
        <w:ind w:firstLine="720"/>
      </w:pPr>
      <w:r>
        <w:rPr>
          <w:rFonts w:ascii="Times New Roman" w:hAnsi="Times New Roman" w:eastAsia="Times New Roman"/>
          <w:sz w:val="24"/>
        </w:rPr>
        <w:t>The larger-than-expected Agreeableness pooled estimate (</w:t>
      </w:r>
      <w:r>
        <w:rPr>
          <w:rFonts w:ascii="Times New Roman" w:hAnsi="Times New Roman" w:eastAsia="Times New Roman"/>
          <w:i/>
          <w:sz w:val="24"/>
        </w:rPr>
        <w:t>r</w:t>
      </w:r>
      <w:r>
        <w:rPr>
          <w:rFonts w:ascii="Times New Roman" w:hAnsi="Times New Roman" w:eastAsia="Times New Roman"/>
          <w:sz w:val="24"/>
        </w:rPr>
        <w:t xml:space="preserve"> = .112) is driven primarily by a single Chinese MOOC sample (Yu, 2021); the pre-specified single-study leave-one-out sensitivity analysis showed that excluding this study substantially attenuates the Agreeableness effect. The Agreeableness finding is therefore one of the most fragile in the synthesis and should not, by itself, motivate cooperative-learning design recommendations. Convergent narrative evidence from other East Asian and Israeli studies is directionally consistent but not by itself sufficient to establish a robust cooperative-learning implication. The failure to support an amplified Openness effect suggests, tentatively, that exploration-oriented features of online environments do not currently translate into consistent achievement advantages for high-Openness learners — possibly reflecting the standardization of online assessment and the constrained range of exploration afforded by most institutional LMS platforms — but this null is itself based on a very small primary pool and should be revisited as the literature grows.</w:t>
      </w:r>
    </w:p>
    <w:p>
      <w:pPr>
        <w:pStyle w:val="Heading2"/>
        <w:spacing w:line="480" w:lineRule="auto" w:before="0" w:after="0"/>
      </w:pPr>
      <w:r>
        <w:t>Distinguishing Robust from Fragile Findings</w:t>
      </w:r>
    </w:p>
    <w:p>
      <w:pPr>
        <w:spacing w:line="480" w:lineRule="auto" w:before="0" w:after="0"/>
        <w:ind w:firstLine="720"/>
      </w:pPr>
      <w:r>
        <w:rPr>
          <w:rFonts w:ascii="Times New Roman" w:hAnsi="Times New Roman" w:eastAsia="Times New Roman"/>
          <w:sz w:val="24"/>
        </w:rPr>
        <w:t>Given the small primary pool, the wide prediction intervals around most pooled estimates, and the fact that several findings change appreciably under pre-specified sensitivity analyses, it is important to distinguish in the discussion above between findings that are relatively robust across analytic choices and findings that are fragile and dependent on specific decisions about effect-size conversion, individual study inclusion, or moderator coding.</w:t>
      </w:r>
    </w:p>
    <w:p>
      <w:pPr>
        <w:spacing w:line="480" w:lineRule="auto" w:before="0" w:after="0"/>
        <w:ind w:firstLine="720"/>
      </w:pPr>
      <w:r>
        <w:rPr>
          <w:rFonts w:ascii="Times New Roman" w:hAnsi="Times New Roman" w:eastAsia="Times New Roman"/>
          <w:sz w:val="24"/>
        </w:rPr>
        <w:t xml:space="preserve">The most robust finding is the positive Conscientiousness-achievement association (pooled </w:t>
      </w:r>
      <w:r>
        <w:rPr>
          <w:rFonts w:ascii="Times New Roman" w:hAnsi="Times New Roman" w:eastAsia="Times New Roman"/>
          <w:i/>
          <w:sz w:val="24"/>
        </w:rPr>
        <w:t>r</w:t>
      </w:r>
      <w:r>
        <w:rPr>
          <w:rFonts w:ascii="Times New Roman" w:hAnsi="Times New Roman" w:eastAsia="Times New Roman"/>
          <w:sz w:val="24"/>
        </w:rPr>
        <w:t xml:space="preserve"> = .167). Conscientiousness is the only trait whose 95% prediction interval does not include zero, the pooled estimate is stable under the leave-one-out, β-conversion-exclusion, risk-of-bias-exclusion, and author's-own-study-exclusion sensitivity analyses, and the direction and approximate magnitude are convergent with all eight prior face-to-face meta-analyses (range </w:t>
      </w:r>
      <w:r>
        <w:rPr>
          <w:rFonts w:ascii="Times New Roman" w:hAnsi="Times New Roman" w:eastAsia="Times New Roman"/>
          <w:i/>
          <w:sz w:val="24"/>
        </w:rPr>
        <w:t>ρ</w:t>
      </w:r>
      <w:r>
        <w:rPr>
          <w:rFonts w:ascii="Times New Roman" w:hAnsi="Times New Roman" w:eastAsia="Times New Roman"/>
          <w:sz w:val="24"/>
        </w:rPr>
        <w:t xml:space="preserve"> = .19–.28). Although the online magnitude is somewhat attenuated relative to these face-to-face benchmarks — a feature of the data that is consistent with the Personality-Achievement Saturation Hypothesis — the positivity and approximate size of the Conscientiousness effect should be regarded as a relatively robust feature of the present synthesis.</w:t>
      </w:r>
    </w:p>
    <w:p>
      <w:pPr>
        <w:spacing w:line="480" w:lineRule="auto" w:before="0" w:after="0"/>
        <w:ind w:firstLine="720"/>
      </w:pPr>
      <w:r>
        <w:rPr>
          <w:rFonts w:ascii="Times New Roman" w:hAnsi="Times New Roman" w:eastAsia="Times New Roman"/>
          <w:sz w:val="24"/>
        </w:rPr>
        <w:t>By contrast, the following findings are fragile and should be treated with substantially greater caution: (i) the pooled Agreeableness estimate (</w:t>
      </w:r>
      <w:r>
        <w:rPr>
          <w:rFonts w:ascii="Times New Roman" w:hAnsi="Times New Roman" w:eastAsia="Times New Roman"/>
          <w:i/>
          <w:sz w:val="24"/>
        </w:rPr>
        <w:t>r</w:t>
      </w:r>
      <w:r>
        <w:rPr>
          <w:rFonts w:ascii="Times New Roman" w:hAnsi="Times New Roman" w:eastAsia="Times New Roman"/>
          <w:sz w:val="24"/>
        </w:rPr>
        <w:t xml:space="preserve"> = .112), which is driven primarily by a single Chinese MOOC sample (Yu, 2021) and attenuates appreciably in the leave-one-out sensitivity analysis; (ii) the null Extraversion pooled estimate (</w:t>
      </w:r>
      <w:r>
        <w:rPr>
          <w:rFonts w:ascii="Times New Roman" w:hAnsi="Times New Roman" w:eastAsia="Times New Roman"/>
          <w:i/>
          <w:sz w:val="24"/>
        </w:rPr>
        <w:t>r</w:t>
      </w:r>
      <w:r>
        <w:rPr>
          <w:rFonts w:ascii="Times New Roman" w:hAnsi="Times New Roman" w:eastAsia="Times New Roman"/>
          <w:sz w:val="24"/>
        </w:rPr>
        <w:t xml:space="preserve"> = .002), which masks high between-subgroup heterogeneity and changes sign in the Region and Outcome-Type subgroups; (iii) the Extraversion × Region and Extraversion × Outcome Type subgroup contrasts themselves, which rest on as few as two studies per subgroup on at least one side and which involve the same set of small studies entering both contrasts; and (iv) the pooled estimates for Openness and Neuroticism, both of which have prediction intervals crossing zero by a wide margin and whose direction or magnitude shift under the β-conversion-exclusion sensitivity analysis. Readers should interpret discussion points that depend on these fragile findings — including the Agreeableness-cooperation hypothesis, the Asian-Extraversion-design hypothesis, and the Outcome-Type-self-enhancement hypothesis above — as exploratory rather than confirmatory, and should not assign them the same weight in narrative synthesis as the more robust Conscientiousness finding.</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 xml:space="preserve">The present review has several methodological strengths. First, it is the first quantitative meta-analytic synthesis dedicated to online learning environments, filling a documented gap in the Big Five–achievement literature acknowledged by eight prior meta-analyses (Chen et al., 2025; Mammadov, 2022; McAbee &amp; Oswald, 2013; Meyer et al., 2023; Poropat, 2009; Stajkovic et al., 2018; Vedel, 2014; Zell &amp; Lesick, 2022) and one narrative review (Hunter et al., 2025). Second, the review was pre-registered on OSF Registries prior to formal data extraction, with full protocol, search log, extraction form, and analysis code publicly deposited for independent verification. Third, the analysis incorporates robust variance estimation and Hartung-Knapp-Sidik-Jonkman confidence interval adjustment, which address known limitations of small-k meta-analytic designs. Fourth, pre-specified sensitivity analyses comprehensively probed the robustness of findings to effect-size conversion, HEXACO-to-Big-Five mapping, risk-of-bias exclusion, the author's own prior study, small-sample exclusion, leave-one-out influence, and alternative </w:t>
      </w:r>
      <w:r>
        <w:rPr>
          <w:rFonts w:ascii="Times New Roman" w:hAnsi="Times New Roman" w:eastAsia="Times New Roman"/>
          <w:i/>
          <w:sz w:val="24"/>
        </w:rPr>
        <w:t>τ²</w:t>
      </w:r>
      <w:r>
        <w:rPr>
          <w:rFonts w:ascii="Times New Roman" w:hAnsi="Times New Roman" w:eastAsia="Times New Roman"/>
          <w:sz w:val="24"/>
        </w:rPr>
        <w:t xml:space="preserve"> estimators.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The review has several substantive limitations that materially constrain the strength of the conclusions and that should be kept in mind by readers. First, the number of primary studies contributing to the pooled achievement analyses (</w:t>
      </w:r>
      <w:r>
        <w:rPr>
          <w:rFonts w:ascii="Times New Roman" w:hAnsi="Times New Roman" w:eastAsia="Times New Roman"/>
          <w:i/>
          <w:sz w:val="24"/>
        </w:rPr>
        <w:t>k</w:t>
      </w:r>
      <w:r>
        <w:rPr>
          <w:rFonts w:ascii="Times New Roman" w:hAnsi="Times New Roman" w:eastAsia="Times New Roman"/>
          <w:sz w:val="24"/>
        </w:rPr>
        <w:t xml:space="preserve"> = 10, with 6 contributing direct Pearson correlations and 4 contributing β-converted correlations via the Peterson and Brown (2005) transformation) is at the lower bound of what is generally considered adequate for robust random-effects estimation (Borenstein et al., 2021). With a primary pool of this size, pooled estimates are unstable, heterogeneity is poorly estimated, prediction intervals are wide, and the present synthesis must be regarded as preliminary rather than definitive. Although the pre-specified moderator analyses were designed under the assumption of a larger corpus, the effective </w:t>
      </w:r>
      <w:r>
        <w:rPr>
          <w:rFonts w:ascii="Times New Roman" w:hAnsi="Times New Roman" w:eastAsia="Times New Roman"/>
          <w:i/>
          <w:sz w:val="24"/>
        </w:rPr>
        <w:t>k</w:t>
      </w:r>
      <w:r>
        <w:rPr>
          <w:rFonts w:ascii="Times New Roman" w:hAnsi="Times New Roman" w:eastAsia="Times New Roman"/>
          <w:sz w:val="24"/>
        </w:rPr>
        <w:t xml:space="preserve"> per moderator level fell below the recommended threshold for several moderators, necessitating narrative rather than quantitative reporting for those analyses. Where moderator subgroup analyses were conducted, the very small </w:t>
      </w:r>
      <w:r>
        <w:rPr>
          <w:rFonts w:ascii="Times New Roman" w:hAnsi="Times New Roman" w:eastAsia="Times New Roman"/>
          <w:i/>
          <w:sz w:val="24"/>
        </w:rPr>
        <w:t>k</w:t>
      </w:r>
      <w:r>
        <w:rPr>
          <w:rFonts w:ascii="Times New Roman" w:hAnsi="Times New Roman" w:eastAsia="Times New Roman"/>
          <w:sz w:val="24"/>
        </w:rPr>
        <w:t xml:space="preserve"> per level (in some cases as few as two studies per subgroup) further limits the inferences that can be drawn from the subgroup contrasts; the moderator-effect estimates reported should be treated as exploratory rather than confirmatory.</w:t>
      </w:r>
    </w:p>
    <w:p>
      <w:pPr>
        <w:spacing w:line="480" w:lineRule="auto" w:before="0" w:after="0"/>
        <w:ind w:firstLine="720"/>
      </w:pPr>
      <w:r>
        <w:rPr>
          <w:rFonts w:ascii="Times New Roman" w:hAnsi="Times New Roman" w:eastAsia="Times New Roman"/>
          <w:sz w:val="24"/>
        </w:rPr>
        <w:t>Second, the protocol specified six bibliographic databases (PubMed/MEDLINE, PsycINFO, ERIC, Web of Science, Scopus, and ProQuest Dissertations), but the execution environment lacked institutional access to the subscription-gated databases and did not permit direct API access to several open databases. The search was therefore executed via the WebSearch interface (Google-based) and supplemented by ERIC web search and open-access repository retrieval, with forward and backward citation snowballing from included studies and from prior meta-analyses. Although this deviation is transparently disclosed in Methods and in the search-strategy supplement, it represents a real departure from the pre-registered plan. The WebSearch route does not provide controlled-vocabulary (MeSH/thesaurus) indexing or per-database hit accounting in the same way that direct database searches do, and the lack of full PsycINFO and ProQuest Dissertations coverage means that a non-trivial number of potentially eligible non-English-language studies, dissertations, and grey-literature reports may have been missed. Combined with the English-language restriction (point five below), this limitation should reduce reader confidence in the comprehensiveness of the corpus, and the present synthesis should not be treated as an exhaustive census of the underlying literature. A replication search using full institutional access to the pre-registered databases is planned for a subsequent manuscript version.</w:t>
      </w:r>
    </w:p>
    <w:p>
      <w:pPr>
        <w:spacing w:line="480" w:lineRule="auto" w:before="0" w:after="0"/>
        <w:ind w:firstLine="720"/>
      </w:pPr>
      <w:r>
        <w:rPr>
          <w:rFonts w:ascii="Times New Roman" w:hAnsi="Times New Roman" w:eastAsia="Times New Roman"/>
          <w:sz w:val="24"/>
        </w:rPr>
        <w:t xml:space="preserve">Third, the review was conducted by a single reviewer, deviating from the Cochrane and PRISMA 2020 recommendation of two independent reviewers at the screening, full-text assessment, and data-extraction stages. Intra-rater reliability was assessed at each stage with target κ ≥ 0.80 met in each case, but intra-rater reliability cannot replicate inter-rater independence; single-reviewer workflows are known to be susceptible to systematic biases (e.g., confirmation effects in study inclusion, drift in extraction conventions) that intra-rater checks cannot fully detect. Readers should weight this limitation when interpreting the boundary decisions documented in the screening ledger. Fourth, the English-language restriction excluded a potentially informative body of non-English primary literature, particularly Chinese-, Japanese-, Korean-, and Spanish-language work where the personality-achievement association in online contexts is theoretically interesting. This restriction is especially consequential for the moderator findings concerning East Asian and Middle Eastern samples reported below, because the subset of non-English regional work that was implicitly excluded is precisely the work most likely to clarify those moderator effects. Fifth, the included studies varied substantially in their outcome operationalizations: some used objective GPA or standardized exam scores, others used self-reported achievement, course satisfaction, engagement composites, or LMS-behavior indicators. This heterogeneity limits the precision of the pooled effects, inflates observed </w:t>
      </w:r>
      <w:r>
        <w:rPr>
          <w:rFonts w:ascii="Times New Roman" w:hAnsi="Times New Roman" w:eastAsia="Times New Roman"/>
          <w:i/>
          <w:sz w:val="24"/>
        </w:rPr>
        <w:t>I²</w:t>
      </w:r>
      <w:r>
        <w:rPr>
          <w:rFonts w:ascii="Times New Roman" w:hAnsi="Times New Roman" w:eastAsia="Times New Roman"/>
          <w:sz w:val="24"/>
        </w:rPr>
        <w:t xml:space="preserve"> values, and almost certainly contributes to the wide prediction intervals reported in the Results section.</w:t>
      </w:r>
    </w:p>
    <w:p>
      <w:pPr>
        <w:spacing w:line="480" w:lineRule="auto" w:before="0" w:after="0"/>
        <w:ind w:firstLine="720"/>
      </w:pPr>
      <w:r>
        <w:rPr>
          <w:rFonts w:ascii="Times New Roman" w:hAnsi="Times New Roman" w:eastAsia="Times New Roman"/>
          <w:sz w:val="24"/>
        </w:rPr>
        <w:t>Sixth, the author's own prior primary study (Tokiwa, 2025) was included in the qualitative-synthesis retained set as a potentially eligible record. A pre-specified sensitivity analysis excluding this study did not alter the pooled estimates (|Δr| &lt; .001 for every trait) because Tokiwa (2025) did not contribute extractable zero-order correlations to the primary quantitative pool; both the primary and sensitivity results are reported transparently in Table 4 for reader scrutiny. Seventh, the synthesis treats the Big Five dimensions as the principal unit of measurement; facet-level analyses—e.g., distinguishing Industriousness from Orderliness within Conscientiousness—were not feasible given that few primary studies report facet-level statistics. Facet-level syntheses represent an important avenue for future research, particularly given indirect evidence that specific facets (e.g., Industriousness) may drive the overall Conscientiousness effect in online contexts.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rPr>
        <w:t>Several directions for future research emerge from the present findings. First, the documented Extraversion × modality interaction should be directly tested in primary research using within-subject or matched-design protocols that compare the same learners across asynchronous and synchronous online conditions. Second, facet-level primary studies using hierarchical personality inventories (e.g., BFI-2, NEO-PI-R) would enable a more granular synthesis of which Conscientiousness subfacets matter most for online self-regulated learning. Third, longitudinal designs spanning the pre-COVID, COVID, and post-COVID eras—as initiated by Zheng and Zheng (2023) within a single institution—are needed to adjudicate whether era effects reflect genuine changes in the personality-achievement mechanism or sampling artifacts. Fourth, cross-cultural replication with matched online course content and assessment would isolate the cultural-moderator contribution to the Agreeableness effect. Fifth, mediator analyses probing self-efficacy, self-regulated learning behaviors, and LMS engagement patterns would clarify the causal pathway from personality to online achievement, extending the Stajkovic et al. (2018) path-analytic framework to online contexts.</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 xml:space="preserve">The present meta-analysis provides a first, preliminary quantitative synthesis of Big Five personality traits and academic achievement in online learning environments. Because the primary achievement pool comprised only 10 studies, several with very small subgroup </w:t>
      </w:r>
      <w:r>
        <w:rPr>
          <w:rFonts w:ascii="Times New Roman" w:hAnsi="Times New Roman" w:eastAsia="Times New Roman"/>
          <w:i/>
          <w:sz w:val="24"/>
        </w:rPr>
        <w:t>k</w:t>
      </w:r>
      <w:r>
        <w:rPr>
          <w:rFonts w:ascii="Times New Roman" w:hAnsi="Times New Roman" w:eastAsia="Times New Roman"/>
          <w:sz w:val="24"/>
        </w:rPr>
        <w:t xml:space="preserve"> and with wide prediction intervals that include zero for most traits, the conclusions below are best read as tentative hypotheses to be tested in larger future syntheses rather than as established findings. The findings are broadly consistent with, but do not by themselves establish, an extension of the face-to-face pattern to online learning: Conscientiousness emerged as the most plausible positive predictor (</w:t>
      </w:r>
      <w:r>
        <w:rPr>
          <w:rFonts w:ascii="Times New Roman" w:hAnsi="Times New Roman" w:eastAsia="Times New Roman"/>
          <w:i/>
          <w:sz w:val="24"/>
        </w:rPr>
        <w:t>r</w:t>
      </w:r>
      <w:r>
        <w:rPr>
          <w:rFonts w:ascii="Times New Roman" w:hAnsi="Times New Roman" w:eastAsia="Times New Roman"/>
          <w:sz w:val="24"/>
        </w:rPr>
        <w:t xml:space="preserve"> = .167) at somewhat reduced magnitude compared to traditional classroom benchmarks; Extraversion was null on average (</w:t>
      </w:r>
      <w:r>
        <w:rPr>
          <w:rFonts w:ascii="Times New Roman" w:hAnsi="Times New Roman" w:eastAsia="Times New Roman"/>
          <w:i/>
          <w:sz w:val="24"/>
        </w:rPr>
        <w:t>r</w:t>
      </w:r>
      <w:r>
        <w:rPr>
          <w:rFonts w:ascii="Times New Roman" w:hAnsi="Times New Roman" w:eastAsia="Times New Roman"/>
          <w:sz w:val="24"/>
        </w:rPr>
        <w:t xml:space="preserve"> = .002) but with highly heterogeneous subgroup estimates that, in the subset of Asian samples and objective outcomes, were negative; Agreeableness appeared slightly larger than the face-to-face benchmark but was driven primarily by a single Chinese MOOC sample (Yu, 2021), and this finding is fragile to the exclusion of that single study; and Neuroticism and Openness effects were essentially null in the primary synthesis. The findings are consistent with the Personality-Achievement Saturation Hypothesis (Meyer et al., 2023) as a framework for understanding the online attenuation of Conscientiousness, but the present evidence base is too small to constitute strong confirmation. The exploratory cultural- and outcome-type-dependent shifts in the Extraversion effect identified here highlight a priority for future primary research, but should not yet be used to guide pedagogical practice. As online and blended instruction continues to constitute a substantial and growing share of post-secondary education globally, the present synthesis provides a preliminary empirical reference point and a baseline for continued meta-analytic monitoring as the post-COVID online learning literature matures.</w:t>
      </w:r>
    </w:p>
    <w:p>
      <w:r>
        <w:br w:type="page"/>
      </w:r>
    </w:p>
    <w:p>
      <w:pPr>
        <w:pStyle w:val="Heading1"/>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Ashouri, A., Taheri, </w:t>
      </w:r>
      <w:r>
        <w:rPr>
          <w:rFonts w:ascii="Times New Roman" w:hAnsi="Times New Roman" w:eastAsia="Times New Roman"/>
          <w:i/>
          <w:sz w:val="24"/>
        </w:rPr>
        <w:t>M</w:t>
      </w:r>
      <w:r>
        <w:rPr>
          <w:rFonts w:ascii="Times New Roman" w:hAnsi="Times New Roman" w:eastAsia="Times New Roman"/>
          <w:sz w:val="24"/>
        </w:rPr>
        <w:t xml:space="preserve">., Rasouli, </w:t>
      </w:r>
      <w:r>
        <w:rPr>
          <w:rFonts w:ascii="Times New Roman" w:hAnsi="Times New Roman" w:eastAsia="Times New Roman"/>
          <w:i/>
          <w:sz w:val="24"/>
        </w:rPr>
        <w:t>M</w:t>
      </w:r>
      <w:r>
        <w:rPr>
          <w:rFonts w:ascii="Times New Roman" w:hAnsi="Times New Roman" w:eastAsia="Times New Roman"/>
          <w:sz w:val="24"/>
        </w:rPr>
        <w:t>., &amp; Rouhalamin, S. (2025). Personality traits and e-learning course satisfaction: A study of health science students. Cureus, 17(7), e89131.</w:t>
      </w:r>
    </w:p>
    <w:p>
      <w:pPr>
        <w:spacing w:line="480" w:lineRule="auto" w:before="0" w:after="0"/>
        <w:ind w:left="720" w:hanging="720"/>
      </w:pPr>
      <w:r>
        <w:rPr>
          <w:rFonts w:ascii="Times New Roman" w:hAnsi="Times New Roman" w:eastAsia="Times New Roman"/>
          <w:sz w:val="24"/>
        </w:rPr>
        <w:t xml:space="preserve">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Audet, É. C., Levine, S. L., Metin, E., Koestner, S., &amp; Barcan, S. (2021). Zooming their way through university: Which Big 5 traits facilitated students' adjustment to online courses during the COVID-19 pandemic. </w:t>
      </w:r>
      <w:r>
        <w:rPr>
          <w:rFonts w:ascii="Times New Roman" w:hAnsi="Times New Roman" w:eastAsia="Times New Roman"/>
          <w:i/>
          <w:sz w:val="24"/>
        </w:rPr>
        <w:t>Personality and Individual Differences, 180</w:t>
      </w:r>
      <w:r>
        <w:rPr>
          <w:rFonts w:ascii="Times New Roman" w:hAnsi="Times New Roman" w:eastAsia="Times New Roman"/>
          <w:sz w:val="24"/>
        </w:rPr>
        <w:t>, 110969. https://doi.org/10.1016/j.paid.2021.110969</w:t>
      </w:r>
    </w:p>
    <w:p>
      <w:pPr>
        <w:spacing w:line="480" w:lineRule="auto" w:before="0" w:after="0"/>
        <w:ind w:left="720" w:hanging="720"/>
      </w:pPr>
      <w:r>
        <w:rPr>
          <w:rFonts w:ascii="Times New Roman" w:hAnsi="Times New Roman" w:eastAsia="Times New Roman"/>
          <w:sz w:val="24"/>
        </w:rPr>
        <w:t xml:space="preserve">Audet, É. C., Levine, S. L., Dubois, P., Koestner, S., &amp; Koestner, R. (2023). The unanticipated virtual year: How the Big 5 personality traits of openness to experience and conscientiousness impacted engagement in online classes during the COVID-19 crisis. </w:t>
      </w:r>
      <w:r>
        <w:rPr>
          <w:rFonts w:ascii="Times New Roman" w:hAnsi="Times New Roman" w:eastAsia="Times New Roman"/>
          <w:i/>
          <w:sz w:val="24"/>
        </w:rPr>
        <w:t>Journal of College Reading and Learning, 53</w:t>
      </w:r>
      <w:r>
        <w:rPr>
          <w:rFonts w:ascii="Times New Roman" w:hAnsi="Times New Roman" w:eastAsia="Times New Roman"/>
          <w:sz w:val="24"/>
        </w:rPr>
        <w:t>(4), 298–315. https://doi.org/10.1080/10790195.2023.2250402</w:t>
      </w:r>
    </w:p>
    <w:p>
      <w:pPr>
        <w:spacing w:line="480" w:lineRule="auto" w:before="0" w:after="0"/>
        <w:ind w:left="720" w:hanging="720"/>
      </w:pPr>
      <w:r>
        <w:rPr>
          <w:rFonts w:ascii="Times New Roman" w:hAnsi="Times New Roman" w:eastAsia="Times New Roman"/>
          <w:sz w:val="24"/>
        </w:rPr>
        <w:t xml:space="preserve">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Baruth, O., &amp; Cohen, A. (2023). Personality and satisfaction with online courses: The relation between the Big Five personality traits and satisfaction with online learning activities. </w:t>
      </w:r>
      <w:r>
        <w:rPr>
          <w:rFonts w:ascii="Times New Roman" w:hAnsi="Times New Roman" w:eastAsia="Times New Roman"/>
          <w:i/>
          <w:sz w:val="24"/>
        </w:rPr>
        <w:t>Education and Information Technologies, 28</w:t>
      </w:r>
      <w:r>
        <w:rPr>
          <w:rFonts w:ascii="Times New Roman" w:hAnsi="Times New Roman" w:eastAsia="Times New Roman"/>
          <w:sz w:val="24"/>
        </w:rPr>
        <w:t>, 879–904. https://doi.org/10.1007/s10639-022-11199-x</w:t>
      </w:r>
    </w:p>
    <w:p>
      <w:pPr>
        <w:spacing w:line="480" w:lineRule="auto" w:before="0" w:after="0"/>
        <w:ind w:left="720" w:hanging="720"/>
      </w:pPr>
      <w:r>
        <w:rPr>
          <w:rFonts w:ascii="Times New Roman" w:hAnsi="Times New Roman" w:eastAsia="Times New Roman"/>
          <w:sz w:val="24"/>
        </w:rPr>
        <w:t xml:space="preserve">Bhagat, K. K., Wu, L. Y., &amp; Chang, C. Y. (2019). The impact of personality on students' perceptions towards online learning. </w:t>
      </w:r>
      <w:r>
        <w:rPr>
          <w:rFonts w:ascii="Times New Roman" w:hAnsi="Times New Roman" w:eastAsia="Times New Roman"/>
          <w:i/>
          <w:sz w:val="24"/>
        </w:rPr>
        <w:t>Australasian Journal of Educational Technology, 35</w:t>
      </w:r>
      <w:r>
        <w:rPr>
          <w:rFonts w:ascii="Times New Roman" w:hAnsi="Times New Roman" w:eastAsia="Times New Roman"/>
          <w:sz w:val="24"/>
        </w:rPr>
        <w:t>(4), 98–108. https://doi.org/10.14742/ajet.4162</w:t>
      </w:r>
    </w:p>
    <w:p>
      <w:pPr>
        <w:spacing w:line="480" w:lineRule="auto" w:before="0" w:after="0"/>
        <w:ind w:left="720" w:hanging="720"/>
      </w:pPr>
      <w:r>
        <w:rPr>
          <w:rFonts w:ascii="Times New Roman" w:hAnsi="Times New Roman" w:eastAsia="Times New Roman"/>
          <w:sz w:val="24"/>
        </w:rPr>
        <w:t xml:space="preserve">Bhattacharjee, R. R., &amp; Ramkumar, A. (2025). Effect of big five personality dimensions on the academic performance of college students. </w:t>
      </w:r>
      <w:r>
        <w:rPr>
          <w:rFonts w:ascii="Times New Roman" w:hAnsi="Times New Roman" w:eastAsia="Times New Roman"/>
          <w:i/>
          <w:sz w:val="24"/>
        </w:rPr>
        <w:t>Frontiers in Psychology, 16</w:t>
      </w:r>
      <w:r>
        <w:rPr>
          <w:rFonts w:ascii="Times New Roman" w:hAnsi="Times New Roman" w:eastAsia="Times New Roman"/>
          <w:sz w:val="24"/>
        </w:rPr>
        <w:t>, 1490427. https://doi.org/10.3389/fpsyg.2025.1490427</w:t>
      </w:r>
    </w:p>
    <w:p>
      <w:pPr>
        <w:spacing w:line="480" w:lineRule="auto" w:before="0" w:after="0"/>
        <w:ind w:left="720" w:hanging="720"/>
      </w:pPr>
      <w:r>
        <w:rPr>
          <w:rFonts w:ascii="Times New Roman" w:hAnsi="Times New Roman" w:eastAsia="Times New Roman"/>
          <w:sz w:val="24"/>
        </w:rPr>
        <w:t xml:space="preserve">Boonyapison, K., Sittironnarit, G., &amp; Rattanaumpawan, P. (2025). Association between the big five personalities and academic performance among grade 12 students at international high school in Thailand. </w:t>
      </w:r>
      <w:r>
        <w:rPr>
          <w:rFonts w:ascii="Times New Roman" w:hAnsi="Times New Roman" w:eastAsia="Times New Roman"/>
          <w:i/>
          <w:sz w:val="24"/>
        </w:rPr>
        <w:t>Scientific Reports, 15</w:t>
      </w:r>
      <w:r>
        <w:rPr>
          <w:rFonts w:ascii="Times New Roman" w:hAnsi="Times New Roman" w:eastAsia="Times New Roman"/>
          <w:sz w:val="24"/>
        </w:rPr>
        <w:t>, 16484. https://doi.org/10.1038/s41598-025-01038-7</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(2021). Introduction to meta-analysis (2nd ed.). John Wiley &amp; Sons.</w:t>
      </w:r>
    </w:p>
    <w:p>
      <w:pPr>
        <w:spacing w:line="480" w:lineRule="auto" w:before="0" w:after="0"/>
        <w:ind w:left="720" w:hanging="720"/>
      </w:pPr>
      <w:r>
        <w:rPr>
          <w:rFonts w:ascii="Times New Roman" w:hAnsi="Times New Roman" w:eastAsia="Times New Roman"/>
          <w:sz w:val="24"/>
        </w:rPr>
        <w:t xml:space="preserve">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Cohen, A., &amp; Baruth, O. (2017). Personality, learning, and satisfaction in fully online academic courses. </w:t>
      </w:r>
      <w:r>
        <w:rPr>
          <w:rFonts w:ascii="Times New Roman" w:hAnsi="Times New Roman" w:eastAsia="Times New Roman"/>
          <w:i/>
          <w:sz w:val="24"/>
        </w:rPr>
        <w:t>Computers in Human Behavior, 72</w:t>
      </w:r>
      <w:r>
        <w:rPr>
          <w:rFonts w:ascii="Times New Roman" w:hAnsi="Times New Roman" w:eastAsia="Times New Roman"/>
          <w:sz w:val="24"/>
        </w:rPr>
        <w:t>, 1–12. https://doi.org/10.1016/j.chb.2017.02.030</w:t>
      </w:r>
    </w:p>
    <w:p>
      <w:pPr>
        <w:spacing w:line="480" w:lineRule="auto" w:before="0" w:after="0"/>
        <w:ind w:left="720" w:hanging="720"/>
      </w:pPr>
      <w:r>
        <w:rPr>
          <w:rFonts w:ascii="Times New Roman" w:hAnsi="Times New Roman" w:eastAsia="Times New Roman"/>
          <w:sz w:val="24"/>
        </w:rPr>
        <w:t xml:space="preserve">Dang, T., Du, W., Niu, </w:t>
      </w:r>
      <w:r>
        <w:rPr>
          <w:rFonts w:ascii="Times New Roman" w:hAnsi="Times New Roman" w:eastAsia="Times New Roman"/>
          <w:i/>
          <w:sz w:val="24"/>
        </w:rPr>
        <w:t>M</w:t>
      </w:r>
      <w:r>
        <w:rPr>
          <w:rFonts w:ascii="Times New Roman" w:hAnsi="Times New Roman" w:eastAsia="Times New Roman"/>
          <w:sz w:val="24"/>
        </w:rPr>
        <w:t>., &amp; Xu, Z. (2025). The effects of personality traits on learning engagement among college students: The mediating role of emotion regulation. Frontiers in Psychology, 15, 1476437. https://doi.org/10.3389/fpsyg.2024.1476437</w:t>
      </w:r>
    </w:p>
    <w:p>
      <w:pPr>
        <w:spacing w:line="480" w:lineRule="auto" w:before="0" w:after="0"/>
        <w:ind w:left="720" w:hanging="720"/>
      </w:pPr>
      <w:r>
        <w:rPr>
          <w:rFonts w:ascii="Times New Roman" w:hAnsi="Times New Roman" w:eastAsia="Times New Roman"/>
          <w:sz w:val="24"/>
        </w:rPr>
        <w:t xml:space="preserve">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Eilam, B., Zeidner, </w:t>
      </w:r>
      <w:r>
        <w:rPr>
          <w:rFonts w:ascii="Times New Roman" w:hAnsi="Times New Roman" w:eastAsia="Times New Roman"/>
          <w:i/>
          <w:sz w:val="24"/>
        </w:rPr>
        <w:t>M</w:t>
      </w:r>
      <w:r>
        <w:rPr>
          <w:rFonts w:ascii="Times New Roman" w:hAnsi="Times New Roman" w:eastAsia="Times New Roman"/>
          <w:sz w:val="24"/>
        </w:rPr>
        <w:t>., &amp; Aharon, I. (2009). Student conscientiousness, self-regulated learning, and science achievement: An explorative field study. Psychology in the Schools, 46(5), 420–432. https://doi.org/10.1002/pits.20387</w:t>
      </w:r>
    </w:p>
    <w:p>
      <w:pPr>
        <w:spacing w:line="480" w:lineRule="auto" w:before="0" w:after="0"/>
        <w:ind w:left="720" w:hanging="720"/>
      </w:pPr>
      <w:r>
        <w:rPr>
          <w:rFonts w:ascii="Times New Roman" w:hAnsi="Times New Roman" w:eastAsia="Times New Roman"/>
          <w:sz w:val="24"/>
        </w:rPr>
        <w:t xml:space="preserve">Elvers, G. C., Polzella, D. J., &amp; Graetz, K. (2003). Procrastination in online courses: Performance and attitudinal differences. </w:t>
      </w:r>
      <w:r>
        <w:rPr>
          <w:rFonts w:ascii="Times New Roman" w:hAnsi="Times New Roman" w:eastAsia="Times New Roman"/>
          <w:i/>
          <w:sz w:val="24"/>
        </w:rPr>
        <w:t>Teaching of Psychology, 30</w:t>
      </w:r>
      <w:r>
        <w:rPr>
          <w:rFonts w:ascii="Times New Roman" w:hAnsi="Times New Roman" w:eastAsia="Times New Roman"/>
          <w:sz w:val="24"/>
        </w:rPr>
        <w:t>(2), 159–162. https://doi.org/10.1207/S15328023TOP3002_13</w:t>
      </w:r>
    </w:p>
    <w:p>
      <w:pPr>
        <w:spacing w:line="480" w:lineRule="auto" w:before="0" w:after="0"/>
        <w:ind w:left="720" w:hanging="720"/>
      </w:pPr>
      <w:r>
        <w:rPr>
          <w:rFonts w:ascii="Times New Roman" w:hAnsi="Times New Roman" w:eastAsia="Times New Roman"/>
          <w:sz w:val="24"/>
        </w:rPr>
        <w:t xml:space="preserve">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Harrer, </w:t>
      </w:r>
      <w:r>
        <w:rPr>
          <w:rFonts w:ascii="Times New Roman" w:hAnsi="Times New Roman" w:eastAsia="Times New Roman"/>
          <w:i/>
          <w:sz w:val="24"/>
        </w:rPr>
        <w:t>M</w:t>
      </w:r>
      <w:r>
        <w:rPr>
          <w:rFonts w:ascii="Times New Roman" w:hAnsi="Times New Roman" w:eastAsia="Times New Roman"/>
          <w:sz w:val="24"/>
        </w:rPr>
        <w:t>., Cuijpers, P., Furukawa, T. A., &amp; Ebert, D. D. (2021). Doing meta-analysis with R: A hands-on guide. Chapman &amp; Hall/CRC Press.</w:t>
      </w:r>
    </w:p>
    <w:p>
      <w:pPr>
        <w:spacing w:line="480" w:lineRule="auto" w:before="0" w:after="0"/>
        <w:ind w:left="720" w:hanging="720"/>
      </w:pPr>
      <w:r>
        <w:rPr>
          <w:rFonts w:ascii="Times New Roman" w:hAnsi="Times New Roman" w:eastAsia="Times New Roman"/>
          <w:sz w:val="24"/>
        </w:rPr>
        <w:t xml:space="preserve">Hidalgo-Fuentes, S., Martínez-Álvarez, I., Llamas-Salguero, </w:t>
      </w:r>
      <w:r>
        <w:rPr>
          <w:rFonts w:ascii="Times New Roman" w:hAnsi="Times New Roman" w:eastAsia="Times New Roman"/>
          <w:i/>
          <w:sz w:val="24"/>
        </w:rPr>
        <w:t>F</w:t>
      </w:r>
      <w:r>
        <w:rPr>
          <w:rFonts w:ascii="Times New Roman" w:hAnsi="Times New Roman" w:eastAsia="Times New Roman"/>
          <w:sz w:val="24"/>
        </w:rPr>
        <w:t xml:space="preserve">., Pineda-Zelaya, I. S., Merino-Soto, C., &amp; Chans, G. </w:t>
      </w:r>
      <w:r>
        <w:rPr>
          <w:rFonts w:ascii="Times New Roman" w:hAnsi="Times New Roman" w:eastAsia="Times New Roman"/>
          <w:i/>
          <w:sz w:val="24"/>
        </w:rPr>
        <w:t>M</w:t>
      </w:r>
      <w:r>
        <w:rPr>
          <w:rFonts w:ascii="Times New Roman" w:hAnsi="Times New Roman" w:eastAsia="Times New Roman"/>
          <w:sz w:val="24"/>
        </w:rPr>
        <w:t>. (2024). The role of big five traits and self-esteem on academic procrastination in Honduran and Spanish university students: A cross-cultural study. Heliyon, 10(17), e36172. https://doi.org/10.1016/j.heliyon.2024.e36172</w:t>
      </w:r>
    </w:p>
    <w:p>
      <w:pPr>
        <w:spacing w:line="480" w:lineRule="auto" w:before="0" w:after="0"/>
        <w:ind w:left="720" w:hanging="720"/>
      </w:pPr>
      <w:r>
        <w:rPr>
          <w:rFonts w:ascii="Times New Roman" w:hAnsi="Times New Roman" w:eastAsia="Times New Roman"/>
          <w:sz w:val="24"/>
        </w:rPr>
        <w:t xml:space="preserve">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Kara, A., Ergulec, </w:t>
      </w:r>
      <w:r>
        <w:rPr>
          <w:rFonts w:ascii="Times New Roman" w:hAnsi="Times New Roman" w:eastAsia="Times New Roman"/>
          <w:i/>
          <w:sz w:val="24"/>
        </w:rPr>
        <w:t>F</w:t>
      </w:r>
      <w:r>
        <w:rPr>
          <w:rFonts w:ascii="Times New Roman" w:hAnsi="Times New Roman" w:eastAsia="Times New Roman"/>
          <w:sz w:val="24"/>
        </w:rPr>
        <w:t>., &amp; Eren, E. (2024). The mediating role of self-regulated online learning behaviors: Exploring the impact of personality traits on student engagement. Education and Information Technologies, 29, 23517–23546. https://doi.org/10.1007/s10639-024-12755-3</w:t>
      </w:r>
    </w:p>
    <w:p>
      <w:pPr>
        <w:spacing w:line="480" w:lineRule="auto" w:before="0" w:after="0"/>
        <w:ind w:left="720" w:hanging="720"/>
      </w:pPr>
      <w:r>
        <w:rPr>
          <w:rFonts w:ascii="Times New Roman" w:hAnsi="Times New Roman" w:eastAsia="Times New Roman"/>
          <w:sz w:val="24"/>
        </w:rPr>
        <w:t xml:space="preserve">Kaspar, K., Burtniak, K., &amp; Rüth, </w:t>
      </w:r>
      <w:r>
        <w:rPr>
          <w:rFonts w:ascii="Times New Roman" w:hAnsi="Times New Roman" w:eastAsia="Times New Roman"/>
          <w:i/>
          <w:sz w:val="24"/>
        </w:rPr>
        <w:t>M</w:t>
      </w:r>
      <w:r>
        <w:rPr>
          <w:rFonts w:ascii="Times New Roman" w:hAnsi="Times New Roman" w:eastAsia="Times New Roman"/>
          <w:sz w:val="24"/>
        </w:rPr>
        <w:t>. (2023). Online learning during the Covid-19 pandemic: How university students' perceptions, engagement, and performance are related to their personal characteristics. Current Psychology. Advance online publication. https://doi.org/10.1007/s12144-023-04403-9</w:t>
      </w:r>
    </w:p>
    <w:p>
      <w:pPr>
        <w:spacing w:line="480" w:lineRule="auto" w:before="0" w:after="0"/>
        <w:ind w:left="720" w:hanging="720"/>
      </w:pPr>
      <w:r>
        <w:rPr>
          <w:rFonts w:ascii="Times New Roman" w:hAnsi="Times New Roman" w:eastAsia="Times New Roman"/>
          <w:sz w:val="24"/>
        </w:rPr>
        <w:t xml:space="preserve">Keller, H., &amp; Karau, S. J. (2013). The importance of personality in students' perceptions of the online learning experience. </w:t>
      </w:r>
      <w:r>
        <w:rPr>
          <w:rFonts w:ascii="Times New Roman" w:hAnsi="Times New Roman" w:eastAsia="Times New Roman"/>
          <w:i/>
          <w:sz w:val="24"/>
        </w:rPr>
        <w:t>Computers in Human Behavior, 29</w:t>
      </w:r>
      <w:r>
        <w:rPr>
          <w:rFonts w:ascii="Times New Roman" w:hAnsi="Times New Roman" w:eastAsia="Times New Roman"/>
          <w:sz w:val="24"/>
        </w:rPr>
        <w:t>(6), 2494–2500. https://doi.org/10.1016/j.chb.2013.06.007</w:t>
      </w:r>
    </w:p>
    <w:p>
      <w:pPr>
        <w:spacing w:line="480" w:lineRule="auto" w:before="0" w:after="0"/>
        <w:ind w:left="720" w:hanging="720"/>
      </w:pPr>
      <w:r>
        <w:rPr>
          <w:rFonts w:ascii="Times New Roman" w:hAnsi="Times New Roman" w:eastAsia="Times New Roman"/>
          <w:sz w:val="24"/>
        </w:rPr>
        <w:t xml:space="preserve">MacLean, K. A. (2022). </w:t>
      </w:r>
      <w:r>
        <w:rPr>
          <w:rFonts w:ascii="Times New Roman" w:hAnsi="Times New Roman" w:eastAsia="Times New Roman"/>
          <w:i/>
          <w:sz w:val="24"/>
        </w:rPr>
        <w:t>Endorsed, or just enforced? Personality and preferences for online learning during COVID-19</w:t>
      </w:r>
      <w:r>
        <w:rPr>
          <w:rFonts w:ascii="Times New Roman" w:hAnsi="Times New Roman" w:eastAsia="Times New Roman"/>
          <w:sz w:val="24"/>
        </w:rPr>
        <w:t xml:space="preserve"> [Master's thesis, University of Calgary]. PRISM Repository.</w:t>
      </w:r>
    </w:p>
    <w:p>
      <w:pPr>
        <w:spacing w:line="480" w:lineRule="auto" w:before="0" w:after="0"/>
        <w:ind w:left="720" w:hanging="720"/>
      </w:pPr>
      <w:r>
        <w:rPr>
          <w:rFonts w:ascii="Times New Roman" w:hAnsi="Times New Roman" w:eastAsia="Times New Roman"/>
          <w:sz w:val="24"/>
        </w:rPr>
        <w:t xml:space="preserve">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Mustafa, S., Qiao, Y., Yan, X., Anwar, A., Hao, T., &amp; Rana, S. (2022). Digital students' satisfaction with and intention to use online teaching modes, role of Big Five personality traits. </w:t>
      </w:r>
      <w:r>
        <w:rPr>
          <w:rFonts w:ascii="Times New Roman" w:hAnsi="Times New Roman" w:eastAsia="Times New Roman"/>
          <w:i/>
          <w:sz w:val="24"/>
        </w:rPr>
        <w:t>Frontiers in Psychology, 13</w:t>
      </w:r>
      <w:r>
        <w:rPr>
          <w:rFonts w:ascii="Times New Roman" w:hAnsi="Times New Roman" w:eastAsia="Times New Roman"/>
          <w:sz w:val="24"/>
        </w:rPr>
        <w:t>, 956281. https://doi.org/10.3389/fpsyg.2022.956281</w:t>
      </w:r>
    </w:p>
    <w:p>
      <w:pPr>
        <w:spacing w:line="480" w:lineRule="auto" w:before="0" w:after="0"/>
        <w:ind w:left="720" w:hanging="720"/>
      </w:pPr>
      <w:r>
        <w:rPr>
          <w:rFonts w:ascii="Times New Roman" w:hAnsi="Times New Roman" w:eastAsia="Times New Roman"/>
          <w:sz w:val="24"/>
        </w:rPr>
        <w:t xml:space="preserve">Nakayama, </w:t>
      </w:r>
      <w:r>
        <w:rPr>
          <w:rFonts w:ascii="Times New Roman" w:hAnsi="Times New Roman" w:eastAsia="Times New Roman"/>
          <w:i/>
          <w:sz w:val="24"/>
        </w:rPr>
        <w:t>M</w:t>
      </w:r>
      <w:r>
        <w:rPr>
          <w:rFonts w:ascii="Times New Roman" w:hAnsi="Times New Roman" w:eastAsia="Times New Roman"/>
          <w:sz w:val="24"/>
        </w:rPr>
        <w:t>., Mutsuura, K., &amp; Yamamoto, H. (2014). Impact of learner's characteristics and learning behaviour on learning performance during a fully online course. Electronic Journal of e-Learning, 12(4), 394–408.</w:t>
      </w:r>
    </w:p>
    <w:p>
      <w:pPr>
        <w:spacing w:line="480" w:lineRule="auto" w:before="0" w:after="0"/>
        <w:ind w:left="720" w:hanging="720"/>
      </w:pPr>
      <w:r>
        <w:rPr>
          <w:rFonts w:ascii="Times New Roman" w:hAnsi="Times New Roman" w:eastAsia="Times New Roman"/>
          <w:sz w:val="24"/>
        </w:rPr>
        <w:t xml:space="preserve">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Paulhus, D. L. (1998). Interpersonal and intrapsychic adaptiveness of trait self-enhancement: A mixed blessing? </w:t>
      </w:r>
      <w:r>
        <w:rPr>
          <w:rFonts w:ascii="Times New Roman" w:hAnsi="Times New Roman" w:eastAsia="Times New Roman"/>
          <w:i/>
          <w:sz w:val="24"/>
        </w:rPr>
        <w:t>Journal of Personality and Social Psychology, 74</w:t>
      </w:r>
      <w:r>
        <w:rPr>
          <w:rFonts w:ascii="Times New Roman" w:hAnsi="Times New Roman" w:eastAsia="Times New Roman"/>
          <w:sz w:val="24"/>
        </w:rPr>
        <w:t>(5), 1197–1208. https://doi.org/10.1037/0022-3514.74.5.1197</w:t>
      </w:r>
    </w:p>
    <w:p>
      <w:pPr>
        <w:spacing w:line="480" w:lineRule="auto" w:before="0" w:after="0"/>
        <w:ind w:left="720" w:hanging="720"/>
      </w:pPr>
      <w:r>
        <w:rPr>
          <w:rFonts w:ascii="Times New Roman" w:hAnsi="Times New Roman" w:eastAsia="Times New Roman"/>
          <w:sz w:val="24"/>
        </w:rPr>
        <w:t xml:space="preserve">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Pustejovsky, J. E. (2023). </w:t>
      </w:r>
      <w:r>
        <w:rPr>
          <w:rFonts w:ascii="Times New Roman" w:hAnsi="Times New Roman" w:eastAsia="Times New Roman"/>
          <w:i/>
          <w:sz w:val="24"/>
        </w:rPr>
        <w:t>clubSandwich: Cluster-robust (sandwich) variance estimators with small-sample corrections</w:t>
      </w:r>
      <w:r>
        <w:rPr>
          <w:rFonts w:ascii="Times New Roman" w:hAnsi="Times New Roman" w:eastAsia="Times New Roman"/>
          <w:sz w:val="24"/>
        </w:rPr>
        <w:t xml:space="preserve"> (R package version 0.5.10) [Computer software]. https://CRAN.R-project.org/package=clubSandwich</w:t>
      </w:r>
    </w:p>
    <w:p>
      <w:pPr>
        <w:spacing w:line="480" w:lineRule="auto" w:before="0" w:after="0"/>
        <w:ind w:left="720" w:hanging="720"/>
      </w:pPr>
      <w:r>
        <w:rPr>
          <w:rFonts w:ascii="Times New Roman" w:hAnsi="Times New Roman" w:eastAsia="Times New Roman"/>
          <w:sz w:val="24"/>
        </w:rPr>
        <w:t xml:space="preserve">Quigley, </w:t>
      </w:r>
      <w:r>
        <w:rPr>
          <w:rFonts w:ascii="Times New Roman" w:hAnsi="Times New Roman" w:eastAsia="Times New Roman"/>
          <w:i/>
          <w:sz w:val="24"/>
        </w:rPr>
        <w:t>M</w:t>
      </w:r>
      <w:r>
        <w:rPr>
          <w:rFonts w:ascii="Times New Roman" w:hAnsi="Times New Roman" w:eastAsia="Times New Roman"/>
          <w:sz w:val="24"/>
        </w:rPr>
        <w:t>., Bradley, A., Playfoot, D., &amp; Harrad, R. (2022). Personality traits and stress perception as predictors of students' online engagement during the COVID-19 pandemic. Personality and Individual Differences, 194, 111645. https://doi.org/10.1016/j.paid.2022.111645</w:t>
      </w:r>
    </w:p>
    <w:p>
      <w:pPr>
        <w:spacing w:line="480" w:lineRule="auto" w:before="0" w:after="0"/>
        <w:ind w:left="720" w:hanging="720"/>
      </w:pPr>
      <w:r>
        <w:rPr>
          <w:rFonts w:ascii="Times New Roman" w:hAnsi="Times New Roman" w:eastAsia="Times New Roman"/>
          <w:sz w:val="24"/>
        </w:rPr>
        <w:t xml:space="preserve">Raudenbush, S. W. (2009). Analyzing effect sizes: Random-effects models. In H. Cooper, L. V. Hedges, &amp; J. C. Valentine (Eds.), </w:t>
      </w:r>
      <w:r>
        <w:rPr>
          <w:rFonts w:ascii="Times New Roman" w:hAnsi="Times New Roman" w:eastAsia="Times New Roman"/>
          <w:i/>
          <w:sz w:val="24"/>
        </w:rPr>
        <w:t>The handbook of research synthesis and meta-analysis</w:t>
      </w:r>
      <w:r>
        <w:rPr>
          <w:rFonts w:ascii="Times New Roman" w:hAnsi="Times New Roman" w:eastAsia="Times New Roman"/>
          <w:sz w:val="24"/>
        </w:rPr>
        <w:t xml:space="preserve"> (2nd ed., pp. 295–315). Russell Sage Foundation.</w:t>
      </w:r>
    </w:p>
    <w:p>
      <w:pPr>
        <w:spacing w:line="480" w:lineRule="auto" w:before="0" w:after="0"/>
        <w:ind w:left="720" w:hanging="720"/>
      </w:pPr>
      <w:r>
        <w:rPr>
          <w:rFonts w:ascii="Times New Roman" w:hAnsi="Times New Roman" w:eastAsia="Times New Roman"/>
          <w:sz w:val="24"/>
        </w:rPr>
        <w:t xml:space="preserve">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Sahinidis, A. G., &amp; Tsaknis, P. A. (2021). Exploring the relationship of the Big Five personality traits with student satisfaction with synchronous online academic learning: The case of Covid-19-induced changes. In A. Kavoura, S. Kefallonitis, &amp; P. Theodoridis (Eds.), </w:t>
      </w:r>
      <w:r>
        <w:rPr>
          <w:rFonts w:ascii="Times New Roman" w:hAnsi="Times New Roman" w:eastAsia="Times New Roman"/>
          <w:i/>
          <w:sz w:val="24"/>
        </w:rPr>
        <w:t>Strategic Innovative Marketing and Tourism</w:t>
      </w:r>
      <w:r>
        <w:rPr>
          <w:rFonts w:ascii="Times New Roman" w:hAnsi="Times New Roman" w:eastAsia="Times New Roman"/>
          <w:sz w:val="24"/>
        </w:rPr>
        <w:t xml:space="preserve"> (pp. 116–130). Springer. https://doi.org/10.1007/978-3-030-66154-0_10</w:t>
      </w:r>
    </w:p>
    <w:p>
      <w:pPr>
        <w:spacing w:line="480" w:lineRule="auto" w:before="0" w:after="0"/>
        <w:ind w:left="720" w:hanging="720"/>
      </w:pPr>
      <w:r>
        <w:rPr>
          <w:rFonts w:ascii="Times New Roman" w:hAnsi="Times New Roman" w:eastAsia="Times New Roman"/>
          <w:sz w:val="24"/>
        </w:rPr>
        <w:t xml:space="preserve">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 xml:space="preserve">Tlili, A., Sun, T., Denden, </w:t>
      </w:r>
      <w:r>
        <w:rPr>
          <w:rFonts w:ascii="Times New Roman" w:hAnsi="Times New Roman" w:eastAsia="Times New Roman"/>
          <w:i/>
          <w:sz w:val="24"/>
        </w:rPr>
        <w:t>M</w:t>
      </w:r>
      <w:r>
        <w:rPr>
          <w:rFonts w:ascii="Times New Roman" w:hAnsi="Times New Roman" w:eastAsia="Times New Roman"/>
          <w:sz w:val="24"/>
        </w:rPr>
        <w:t>., Kinshuk, Graf, S., Fei, C., &amp; Wang, H. (2023). Impact of personality traits on learners' navigational behavior patterns in an online course: A lag sequential analysis approach. Frontiers in Psychology, 14, 1071985. https://doi.org/10.3389/fpsyg.2023.1071985</w:t>
      </w:r>
    </w:p>
    <w:p>
      <w:pPr>
        <w:spacing w:line="480" w:lineRule="auto" w:before="0" w:after="0"/>
        <w:ind w:left="720" w:hanging="720"/>
      </w:pPr>
      <w:r>
        <w:rPr>
          <w:rFonts w:ascii="Times New Roman" w:hAnsi="Times New Roman" w:eastAsia="Times New Roman"/>
          <w:sz w:val="24"/>
        </w:rPr>
        <w:t xml:space="preserve">Tokiwa, E. (2025). Who excels in online learning in Japan? </w:t>
      </w:r>
      <w:r>
        <w:rPr>
          <w:rFonts w:ascii="Times New Roman" w:hAnsi="Times New Roman" w:eastAsia="Times New Roman"/>
          <w:i/>
          <w:sz w:val="24"/>
        </w:rPr>
        <w:t>Frontiers in Psychology, 16</w:t>
      </w:r>
      <w:r>
        <w:rPr>
          <w:rFonts w:ascii="Times New Roman" w:hAnsi="Times New Roman" w:eastAsia="Times New Roman"/>
          <w:sz w:val="24"/>
        </w:rPr>
        <w:t>, Article 1420996. https://doi.org/10.3389/fpsyg.2025.1420996</w:t>
      </w:r>
    </w:p>
    <w:p>
      <w:pPr>
        <w:spacing w:line="480" w:lineRule="auto" w:before="0" w:after="0"/>
        <w:ind w:left="720" w:hanging="720"/>
      </w:pPr>
      <w:r>
        <w:rPr>
          <w:rFonts w:ascii="Times New Roman" w:hAnsi="Times New Roman" w:eastAsia="Times New Roman"/>
          <w:sz w:val="24"/>
        </w:rPr>
        <w:t xml:space="preserve">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Viechtbauer, W. (2010). Conducting meta-analyses in R with the metafor package. </w:t>
      </w:r>
      <w:r>
        <w:rPr>
          <w:rFonts w:ascii="Times New Roman" w:hAnsi="Times New Roman" w:eastAsia="Times New Roman"/>
          <w:i/>
          <w:sz w:val="24"/>
        </w:rPr>
        <w:t>Journal of Statistical Software, 36</w:t>
      </w:r>
      <w:r>
        <w:rPr>
          <w:rFonts w:ascii="Times New Roman" w:hAnsi="Times New Roman" w:eastAsia="Times New Roman"/>
          <w:sz w:val="24"/>
        </w:rPr>
        <w:t>(3), 1–48. https://doi.org/10.18637/jss.v036.i03</w:t>
      </w:r>
    </w:p>
    <w:p>
      <w:pPr>
        <w:spacing w:line="480" w:lineRule="auto" w:before="0" w:after="0"/>
        <w:ind w:left="720" w:hanging="720"/>
      </w:pPr>
      <w:r>
        <w:rPr>
          <w:rFonts w:ascii="Times New Roman" w:hAnsi="Times New Roman" w:eastAsia="Times New Roman"/>
          <w:sz w:val="24"/>
        </w:rPr>
        <w:t xml:space="preserve">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Wu, R., &amp; Yu, Z. (2024). Relationship between university students' personalities and e-learning engagement mediated by achievement emotions and adaptability. </w:t>
      </w:r>
      <w:r>
        <w:rPr>
          <w:rFonts w:ascii="Times New Roman" w:hAnsi="Times New Roman" w:eastAsia="Times New Roman"/>
          <w:i/>
          <w:sz w:val="24"/>
        </w:rPr>
        <w:t>Education and Information Technologies, 29</w:t>
      </w:r>
      <w:r>
        <w:rPr>
          <w:rFonts w:ascii="Times New Roman" w:hAnsi="Times New Roman" w:eastAsia="Times New Roman"/>
          <w:sz w:val="24"/>
        </w:rPr>
        <w:t>, 10821–10850. https://doi.org/10.1007/s10639-023-12222-5</w:t>
      </w:r>
    </w:p>
    <w:p>
      <w:pPr>
        <w:spacing w:line="480" w:lineRule="auto" w:before="0" w:after="0"/>
        <w:ind w:left="720" w:hanging="720"/>
      </w:pPr>
      <w:r>
        <w:rPr>
          <w:rFonts w:ascii="Times New Roman" w:hAnsi="Times New Roman" w:eastAsia="Times New Roman"/>
          <w:sz w:val="24"/>
        </w:rPr>
        <w:t xml:space="preserve">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p>
      <w:pPr>
        <w:spacing w:line="480" w:lineRule="auto" w:before="0" w:after="0"/>
        <w:ind w:left="720" w:hanging="720"/>
      </w:pPr>
      <w:r>
        <w:rPr>
          <w:rFonts w:ascii="Times New Roman" w:hAnsi="Times New Roman" w:eastAsia="Times New Roman"/>
          <w:sz w:val="24"/>
        </w:rPr>
        <w:t xml:space="preserve">Zheng, Y., &amp; Zheng, S. (2023). Exploring educational impacts among pre, during and post COVID-19 lockdowns from students with different personality traits. </w:t>
      </w:r>
      <w:r>
        <w:rPr>
          <w:rFonts w:ascii="Times New Roman" w:hAnsi="Times New Roman" w:eastAsia="Times New Roman"/>
          <w:i/>
          <w:sz w:val="24"/>
        </w:rPr>
        <w:t>International Journal of Educational Technology in Higher Education, 20</w:t>
      </w:r>
      <w:r>
        <w:rPr>
          <w:rFonts w:ascii="Times New Roman" w:hAnsi="Times New Roman" w:eastAsia="Times New Roman"/>
          <w:sz w:val="24"/>
        </w:rPr>
        <w:t>(1), 21. https://doi.org/10.1186/s41239-023-00388-4</w:t>
      </w:r>
    </w:p>
    <w:p>
      <w:r>
        <w:br w:type="page"/>
      </w:r>
    </w:p>
    <w:p>
      <w:pPr>
        <w:spacing w:line="480" w:lineRule="auto" w:before="0" w:after="0"/>
      </w:pPr>
      <w:r>
        <w:rPr>
          <w:rFonts w:ascii="Times New Roman" w:hAnsi="Times New Roman"/>
          <w:b/>
          <w:sz w:val="24"/>
        </w:rPr>
        <w:t>Table 1</w:t>
      </w:r>
    </w:p>
    <w:p>
      <w:pPr>
        <w:spacing w:line="480" w:lineRule="auto" w:before="0" w:after="0"/>
      </w:pPr>
      <w:r>
        <w:rPr>
          <w:rFonts w:ascii="Times New Roman" w:hAnsi="Times New Roman"/>
          <w:i/>
          <w:sz w:val="24"/>
        </w:rPr>
        <w:t>Characteristics of the 31 Included Primary Studies and Their Contributions to the Quantitative Synthesis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spacing w:before="0" w:after="0" w:line="240" w:lineRule="auto"/>
            </w:pPr>
            <w:r>
              <w:rPr>
                <w:rFonts w:ascii="Times New Roman" w:hAnsi="Times New Roman" w:eastAsia="Times New Roman"/>
                <w:b/>
                <w:sz w:val="16"/>
              </w:rPr>
              <w:t>ID</w:t>
            </w:r>
          </w:p>
        </w:tc>
        <w:tc>
          <w:tcPr>
            <w:tcW w:type="dxa" w:w="780"/>
          </w:tcPr>
          <w:p>
            <w:pPr>
              <w:spacing w:before="0" w:after="0" w:line="240" w:lineRule="auto"/>
            </w:pPr>
            <w:r>
              <w:rPr>
                <w:rFonts w:ascii="Times New Roman" w:hAnsi="Times New Roman" w:eastAsia="Times New Roman"/>
                <w:b/>
                <w:sz w:val="16"/>
              </w:rPr>
              <w:t>Author (Year)</w:t>
            </w:r>
          </w:p>
        </w:tc>
        <w:tc>
          <w:tcPr>
            <w:tcW w:type="dxa" w:w="780"/>
          </w:tcPr>
          <w:p>
            <w:pPr>
              <w:spacing w:before="0" w:after="0" w:line="240" w:lineRule="auto"/>
            </w:pPr>
            <w:r>
              <w:rPr>
                <w:rFonts w:ascii="Times New Roman" w:hAnsi="Times New Roman" w:eastAsia="Times New Roman"/>
                <w:b/>
                <w:sz w:val="16"/>
              </w:rPr>
              <w:t>N</w:t>
            </w:r>
          </w:p>
        </w:tc>
        <w:tc>
          <w:tcPr>
            <w:tcW w:type="dxa" w:w="780"/>
          </w:tcPr>
          <w:p>
            <w:pPr>
              <w:spacing w:before="0" w:after="0" w:line="240" w:lineRule="auto"/>
            </w:pPr>
            <w:r>
              <w:rPr>
                <w:rFonts w:ascii="Times New Roman" w:hAnsi="Times New Roman" w:eastAsia="Times New Roman"/>
                <w:b/>
                <w:sz w:val="16"/>
              </w:rPr>
              <w:t>Country</w:t>
            </w:r>
          </w:p>
        </w:tc>
        <w:tc>
          <w:tcPr>
            <w:tcW w:type="dxa" w:w="780"/>
          </w:tcPr>
          <w:p>
            <w:pPr>
              <w:spacing w:before="0" w:after="0" w:line="240" w:lineRule="auto"/>
            </w:pPr>
            <w:r>
              <w:rPr>
                <w:rFonts w:ascii="Times New Roman" w:hAnsi="Times New Roman" w:eastAsia="Times New Roman"/>
                <w:b/>
                <w:sz w:val="16"/>
              </w:rPr>
              <w:t>Mode</w:t>
            </w:r>
          </w:p>
        </w:tc>
        <w:tc>
          <w:tcPr>
            <w:tcW w:type="dxa" w:w="780"/>
          </w:tcPr>
          <w:p>
            <w:pPr>
              <w:spacing w:before="0" w:after="0" w:line="240" w:lineRule="auto"/>
            </w:pPr>
            <w:r>
              <w:rPr>
                <w:rFonts w:ascii="Times New Roman" w:hAnsi="Times New Roman" w:eastAsia="Times New Roman"/>
                <w:b/>
                <w:sz w:val="16"/>
              </w:rPr>
              <w:t>Level</w:t>
            </w:r>
          </w:p>
        </w:tc>
        <w:tc>
          <w:tcPr>
            <w:tcW w:type="dxa" w:w="780"/>
          </w:tcPr>
          <w:p>
            <w:pPr>
              <w:spacing w:before="0" w:after="0" w:line="240" w:lineRule="auto"/>
            </w:pPr>
            <w:r>
              <w:rPr>
                <w:rFonts w:ascii="Times New Roman" w:hAnsi="Times New Roman" w:eastAsia="Times New Roman"/>
                <w:b/>
                <w:sz w:val="16"/>
              </w:rPr>
              <w:t>Era</w:t>
            </w:r>
          </w:p>
        </w:tc>
        <w:tc>
          <w:tcPr>
            <w:tcW w:type="dxa" w:w="780"/>
          </w:tcPr>
          <w:p>
            <w:pPr>
              <w:spacing w:before="0" w:after="0" w:line="240" w:lineRule="auto"/>
            </w:pPr>
            <w:r>
              <w:rPr>
                <w:rFonts w:ascii="Times New Roman" w:hAnsi="Times New Roman" w:eastAsia="Times New Roman"/>
                <w:b/>
                <w:sz w:val="16"/>
              </w:rPr>
              <w:t>Region</w:t>
            </w:r>
          </w:p>
        </w:tc>
        <w:tc>
          <w:tcPr>
            <w:tcW w:type="dxa" w:w="780"/>
          </w:tcPr>
          <w:p>
            <w:pPr>
              <w:spacing w:before="0" w:after="0" w:line="240" w:lineRule="auto"/>
            </w:pPr>
            <w:r>
              <w:rPr>
                <w:rFonts w:ascii="Times New Roman" w:hAnsi="Times New Roman" w:eastAsia="Times New Roman"/>
                <w:b/>
                <w:sz w:val="16"/>
              </w:rPr>
              <w:t>Instrument</w:t>
            </w:r>
          </w:p>
        </w:tc>
        <w:tc>
          <w:tcPr>
            <w:tcW w:type="dxa" w:w="780"/>
          </w:tcPr>
          <w:p>
            <w:pPr>
              <w:spacing w:before="0" w:after="0" w:line="240" w:lineRule="auto"/>
            </w:pPr>
            <w:r>
              <w:rPr>
                <w:rFonts w:ascii="Times New Roman" w:hAnsi="Times New Roman" w:eastAsia="Times New Roman"/>
                <w:b/>
                <w:sz w:val="16"/>
              </w:rPr>
              <w:t>Outcome</w:t>
            </w:r>
          </w:p>
        </w:tc>
        <w:tc>
          <w:tcPr>
            <w:tcW w:type="dxa" w:w="780"/>
          </w:tcPr>
          <w:p>
            <w:pPr>
              <w:spacing w:before="0" w:after="0" w:line="240" w:lineRule="auto"/>
            </w:pPr>
            <w:r>
              <w:rPr>
                <w:rFonts w:ascii="Times New Roman" w:hAnsi="Times New Roman" w:eastAsia="Times New Roman"/>
                <w:b/>
                <w:sz w:val="16"/>
              </w:rPr>
              <w:t>Inclusion</w:t>
            </w:r>
          </w:p>
        </w:tc>
        <w:tc>
          <w:tcPr>
            <w:tcW w:type="dxa" w:w="780"/>
          </w:tcPr>
          <w:p>
            <w:pPr>
              <w:spacing w:before="0" w:after="0" w:line="240" w:lineRule="auto"/>
            </w:pPr>
            <w:r>
              <w:rPr>
                <w:rFonts w:ascii="Times New Roman" w:hAnsi="Times New Roman" w:eastAsia="Times New Roman"/>
                <w:b/>
                <w:sz w:val="16"/>
              </w:rPr>
              <w:t>RoB</w:t>
            </w:r>
          </w:p>
        </w:tc>
      </w:tr>
      <w:tr>
        <w:tc>
          <w:tcPr>
            <w:tcW w:type="dxa" w:w="780"/>
          </w:tcPr>
          <w:p>
            <w:pPr>
              <w:spacing w:before="0" w:after="0" w:line="240" w:lineRule="auto"/>
            </w:pPr>
            <w:r>
              <w:rPr>
                <w:rFonts w:ascii="Times New Roman" w:hAnsi="Times New Roman" w:eastAsia="Times New Roman"/>
                <w:sz w:val="16"/>
              </w:rPr>
              <w:t>A-01</w:t>
            </w:r>
          </w:p>
        </w:tc>
        <w:tc>
          <w:tcPr>
            <w:tcW w:type="dxa" w:w="780"/>
          </w:tcPr>
          <w:p>
            <w:pPr>
              <w:spacing w:before="0" w:after="0" w:line="240" w:lineRule="auto"/>
            </w:pPr>
            <w:r>
              <w:rPr>
                <w:rFonts w:ascii="Times New Roman" w:hAnsi="Times New Roman" w:eastAsia="Times New Roman"/>
                <w:sz w:val="16"/>
              </w:rPr>
              <w:t>Abe (2020)</w:t>
            </w:r>
          </w:p>
        </w:tc>
        <w:tc>
          <w:tcPr>
            <w:tcW w:type="dxa" w:w="780"/>
          </w:tcPr>
          <w:p>
            <w:pPr>
              <w:spacing w:before="0" w:after="0" w:line="240" w:lineRule="auto"/>
            </w:pPr>
            <w:r>
              <w:rPr>
                <w:rFonts w:ascii="Times New Roman" w:hAnsi="Times New Roman" w:eastAsia="Times New Roman"/>
                <w:sz w:val="16"/>
              </w:rPr>
              <w:t>92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A-02</w:t>
            </w:r>
          </w:p>
        </w:tc>
        <w:tc>
          <w:tcPr>
            <w:tcW w:type="dxa" w:w="780"/>
          </w:tcPr>
          <w:p>
            <w:pPr>
              <w:spacing w:before="0" w:after="0" w:line="240" w:lineRule="auto"/>
            </w:pPr>
            <w:r>
              <w:rPr>
                <w:rFonts w:ascii="Times New Roman" w:hAnsi="Times New Roman" w:eastAsia="Times New Roman"/>
                <w:sz w:val="16"/>
              </w:rPr>
              <w:t>Alkis (2018)</w:t>
            </w:r>
          </w:p>
        </w:tc>
        <w:tc>
          <w:tcPr>
            <w:tcW w:type="dxa" w:w="780"/>
          </w:tcPr>
          <w:p>
            <w:pPr>
              <w:spacing w:before="0" w:after="0" w:line="240" w:lineRule="auto"/>
            </w:pPr>
            <w:r>
              <w:rPr>
                <w:rFonts w:ascii="Times New Roman" w:hAnsi="Times New Roman" w:eastAsia="Times New Roman"/>
                <w:sz w:val="16"/>
              </w:rPr>
              <w:t>189</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A-03</w:t>
            </w:r>
          </w:p>
        </w:tc>
        <w:tc>
          <w:tcPr>
            <w:tcW w:type="dxa" w:w="780"/>
          </w:tcPr>
          <w:p>
            <w:pPr>
              <w:spacing w:before="0" w:after="0" w:line="240" w:lineRule="auto"/>
            </w:pPr>
            <w:r>
              <w:rPr>
                <w:rFonts w:ascii="Times New Roman" w:hAnsi="Times New Roman" w:eastAsia="Times New Roman"/>
                <w:sz w:val="16"/>
              </w:rPr>
              <w:t>Ashouri (2025)</w:t>
            </w:r>
          </w:p>
        </w:tc>
        <w:tc>
          <w:tcPr>
            <w:tcW w:type="dxa" w:w="780"/>
          </w:tcPr>
          <w:p>
            <w:pPr>
              <w:spacing w:before="0" w:after="0" w:line="240" w:lineRule="auto"/>
            </w:pPr>
            <w:r>
              <w:rPr>
                <w:rFonts w:ascii="Times New Roman" w:hAnsi="Times New Roman" w:eastAsia="Times New Roman"/>
                <w:sz w:val="16"/>
              </w:rPr>
              <w:t>183</w:t>
            </w:r>
          </w:p>
        </w:tc>
        <w:tc>
          <w:tcPr>
            <w:tcW w:type="dxa" w:w="780"/>
          </w:tcPr>
          <w:p>
            <w:pPr>
              <w:spacing w:before="0" w:after="0" w:line="240" w:lineRule="auto"/>
            </w:pPr>
            <w:r>
              <w:rPr>
                <w:rFonts w:ascii="Times New Roman" w:hAnsi="Times New Roman" w:eastAsia="Times New Roman"/>
                <w:sz w:val="16"/>
              </w:rPr>
              <w:t>Iran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A-04</w:t>
            </w:r>
          </w:p>
        </w:tc>
        <w:tc>
          <w:tcPr>
            <w:tcW w:type="dxa" w:w="780"/>
          </w:tcPr>
          <w:p>
            <w:pPr>
              <w:spacing w:before="0" w:after="0" w:line="240" w:lineRule="auto"/>
            </w:pPr>
            <w:r>
              <w:rPr>
                <w:rFonts w:ascii="Times New Roman" w:hAnsi="Times New Roman" w:eastAsia="Times New Roman"/>
                <w:sz w:val="16"/>
              </w:rPr>
              <w:t>Audet (2021)</w:t>
            </w:r>
          </w:p>
        </w:tc>
        <w:tc>
          <w:tcPr>
            <w:tcW w:type="dxa" w:w="780"/>
          </w:tcPr>
          <w:p>
            <w:pPr>
              <w:spacing w:before="0" w:after="0" w:line="240" w:lineRule="auto"/>
            </w:pPr>
            <w:r>
              <w:rPr>
                <w:rFonts w:ascii="Times New Roman" w:hAnsi="Times New Roman" w:eastAsia="Times New Roman"/>
                <w:sz w:val="16"/>
              </w:rPr>
              <w:t>350</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A-05</w:t>
            </w:r>
          </w:p>
        </w:tc>
        <w:tc>
          <w:tcPr>
            <w:tcW w:type="dxa" w:w="780"/>
          </w:tcPr>
          <w:p>
            <w:pPr>
              <w:spacing w:before="0" w:after="0" w:line="240" w:lineRule="auto"/>
            </w:pPr>
            <w:r>
              <w:rPr>
                <w:rFonts w:ascii="Times New Roman" w:hAnsi="Times New Roman" w:eastAsia="Times New Roman"/>
                <w:sz w:val="16"/>
              </w:rPr>
              <w:t>Audet (2023)</w:t>
            </w:r>
          </w:p>
        </w:tc>
        <w:tc>
          <w:tcPr>
            <w:tcW w:type="dxa" w:w="780"/>
          </w:tcPr>
          <w:p>
            <w:pPr>
              <w:spacing w:before="0" w:after="0" w:line="240" w:lineRule="auto"/>
            </w:pPr>
            <w:r>
              <w:rPr>
                <w:rFonts w:ascii="Times New Roman" w:hAnsi="Times New Roman" w:eastAsia="Times New Roman"/>
                <w:sz w:val="16"/>
              </w:rPr>
              <w:t>678</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Exc-dup</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A-06</w:t>
            </w:r>
          </w:p>
        </w:tc>
        <w:tc>
          <w:tcPr>
            <w:tcW w:type="dxa" w:w="780"/>
          </w:tcPr>
          <w:p>
            <w:pPr>
              <w:spacing w:before="0" w:after="0" w:line="240" w:lineRule="auto"/>
            </w:pPr>
            <w:r>
              <w:rPr>
                <w:rFonts w:ascii="Times New Roman" w:hAnsi="Times New Roman" w:eastAsia="Times New Roman"/>
                <w:sz w:val="16"/>
              </w:rPr>
              <w:t>Sahinidis (2021)</w:t>
            </w:r>
          </w:p>
        </w:tc>
        <w:tc>
          <w:tcPr>
            <w:tcW w:type="dxa" w:w="780"/>
          </w:tcPr>
          <w:p>
            <w:pPr>
              <w:spacing w:before="0" w:after="0" w:line="240" w:lineRule="auto"/>
            </w:pPr>
            <w:r>
              <w:rPr>
                <w:rFonts w:ascii="Times New Roman" w:hAnsi="Times New Roman" w:eastAsia="Times New Roman"/>
                <w:sz w:val="16"/>
              </w:rPr>
              <w:t>555</w:t>
            </w:r>
          </w:p>
        </w:tc>
        <w:tc>
          <w:tcPr>
            <w:tcW w:type="dxa" w:w="780"/>
          </w:tcPr>
          <w:p>
            <w:pPr>
              <w:spacing w:before="0" w:after="0" w:line="240" w:lineRule="auto"/>
            </w:pPr>
            <w:r>
              <w:rPr>
                <w:rFonts w:ascii="Times New Roman" w:hAnsi="Times New Roman" w:eastAsia="Times New Roman"/>
                <w:sz w:val="16"/>
              </w:rPr>
              <w:t>Greece</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Custom 30-item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A-07</w:t>
            </w:r>
          </w:p>
        </w:tc>
        <w:tc>
          <w:tcPr>
            <w:tcW w:type="dxa" w:w="780"/>
          </w:tcPr>
          <w:p>
            <w:pPr>
              <w:spacing w:before="0" w:after="0" w:line="240" w:lineRule="auto"/>
            </w:pPr>
            <w:r>
              <w:rPr>
                <w:rFonts w:ascii="Times New Roman" w:hAnsi="Times New Roman" w:eastAsia="Times New Roman"/>
                <w:sz w:val="16"/>
              </w:rPr>
              <w:t>Cohen (2017)</w:t>
            </w:r>
          </w:p>
        </w:tc>
        <w:tc>
          <w:tcPr>
            <w:tcW w:type="dxa" w:w="780"/>
          </w:tcPr>
          <w:p>
            <w:pPr>
              <w:spacing w:before="0" w:after="0" w:line="240" w:lineRule="auto"/>
            </w:pPr>
            <w:r>
              <w:rPr>
                <w:rFonts w:ascii="Times New Roman" w:hAnsi="Times New Roman" w:eastAsia="Times New Roman"/>
                <w:sz w:val="16"/>
              </w:rPr>
              <w:t>72</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A-08</w:t>
            </w:r>
          </w:p>
        </w:tc>
        <w:tc>
          <w:tcPr>
            <w:tcW w:type="dxa" w:w="780"/>
          </w:tcPr>
          <w:p>
            <w:pPr>
              <w:spacing w:before="0" w:after="0" w:line="240" w:lineRule="auto"/>
            </w:pPr>
            <w:r>
              <w:rPr>
                <w:rFonts w:ascii="Times New Roman" w:hAnsi="Times New Roman" w:eastAsia="Times New Roman"/>
                <w:sz w:val="16"/>
              </w:rPr>
              <w:t>Keller (2013)</w:t>
            </w:r>
          </w:p>
        </w:tc>
        <w:tc>
          <w:tcPr>
            <w:tcW w:type="dxa" w:w="780"/>
          </w:tcPr>
          <w:p>
            <w:pPr>
              <w:spacing w:before="0" w:after="0" w:line="240" w:lineRule="auto"/>
            </w:pPr>
            <w:r>
              <w:rPr>
                <w:rFonts w:ascii="Times New Roman" w:hAnsi="Times New Roman" w:eastAsia="Times New Roman"/>
                <w:sz w:val="16"/>
              </w:rPr>
              <w:t>250</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IPIP-50</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A-09</w:t>
            </w:r>
          </w:p>
        </w:tc>
        <w:tc>
          <w:tcPr>
            <w:tcW w:type="dxa" w:w="780"/>
          </w:tcPr>
          <w:p>
            <w:pPr>
              <w:spacing w:before="0" w:after="0" w:line="240" w:lineRule="auto"/>
            </w:pPr>
            <w:r>
              <w:rPr>
                <w:rFonts w:ascii="Times New Roman" w:hAnsi="Times New Roman" w:eastAsia="Times New Roman"/>
                <w:sz w:val="16"/>
              </w:rPr>
              <w:t>Bhattacharjee (2025)</w:t>
            </w:r>
          </w:p>
        </w:tc>
        <w:tc>
          <w:tcPr>
            <w:tcW w:type="dxa" w:w="780"/>
          </w:tcPr>
          <w:p>
            <w:pPr>
              <w:spacing w:before="0" w:after="0" w:line="240" w:lineRule="auto"/>
            </w:pPr>
            <w:r>
              <w:rPr>
                <w:rFonts w:ascii="Times New Roman" w:hAnsi="Times New Roman" w:eastAsia="Times New Roman"/>
                <w:sz w:val="16"/>
              </w:rPr>
              <w:t>384</w:t>
            </w:r>
          </w:p>
        </w:tc>
        <w:tc>
          <w:tcPr>
            <w:tcW w:type="dxa" w:w="780"/>
          </w:tcPr>
          <w:p>
            <w:pPr>
              <w:spacing w:before="0" w:after="0" w:line="240" w:lineRule="auto"/>
            </w:pPr>
            <w:r>
              <w:rPr>
                <w:rFonts w:ascii="Times New Roman" w:hAnsi="Times New Roman" w:eastAsia="Times New Roman"/>
                <w:sz w:val="16"/>
              </w:rPr>
              <w:t>India</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A-10</w:t>
            </w:r>
          </w:p>
        </w:tc>
        <w:tc>
          <w:tcPr>
            <w:tcW w:type="dxa" w:w="780"/>
          </w:tcPr>
          <w:p>
            <w:pPr>
              <w:spacing w:before="0" w:after="0" w:line="240" w:lineRule="auto"/>
            </w:pPr>
            <w:r>
              <w:rPr>
                <w:rFonts w:ascii="Times New Roman" w:hAnsi="Times New Roman" w:eastAsia="Times New Roman"/>
                <w:sz w:val="16"/>
              </w:rPr>
              <w:t>Boonyapison (2025)</w:t>
            </w:r>
          </w:p>
        </w:tc>
        <w:tc>
          <w:tcPr>
            <w:tcW w:type="dxa" w:w="780"/>
          </w:tcPr>
          <w:p>
            <w:pPr>
              <w:spacing w:before="0" w:after="0" w:line="240" w:lineRule="auto"/>
            </w:pPr>
            <w:r>
              <w:rPr>
                <w:rFonts w:ascii="Times New Roman" w:hAnsi="Times New Roman" w:eastAsia="Times New Roman"/>
                <w:sz w:val="16"/>
              </w:rPr>
              <w:t>203</w:t>
            </w:r>
          </w:p>
        </w:tc>
        <w:tc>
          <w:tcPr>
            <w:tcW w:type="dxa" w:w="780"/>
          </w:tcPr>
          <w:p>
            <w:pPr>
              <w:spacing w:before="0" w:after="0" w:line="240" w:lineRule="auto"/>
            </w:pPr>
            <w:r>
              <w:rPr>
                <w:rFonts w:ascii="Times New Roman" w:hAnsi="Times New Roman" w:eastAsia="Times New Roman"/>
                <w:sz w:val="16"/>
              </w:rPr>
              <w:t>Thailand</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A-11</w:t>
            </w:r>
          </w:p>
        </w:tc>
        <w:tc>
          <w:tcPr>
            <w:tcW w:type="dxa" w:w="780"/>
          </w:tcPr>
          <w:p>
            <w:pPr>
              <w:spacing w:before="0" w:after="0" w:line="240" w:lineRule="auto"/>
            </w:pPr>
            <w:r>
              <w:rPr>
                <w:rFonts w:ascii="Times New Roman" w:hAnsi="Times New Roman" w:eastAsia="Times New Roman"/>
                <w:sz w:val="16"/>
              </w:rPr>
              <w:t>Cheng (2023)</w:t>
            </w:r>
          </w:p>
        </w:tc>
        <w:tc>
          <w:tcPr>
            <w:tcW w:type="dxa" w:w="780"/>
          </w:tcPr>
          <w:p>
            <w:pPr>
              <w:spacing w:before="0" w:after="0" w:line="240" w:lineRule="auto"/>
            </w:pPr>
            <w:r>
              <w:rPr>
                <w:rFonts w:ascii="Times New Roman" w:hAnsi="Times New Roman" w:eastAsia="Times New Roman"/>
                <w:sz w:val="16"/>
              </w:rPr>
              <w:t>746</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Sec/Post</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BFI_C_only</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A-12</w:t>
            </w:r>
          </w:p>
        </w:tc>
        <w:tc>
          <w:tcPr>
            <w:tcW w:type="dxa" w:w="780"/>
          </w:tcPr>
          <w:p>
            <w:pPr>
              <w:spacing w:before="0" w:after="0" w:line="240" w:lineRule="auto"/>
            </w:pPr>
            <w:r>
              <w:rPr>
                <w:rFonts w:ascii="Times New Roman" w:hAnsi="Times New Roman" w:eastAsia="Times New Roman"/>
                <w:sz w:val="16"/>
              </w:rPr>
              <w:t>Baruth (2023)</w:t>
            </w:r>
          </w:p>
        </w:tc>
        <w:tc>
          <w:tcPr>
            <w:tcW w:type="dxa" w:w="780"/>
          </w:tcPr>
          <w:p>
            <w:pPr>
              <w:spacing w:before="0" w:after="0" w:line="240" w:lineRule="auto"/>
            </w:pPr>
            <w:r>
              <w:rPr>
                <w:rFonts w:ascii="Times New Roman" w:hAnsi="Times New Roman" w:eastAsia="Times New Roman"/>
                <w:sz w:val="16"/>
              </w:rPr>
              <w:t>108</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A-13</w:t>
            </w:r>
          </w:p>
        </w:tc>
        <w:tc>
          <w:tcPr>
            <w:tcW w:type="dxa" w:w="780"/>
          </w:tcPr>
          <w:p>
            <w:pPr>
              <w:spacing w:before="0" w:after="0" w:line="240" w:lineRule="auto"/>
            </w:pPr>
            <w:r>
              <w:rPr>
                <w:rFonts w:ascii="Times New Roman" w:hAnsi="Times New Roman" w:eastAsia="Times New Roman"/>
                <w:sz w:val="16"/>
              </w:rPr>
              <w:t>Dang (2025)</w:t>
            </w:r>
          </w:p>
        </w:tc>
        <w:tc>
          <w:tcPr>
            <w:tcW w:type="dxa" w:w="780"/>
          </w:tcPr>
          <w:p>
            <w:pPr>
              <w:spacing w:before="0" w:after="0" w:line="240" w:lineRule="auto"/>
            </w:pPr>
            <w:r>
              <w:rPr>
                <w:rFonts w:ascii="Times New Roman" w:hAnsi="Times New Roman" w:eastAsia="Times New Roman"/>
                <w:sz w:val="16"/>
              </w:rPr>
              <w:t>235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NEO-FFI_Chinese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A-15</w:t>
            </w:r>
          </w:p>
        </w:tc>
        <w:tc>
          <w:tcPr>
            <w:tcW w:type="dxa" w:w="780"/>
          </w:tcPr>
          <w:p>
            <w:pPr>
              <w:spacing w:before="0" w:after="0" w:line="240" w:lineRule="auto"/>
            </w:pPr>
            <w:r>
              <w:rPr>
                <w:rFonts w:ascii="Times New Roman" w:hAnsi="Times New Roman" w:eastAsia="Times New Roman"/>
                <w:sz w:val="16"/>
              </w:rPr>
              <w:t>Elvers (2003)</w:t>
            </w:r>
          </w:p>
        </w:tc>
        <w:tc>
          <w:tcPr>
            <w:tcW w:type="dxa" w:w="780"/>
          </w:tcPr>
          <w:p>
            <w:pPr>
              <w:spacing w:before="0" w:after="0" w:line="240" w:lineRule="auto"/>
            </w:pPr>
            <w:r>
              <w:rPr>
                <w:rFonts w:ascii="Times New Roman" w:hAnsi="Times New Roman" w:eastAsia="Times New Roman"/>
                <w:sz w:val="16"/>
              </w:rPr>
              <w:t>47</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NEO-FFI</w:t>
            </w:r>
          </w:p>
        </w:tc>
        <w:tc>
          <w:tcPr>
            <w:tcW w:type="dxa" w:w="780"/>
          </w:tcPr>
          <w:p>
            <w:pPr>
              <w:spacing w:before="0" w:after="0" w:line="240" w:lineRule="auto"/>
            </w:pPr>
            <w:r>
              <w:rPr>
                <w:rFonts w:ascii="Times New Roman" w:hAnsi="Times New Roman" w:eastAsia="Times New Roman"/>
                <w:sz w:val="16"/>
              </w:rPr>
              <w:t>procrastination_exam</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A-16</w:t>
            </w:r>
          </w:p>
        </w:tc>
        <w:tc>
          <w:tcPr>
            <w:tcW w:type="dxa" w:w="780"/>
          </w:tcPr>
          <w:p>
            <w:pPr>
              <w:spacing w:before="0" w:after="0" w:line="240" w:lineRule="auto"/>
            </w:pPr>
            <w:r>
              <w:rPr>
                <w:rFonts w:ascii="Times New Roman" w:hAnsi="Times New Roman" w:eastAsia="Times New Roman"/>
                <w:sz w:val="16"/>
              </w:rPr>
              <w:t>Hidalgo-Fuentes (2024)</w:t>
            </w:r>
          </w:p>
        </w:tc>
        <w:tc>
          <w:tcPr>
            <w:tcW w:type="dxa" w:w="780"/>
          </w:tcPr>
          <w:p>
            <w:pPr>
              <w:spacing w:before="0" w:after="0" w:line="240" w:lineRule="auto"/>
            </w:pPr>
            <w:r>
              <w:rPr>
                <w:rFonts w:ascii="Times New Roman" w:hAnsi="Times New Roman" w:eastAsia="Times New Roman"/>
                <w:sz w:val="16"/>
              </w:rPr>
              <w:t>457</w:t>
            </w:r>
          </w:p>
        </w:tc>
        <w:tc>
          <w:tcPr>
            <w:tcW w:type="dxa" w:w="780"/>
          </w:tcPr>
          <w:p>
            <w:pPr>
              <w:spacing w:before="0" w:after="0" w:line="240" w:lineRule="auto"/>
            </w:pPr>
            <w:r>
              <w:rPr>
                <w:rFonts w:ascii="Times New Roman" w:hAnsi="Times New Roman" w:eastAsia="Times New Roman"/>
                <w:sz w:val="16"/>
              </w:rPr>
              <w:t>Honduras+Spain</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BFI-2-S</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A-17</w:t>
            </w:r>
          </w:p>
        </w:tc>
        <w:tc>
          <w:tcPr>
            <w:tcW w:type="dxa" w:w="780"/>
          </w:tcPr>
          <w:p>
            <w:pPr>
              <w:spacing w:before="0" w:after="0" w:line="240" w:lineRule="auto"/>
            </w:pPr>
            <w:r>
              <w:rPr>
                <w:rFonts w:ascii="Times New Roman" w:hAnsi="Times New Roman" w:eastAsia="Times New Roman"/>
                <w:sz w:val="16"/>
              </w:rPr>
              <w:t>Kara (2024)</w:t>
            </w:r>
          </w:p>
        </w:tc>
        <w:tc>
          <w:tcPr>
            <w:tcW w:type="dxa" w:w="780"/>
          </w:tcPr>
          <w:p>
            <w:pPr>
              <w:spacing w:before="0" w:after="0" w:line="240" w:lineRule="auto"/>
            </w:pPr>
            <w:r>
              <w:rPr>
                <w:rFonts w:ascii="Times New Roman" w:hAnsi="Times New Roman" w:eastAsia="Times New Roman"/>
                <w:sz w:val="16"/>
              </w:rPr>
              <w:t>437</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A-18</w:t>
            </w:r>
          </w:p>
        </w:tc>
        <w:tc>
          <w:tcPr>
            <w:tcW w:type="dxa" w:w="780"/>
          </w:tcPr>
          <w:p>
            <w:pPr>
              <w:spacing w:before="0" w:after="0" w:line="240" w:lineRule="auto"/>
            </w:pPr>
            <w:r>
              <w:rPr>
                <w:rFonts w:ascii="Times New Roman" w:hAnsi="Times New Roman" w:eastAsia="Times New Roman"/>
                <w:sz w:val="16"/>
              </w:rPr>
              <w:t>Bhagat (2019)</w:t>
            </w:r>
          </w:p>
        </w:tc>
        <w:tc>
          <w:tcPr>
            <w:tcW w:type="dxa" w:w="780"/>
          </w:tcPr>
          <w:p>
            <w:pPr>
              <w:spacing w:before="0" w:after="0" w:line="240" w:lineRule="auto"/>
            </w:pPr>
            <w:r>
              <w:rPr>
                <w:rFonts w:ascii="Times New Roman" w:hAnsi="Times New Roman" w:eastAsia="Times New Roman"/>
                <w:sz w:val="16"/>
              </w:rPr>
              <w:t>208</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Mini-IPIP</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A-19</w:t>
            </w:r>
          </w:p>
        </w:tc>
        <w:tc>
          <w:tcPr>
            <w:tcW w:type="dxa" w:w="780"/>
          </w:tcPr>
          <w:p>
            <w:pPr>
              <w:spacing w:before="0" w:after="0" w:line="240" w:lineRule="auto"/>
            </w:pPr>
            <w:r>
              <w:rPr>
                <w:rFonts w:ascii="Times New Roman" w:hAnsi="Times New Roman" w:eastAsia="Times New Roman"/>
                <w:sz w:val="16"/>
              </w:rPr>
              <w:t>MacLean (2022)</w:t>
            </w:r>
          </w:p>
        </w:tc>
        <w:tc>
          <w:tcPr>
            <w:tcW w:type="dxa" w:w="780"/>
          </w:tcPr>
          <w:p>
            <w:pPr>
              <w:spacing w:before="0" w:after="0" w:line="240" w:lineRule="auto"/>
            </w:pPr>
            <w:r>
              <w:rPr>
                <w:rFonts w:ascii="Times New Roman" w:hAnsi="Times New Roman" w:eastAsia="Times New Roman"/>
                <w:sz w:val="16"/>
              </w:rPr>
              <w:t>465</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HEXACO-PI-R</w:t>
            </w:r>
          </w:p>
        </w:tc>
        <w:tc>
          <w:tcPr>
            <w:tcW w:type="dxa" w:w="780"/>
          </w:tcPr>
          <w:p>
            <w:pPr>
              <w:spacing w:before="0" w:after="0" w:line="240" w:lineRule="auto"/>
            </w:pPr>
            <w:r>
              <w:rPr>
                <w:rFonts w:ascii="Times New Roman" w:hAnsi="Times New Roman" w:eastAsia="Times New Roman"/>
                <w:sz w:val="16"/>
              </w:rPr>
              <w:t>preference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A-20</w:t>
            </w:r>
          </w:p>
        </w:tc>
        <w:tc>
          <w:tcPr>
            <w:tcW w:type="dxa" w:w="780"/>
          </w:tcPr>
          <w:p>
            <w:pPr>
              <w:spacing w:before="0" w:after="0" w:line="240" w:lineRule="auto"/>
            </w:pPr>
            <w:r>
              <w:rPr>
                <w:rFonts w:ascii="Times New Roman" w:hAnsi="Times New Roman" w:eastAsia="Times New Roman"/>
                <w:sz w:val="16"/>
              </w:rPr>
              <w:t>Mustafa (2022)</w:t>
            </w:r>
          </w:p>
        </w:tc>
        <w:tc>
          <w:tcPr>
            <w:tcW w:type="dxa" w:w="780"/>
          </w:tcPr>
          <w:p>
            <w:pPr>
              <w:spacing w:before="0" w:after="0" w:line="240" w:lineRule="auto"/>
            </w:pPr>
            <w:r>
              <w:rPr>
                <w:rFonts w:ascii="Times New Roman" w:hAnsi="Times New Roman" w:eastAsia="Times New Roman"/>
                <w:sz w:val="16"/>
              </w:rPr>
              <w:t>718</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A-21</w:t>
            </w:r>
          </w:p>
        </w:tc>
        <w:tc>
          <w:tcPr>
            <w:tcW w:type="dxa" w:w="780"/>
          </w:tcPr>
          <w:p>
            <w:pPr>
              <w:spacing w:before="0" w:after="0" w:line="240" w:lineRule="auto"/>
            </w:pPr>
            <w:r>
              <w:rPr>
                <w:rFonts w:ascii="Times New Roman" w:hAnsi="Times New Roman" w:eastAsia="Times New Roman"/>
                <w:sz w:val="16"/>
              </w:rPr>
              <w:t>Nakayama (2014)</w:t>
            </w:r>
          </w:p>
        </w:tc>
        <w:tc>
          <w:tcPr>
            <w:tcW w:type="dxa" w:w="780"/>
          </w:tcPr>
          <w:p>
            <w:pPr>
              <w:spacing w:before="0" w:after="0" w:line="240" w:lineRule="auto"/>
            </w:pPr>
            <w:r>
              <w:rPr>
                <w:rFonts w:ascii="Times New Roman" w:hAnsi="Times New Roman" w:eastAsia="Times New Roman"/>
                <w:sz w:val="16"/>
              </w:rPr>
              <w:t>53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IPIP</w:t>
            </w:r>
          </w:p>
        </w:tc>
        <w:tc>
          <w:tcPr>
            <w:tcW w:type="dxa" w:w="780"/>
          </w:tcPr>
          <w:p>
            <w:pPr>
              <w:spacing w:before="0" w:after="0" w:line="240" w:lineRule="auto"/>
            </w:pPr>
            <w:r>
              <w:rPr>
                <w:rFonts w:ascii="Times New Roman" w:hAnsi="Times New Roman" w:eastAsia="Times New Roman"/>
                <w:sz w:val="16"/>
              </w:rPr>
              <w:t>test_score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A-22</w:t>
            </w:r>
          </w:p>
        </w:tc>
        <w:tc>
          <w:tcPr>
            <w:tcW w:type="dxa" w:w="780"/>
          </w:tcPr>
          <w:p>
            <w:pPr>
              <w:spacing w:before="0" w:after="0" w:line="240" w:lineRule="auto"/>
            </w:pPr>
            <w:r>
              <w:rPr>
                <w:rFonts w:ascii="Times New Roman" w:hAnsi="Times New Roman" w:eastAsia="Times New Roman"/>
                <w:sz w:val="16"/>
              </w:rPr>
              <w:t>Quigley (2022)</w:t>
            </w:r>
          </w:p>
        </w:tc>
        <w:tc>
          <w:tcPr>
            <w:tcW w:type="dxa" w:w="780"/>
          </w:tcPr>
          <w:p>
            <w:pPr>
              <w:spacing w:before="0" w:after="0" w:line="240" w:lineRule="auto"/>
            </w:pPr>
            <w:r>
              <w:rPr>
                <w:rFonts w:ascii="Times New Roman" w:hAnsi="Times New Roman" w:eastAsia="Times New Roman"/>
                <w:sz w:val="16"/>
              </w:rPr>
              <w:t>301</w:t>
            </w:r>
          </w:p>
        </w:tc>
        <w:tc>
          <w:tcPr>
            <w:tcW w:type="dxa" w:w="780"/>
          </w:tcPr>
          <w:p>
            <w:pPr>
              <w:spacing w:before="0" w:after="0" w:line="240" w:lineRule="auto"/>
            </w:pPr>
            <w:r>
              <w:rPr>
                <w:rFonts w:ascii="Times New Roman" w:hAnsi="Times New Roman" w:eastAsia="Times New Roman"/>
                <w:sz w:val="16"/>
              </w:rPr>
              <w:t>UK</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engagement_performance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A-23</w:t>
            </w:r>
          </w:p>
        </w:tc>
        <w:tc>
          <w:tcPr>
            <w:tcW w:type="dxa" w:w="780"/>
          </w:tcPr>
          <w:p>
            <w:pPr>
              <w:spacing w:before="0" w:after="0" w:line="240" w:lineRule="auto"/>
            </w:pPr>
            <w:r>
              <w:rPr>
                <w:rFonts w:ascii="Times New Roman" w:hAnsi="Times New Roman" w:eastAsia="Times New Roman"/>
                <w:sz w:val="16"/>
              </w:rPr>
              <w:t>Rodrigues (2024)</w:t>
            </w:r>
          </w:p>
        </w:tc>
        <w:tc>
          <w:tcPr>
            <w:tcW w:type="dxa" w:w="780"/>
          </w:tcPr>
          <w:p>
            <w:pPr>
              <w:spacing w:before="0" w:after="0" w:line="240" w:lineRule="auto"/>
            </w:pPr>
            <w:r>
              <w:rPr>
                <w:rFonts w:ascii="Times New Roman" w:hAnsi="Times New Roman" w:eastAsia="Times New Roman"/>
                <w:sz w:val="16"/>
              </w:rPr>
              <w:t>260</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A-24</w:t>
            </w:r>
          </w:p>
        </w:tc>
        <w:tc>
          <w:tcPr>
            <w:tcW w:type="dxa" w:w="780"/>
          </w:tcPr>
          <w:p>
            <w:pPr>
              <w:spacing w:before="0" w:after="0" w:line="240" w:lineRule="auto"/>
            </w:pPr>
            <w:r>
              <w:rPr>
                <w:rFonts w:ascii="Times New Roman" w:hAnsi="Times New Roman" w:eastAsia="Times New Roman"/>
                <w:sz w:val="16"/>
              </w:rPr>
              <w:t>Tlili (2023)</w:t>
            </w:r>
          </w:p>
        </w:tc>
        <w:tc>
          <w:tcPr>
            <w:tcW w:type="dxa" w:w="780"/>
          </w:tcPr>
          <w:p>
            <w:pPr>
              <w:spacing w:before="0" w:after="0" w:line="240" w:lineRule="auto"/>
            </w:pPr>
            <w:r>
              <w:rPr>
                <w:rFonts w:ascii="Times New Roman" w:hAnsi="Times New Roman" w:eastAsia="Times New Roman"/>
                <w:sz w:val="16"/>
              </w:rPr>
              <w:t>65</w:t>
            </w:r>
          </w:p>
        </w:tc>
        <w:tc>
          <w:tcPr>
            <w:tcW w:type="dxa" w:w="780"/>
          </w:tcPr>
          <w:p>
            <w:pPr>
              <w:spacing w:before="0" w:after="0" w:line="240" w:lineRule="auto"/>
            </w:pPr>
            <w:r>
              <w:rPr>
                <w:rFonts w:ascii="Times New Roman" w:hAnsi="Times New Roman" w:eastAsia="Times New Roman"/>
                <w:sz w:val="16"/>
              </w:rPr>
              <w:t>Tunisia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Other</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navigational_behavior</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A-25</w:t>
            </w:r>
          </w:p>
        </w:tc>
        <w:tc>
          <w:tcPr>
            <w:tcW w:type="dxa" w:w="780"/>
          </w:tcPr>
          <w:p>
            <w:pPr>
              <w:spacing w:before="0" w:after="0" w:line="240" w:lineRule="auto"/>
            </w:pPr>
            <w:r>
              <w:rPr>
                <w:rFonts w:ascii="Times New Roman" w:hAnsi="Times New Roman" w:eastAsia="Times New Roman"/>
                <w:sz w:val="16"/>
              </w:rPr>
              <w:t>Tokiwa (2025)</w:t>
            </w:r>
          </w:p>
        </w:tc>
        <w:tc>
          <w:tcPr>
            <w:tcW w:type="dxa" w:w="780"/>
          </w:tcPr>
          <w:p>
            <w:pPr>
              <w:spacing w:before="0" w:after="0" w:line="240" w:lineRule="auto"/>
            </w:pPr>
            <w:r>
              <w:rPr>
                <w:rFonts w:ascii="Times New Roman" w:hAnsi="Times New Roman" w:eastAsia="Times New Roman"/>
                <w:sz w:val="16"/>
              </w:rPr>
              <w:t>103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BFI-2-J</w:t>
            </w:r>
          </w:p>
        </w:tc>
        <w:tc>
          <w:tcPr>
            <w:tcW w:type="dxa" w:w="780"/>
          </w:tcPr>
          <w:p>
            <w:pPr>
              <w:spacing w:before="0" w:after="0" w:line="240" w:lineRule="auto"/>
            </w:pPr>
            <w:r>
              <w:rPr>
                <w:rFonts w:ascii="Times New Roman" w:hAnsi="Times New Roman" w:eastAsia="Times New Roman"/>
                <w:sz w:val="16"/>
              </w:rPr>
              <w:t>test_completion</w:t>
            </w:r>
          </w:p>
        </w:tc>
        <w:tc>
          <w:tcPr>
            <w:tcW w:type="dxa" w:w="780"/>
          </w:tcPr>
          <w:p>
            <w:pPr>
              <w:spacing w:before="0" w:after="0" w:line="240" w:lineRule="auto"/>
            </w:pPr>
            <w:r>
              <w:rPr>
                <w:rFonts w:ascii="Times New Roman" w:hAnsi="Times New Roman" w:eastAsia="Times New Roman"/>
                <w:sz w:val="16"/>
              </w:rPr>
              <w:t>Inc (COI)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A-26</w:t>
            </w:r>
          </w:p>
        </w:tc>
        <w:tc>
          <w:tcPr>
            <w:tcW w:type="dxa" w:w="780"/>
          </w:tcPr>
          <w:p>
            <w:pPr>
              <w:spacing w:before="0" w:after="0" w:line="240" w:lineRule="auto"/>
            </w:pPr>
            <w:r>
              <w:rPr>
                <w:rFonts w:ascii="Times New Roman" w:hAnsi="Times New Roman" w:eastAsia="Times New Roman"/>
                <w:sz w:val="16"/>
              </w:rPr>
              <w:t>Wang (2023)</w:t>
            </w:r>
          </w:p>
        </w:tc>
        <w:tc>
          <w:tcPr>
            <w:tcW w:type="dxa" w:w="780"/>
          </w:tcPr>
          <w:p>
            <w:pPr>
              <w:spacing w:before="0" w:after="0" w:line="240" w:lineRule="auto"/>
            </w:pPr>
            <w:r>
              <w:rPr>
                <w:rFonts w:ascii="Times New Roman" w:hAnsi="Times New Roman" w:eastAsia="Times New Roman"/>
                <w:sz w:val="16"/>
              </w:rPr>
              <w:t>1625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achievement_self_report</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A-27</w:t>
            </w:r>
          </w:p>
        </w:tc>
        <w:tc>
          <w:tcPr>
            <w:tcW w:type="dxa" w:w="780"/>
          </w:tcPr>
          <w:p>
            <w:pPr>
              <w:spacing w:before="0" w:after="0" w:line="240" w:lineRule="auto"/>
            </w:pPr>
            <w:r>
              <w:rPr>
                <w:rFonts w:ascii="Times New Roman" w:hAnsi="Times New Roman" w:eastAsia="Times New Roman"/>
                <w:sz w:val="16"/>
              </w:rPr>
              <w:t>Wu_Yu (2024)</w:t>
            </w:r>
          </w:p>
        </w:tc>
        <w:tc>
          <w:tcPr>
            <w:tcW w:type="dxa" w:w="780"/>
          </w:tcPr>
          <w:p>
            <w:pPr>
              <w:spacing w:before="0" w:after="0" w:line="240" w:lineRule="auto"/>
            </w:pPr>
            <w:r>
              <w:rPr>
                <w:rFonts w:ascii="Times New Roman" w:hAnsi="Times New Roman" w:eastAsia="Times New Roman"/>
                <w:sz w:val="16"/>
              </w:rPr>
              <w:t>1004</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e_learning</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Big Five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r>
      <w:tr>
        <w:tc>
          <w:tcPr>
            <w:tcW w:type="dxa" w:w="780"/>
          </w:tcPr>
          <w:p>
            <w:pPr>
              <w:spacing w:before="0" w:after="0" w:line="240" w:lineRule="auto"/>
            </w:pPr>
            <w:r>
              <w:rPr>
                <w:rFonts w:ascii="Times New Roman" w:hAnsi="Times New Roman" w:eastAsia="Times New Roman"/>
                <w:sz w:val="16"/>
              </w:rPr>
              <w:t>A-28</w:t>
            </w:r>
          </w:p>
        </w:tc>
        <w:tc>
          <w:tcPr>
            <w:tcW w:type="dxa" w:w="780"/>
          </w:tcPr>
          <w:p>
            <w:pPr>
              <w:spacing w:before="0" w:after="0" w:line="240" w:lineRule="auto"/>
            </w:pPr>
            <w:r>
              <w:rPr>
                <w:rFonts w:ascii="Times New Roman" w:hAnsi="Times New Roman" w:eastAsia="Times New Roman"/>
                <w:sz w:val="16"/>
              </w:rPr>
              <w:t>Yu (2021)</w:t>
            </w:r>
          </w:p>
        </w:tc>
        <w:tc>
          <w:tcPr>
            <w:tcW w:type="dxa" w:w="780"/>
          </w:tcPr>
          <w:p>
            <w:pPr>
              <w:spacing w:before="0" w:after="0" w:line="240" w:lineRule="auto"/>
            </w:pPr>
            <w:r>
              <w:rPr>
                <w:rFonts w:ascii="Times New Roman" w:hAnsi="Times New Roman" w:eastAsia="Times New Roman"/>
                <w:sz w:val="16"/>
              </w:rPr>
              <w:t>1152</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Big Five Scale (McCrae)</w:t>
            </w:r>
          </w:p>
        </w:tc>
        <w:tc>
          <w:tcPr>
            <w:tcW w:type="dxa" w:w="780"/>
          </w:tcPr>
          <w:p>
            <w:pPr>
              <w:spacing w:before="0" w:after="0" w:line="240" w:lineRule="auto"/>
            </w:pPr>
            <w:r>
              <w:rPr>
                <w:rFonts w:ascii="Times New Roman" w:hAnsi="Times New Roman" w:eastAsia="Times New Roman"/>
                <w:sz w:val="16"/>
              </w:rPr>
              <w:t>MOOC_composite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A-29</w:t>
            </w:r>
          </w:p>
        </w:tc>
        <w:tc>
          <w:tcPr>
            <w:tcW w:type="dxa" w:w="780"/>
          </w:tcPr>
          <w:p>
            <w:pPr>
              <w:spacing w:before="0" w:after="0" w:line="240" w:lineRule="auto"/>
            </w:pPr>
            <w:r>
              <w:rPr>
                <w:rFonts w:ascii="Times New Roman" w:hAnsi="Times New Roman" w:eastAsia="Times New Roman"/>
                <w:sz w:val="16"/>
              </w:rPr>
              <w:t>Bahcekapili (2020)</w:t>
            </w:r>
          </w:p>
        </w:tc>
        <w:tc>
          <w:tcPr>
            <w:tcW w:type="dxa" w:w="780"/>
          </w:tcPr>
          <w:p>
            <w:pPr>
              <w:spacing w:before="0" w:after="0" w:line="240" w:lineRule="auto"/>
            </w:pPr>
            <w:r>
              <w:rPr>
                <w:rFonts w:ascii="Times New Roman" w:hAnsi="Times New Roman" w:eastAsia="Times New Roman"/>
                <w:sz w:val="16"/>
              </w:rPr>
              <w:t>525</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 Turkish</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A-30</w:t>
            </w:r>
          </w:p>
        </w:tc>
        <w:tc>
          <w:tcPr>
            <w:tcW w:type="dxa" w:w="780"/>
          </w:tcPr>
          <w:p>
            <w:pPr>
              <w:spacing w:before="0" w:after="0" w:line="240" w:lineRule="auto"/>
            </w:pPr>
            <w:r>
              <w:rPr>
                <w:rFonts w:ascii="Times New Roman" w:hAnsi="Times New Roman" w:eastAsia="Times New Roman"/>
                <w:sz w:val="16"/>
              </w:rPr>
              <w:t>Kaspar (2023)</w:t>
            </w:r>
          </w:p>
        </w:tc>
        <w:tc>
          <w:tcPr>
            <w:tcW w:type="dxa" w:w="780"/>
          </w:tcPr>
          <w:p>
            <w:pPr>
              <w:spacing w:before="0" w:after="0" w:line="240" w:lineRule="auto"/>
            </w:pPr>
            <w:r>
              <w:rPr>
                <w:rFonts w:ascii="Times New Roman" w:hAnsi="Times New Roman" w:eastAsia="Times New Roman"/>
                <w:sz w:val="16"/>
              </w:rPr>
              <w:t>413</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 German</w:t>
            </w:r>
          </w:p>
        </w:tc>
        <w:tc>
          <w:tcPr>
            <w:tcW w:type="dxa" w:w="780"/>
          </w:tcPr>
          <w:p>
            <w:pPr>
              <w:spacing w:before="0" w:after="0" w:line="240" w:lineRule="auto"/>
            </w:pPr>
            <w:r>
              <w:rPr>
                <w:rFonts w:ascii="Times New Roman" w:hAnsi="Times New Roman" w:eastAsia="Times New Roman"/>
                <w:sz w:val="16"/>
              </w:rPr>
              <w:t>performance_self_rated</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A-31</w:t>
            </w:r>
          </w:p>
        </w:tc>
        <w:tc>
          <w:tcPr>
            <w:tcW w:type="dxa" w:w="780"/>
          </w:tcPr>
          <w:p>
            <w:pPr>
              <w:spacing w:before="0" w:after="0" w:line="240" w:lineRule="auto"/>
            </w:pPr>
            <w:r>
              <w:rPr>
                <w:rFonts w:ascii="Times New Roman" w:hAnsi="Times New Roman" w:eastAsia="Times New Roman"/>
                <w:sz w:val="16"/>
              </w:rPr>
              <w:t>Rivers (2021)</w:t>
            </w:r>
          </w:p>
        </w:tc>
        <w:tc>
          <w:tcPr>
            <w:tcW w:type="dxa" w:w="780"/>
          </w:tcPr>
          <w:p>
            <w:pPr>
              <w:spacing w:before="0" w:after="0" w:line="240" w:lineRule="auto"/>
            </w:pPr>
            <w:r>
              <w:rPr>
                <w:rFonts w:ascii="Times New Roman" w:hAnsi="Times New Roman" w:eastAsia="Times New Roman"/>
                <w:sz w:val="16"/>
              </w:rPr>
              <w:t>149</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TIPI-J</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A-37</w:t>
            </w:r>
          </w:p>
        </w:tc>
        <w:tc>
          <w:tcPr>
            <w:tcW w:type="dxa" w:w="780"/>
          </w:tcPr>
          <w:p>
            <w:pPr>
              <w:spacing w:before="0" w:after="0" w:line="240" w:lineRule="auto"/>
            </w:pPr>
            <w:r>
              <w:rPr>
                <w:rFonts w:ascii="Times New Roman" w:hAnsi="Times New Roman" w:eastAsia="Times New Roman"/>
                <w:sz w:val="16"/>
              </w:rPr>
              <w:t>Zheng (2023)</w:t>
            </w:r>
          </w:p>
        </w:tc>
        <w:tc>
          <w:tcPr>
            <w:tcW w:type="dxa" w:w="780"/>
          </w:tcPr>
          <w:p>
            <w:pPr>
              <w:spacing w:before="0" w:after="0" w:line="240" w:lineRule="auto"/>
            </w:pPr>
            <w:r>
              <w:rPr>
                <w:rFonts w:ascii="Times New Roman" w:hAnsi="Times New Roman" w:eastAsia="Times New Roman"/>
                <w:sz w:val="16"/>
              </w:rPr>
              <w:t>282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Mixed_3era</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TIPI</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4</w:t>
            </w:r>
          </w:p>
        </w:tc>
      </w:tr>
    </w:tbl>
    <w:p>
      <w:pPr>
        <w:spacing w:line="480" w:lineRule="auto" w:before="0" w:after="0"/>
      </w:pPr>
      <w:r>
        <w:rPr>
          <w:rFonts w:ascii="Times New Roman" w:hAnsi="Times New Roman" w:eastAsia="Times New Roman"/>
          <w:sz w:val="24"/>
        </w:rPr>
        <w:t xml:space="preserve">Note. ID = study identifier in the deep-reading-notes ledger (A-XX sequence). </w:t>
      </w:r>
      <w:r>
        <w:rPr>
          <w:rFonts w:ascii="Times New Roman" w:hAnsi="Times New Roman" w:eastAsia="Times New Roman"/>
          <w:i/>
          <w:sz w:val="24"/>
        </w:rPr>
        <w:t>N</w:t>
      </w:r>
      <w:r>
        <w:rPr>
          <w:rFonts w:ascii="Times New Roman" w:hAnsi="Times New Roman" w:eastAsia="Times New Roman"/>
          <w:sz w:val="24"/>
        </w:rPr>
        <w:t xml:space="preserve"> = analytic sample size. Mode (modality): Online = fully online; FtF = face-to-face (excluded at modality screening); Mixed = blended or mode-comparing design; Online* = mode not explicitly specified in the source. Level (education level): UG = undergraduate; Grad = graduate; UG/Grad = mixed undergraduate-graduate; K-12 = elementary through high school; Sec/Post = mixed secondary-postsecondary. Era: pre-COVID ≤ 2019; COVID = 2020–2022; post-COVID ≥ 2023. Region: classified per country of data collection. Instrument: abbreviated personality inventory label. Outcome: abbreviated outcome construct. Inclusion column groups studies into three tiers: (1) QUANTITATIVE PRIMARY POOL (</w:t>
      </w:r>
      <w:r>
        <w:rPr>
          <w:rFonts w:ascii="Times New Roman" w:hAnsi="Times New Roman" w:eastAsia="Times New Roman"/>
          <w:i/>
          <w:sz w:val="24"/>
        </w:rPr>
        <w:t>k</w:t>
      </w:r>
      <w:r>
        <w:rPr>
          <w:rFonts w:ascii="Times New Roman" w:hAnsi="Times New Roman" w:eastAsia="Times New Roman"/>
          <w:sz w:val="24"/>
        </w:rPr>
        <w:t xml:space="preserve"> = 10) — Inc-pri = included in primary achievement pool with direct r; Inc-pri* = included with caveat (β-converted, partial trait coverage, or conditional outcome proxy); Inc (COI) = included with conflict-of-interest flag (author's own prior study, sensitivity analysis excludes). (2) QUALITATIVE / SECONDARY SYNTHESIS (retained for narrative) — Inc-sec = retained in the systematic review for secondary outcomes (satisfaction, engagement, preference, perception) but no extractable </w:t>
      </w:r>
      <w:r>
        <w:rPr>
          <w:rFonts w:ascii="Times New Roman" w:hAnsi="Times New Roman" w:eastAsia="Times New Roman"/>
          <w:i/>
          <w:sz w:val="24"/>
        </w:rPr>
        <w:t>r</w:t>
      </w:r>
      <w:r>
        <w:rPr>
          <w:rFonts w:ascii="Times New Roman" w:hAnsi="Times New Roman" w:eastAsia="Times New Roman"/>
          <w:sz w:val="24"/>
        </w:rPr>
        <w:t xml:space="preserve"> for the primary achievement pool. (3) EXCLUDED POST-ELIGIBILITY (documented for PRISMA transparency, NOT in synthesis) — Exc = excluded at eligibility (face-to-face modality, or no extractable effect size); Exc-dup = excluded due to sample overlap with an already-included study; — = PDF could not be retrieved. The 31 catalogued studies decompose as: 10 primary + 15 secondary = 25 retained, plus 6 documented post-eligibility exclusions. RoB = aggregate score on the Joanna Briggs Institute 8-item critical appraisal checklist (0–8; higher = lower risk). A-14 Eilam (2009) and A-27 Wu &amp; Yu (2024) are omitted from the table because the former was excluded at the modality screening stage (face-to-face) and the latter was not available as a retrievable PDF; both are disclosed in the PRISMA flow (Figure 1). Author-correction notes for studies whose original bibliographic metadata differed from the verified author, year, or country (A-06, A-07, A-08, A-12, A-13, A-16, A-18, A-20) are provided in the OSF project (Supplementary Material).</w:t>
      </w:r>
    </w:p>
    <w:p>
      <w:r>
        <w:br w:type="page"/>
      </w:r>
    </w:p>
    <w:p>
      <w:pPr>
        <w:spacing w:line="480" w:lineRule="auto" w:before="0" w:after="0"/>
      </w:pPr>
      <w:r>
        <w:rPr>
          <w:rFonts w:ascii="Times New Roman" w:hAnsi="Times New Roman"/>
          <w:b/>
          <w:sz w:val="24"/>
        </w:rPr>
        <w:t>Table 2</w:t>
      </w:r>
    </w:p>
    <w:p>
      <w:pPr>
        <w:spacing w:line="480" w:lineRule="auto" w:before="0" w:after="0"/>
      </w:pPr>
      <w:r>
        <w:rPr>
          <w:rFonts w:ascii="Times New Roman" w:hAnsi="Times New Roman"/>
          <w:i/>
          <w:sz w:val="24"/>
        </w:rPr>
        <w:t>Random-Effects Pooled Correlations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276" w:lineRule="auto"/>
            </w:pPr>
            <w:r>
              <w:rPr>
                <w:rFonts w:ascii="Times New Roman" w:hAnsi="Times New Roman" w:eastAsia="Times New Roman"/>
                <w:b/>
                <w:sz w:val="20"/>
              </w:rPr>
              <w:t>Trait</w:t>
            </w:r>
          </w:p>
        </w:tc>
        <w:tc>
          <w:tcPr>
            <w:tcW w:type="dxa" w:w="1040"/>
          </w:tcPr>
          <w:p>
            <w:pPr>
              <w:spacing w:before="0" w:after="0" w:line="276" w:lineRule="auto"/>
            </w:pPr>
            <w:r>
              <w:rPr>
                <w:rFonts w:ascii="Times New Roman" w:hAnsi="Times New Roman" w:eastAsia="Times New Roman"/>
                <w:b/>
                <w:sz w:val="20"/>
              </w:rPr>
              <w:t>k</w:t>
            </w:r>
          </w:p>
        </w:tc>
        <w:tc>
          <w:tcPr>
            <w:tcW w:type="dxa" w:w="1040"/>
          </w:tcPr>
          <w:p>
            <w:pPr>
              <w:spacing w:before="0" w:after="0" w:line="276" w:lineRule="auto"/>
            </w:pPr>
            <w:r>
              <w:rPr>
                <w:rFonts w:ascii="Times New Roman" w:hAnsi="Times New Roman" w:eastAsia="Times New Roman"/>
                <w:b/>
                <w:sz w:val="20"/>
              </w:rPr>
              <w:t>N</w:t>
            </w:r>
          </w:p>
        </w:tc>
        <w:tc>
          <w:tcPr>
            <w:tcW w:type="dxa" w:w="1040"/>
          </w:tcPr>
          <w:p>
            <w:pPr>
              <w:spacing w:before="0" w:after="0" w:line="276" w:lineRule="auto"/>
            </w:pPr>
            <w:r>
              <w:rPr>
                <w:rFonts w:ascii="Times New Roman" w:hAnsi="Times New Roman" w:eastAsia="Times New Roman"/>
                <w:b/>
                <w:sz w:val="20"/>
              </w:rPr>
              <w:t>r</w:t>
            </w:r>
          </w:p>
        </w:tc>
        <w:tc>
          <w:tcPr>
            <w:tcW w:type="dxa" w:w="1040"/>
          </w:tcPr>
          <w:p>
            <w:pPr>
              <w:spacing w:before="0" w:after="0" w:line="276" w:lineRule="auto"/>
            </w:pPr>
            <w:r>
              <w:rPr>
                <w:rFonts w:ascii="Times New Roman" w:hAnsi="Times New Roman" w:eastAsia="Times New Roman"/>
                <w:b/>
                <w:sz w:val="20"/>
              </w:rPr>
              <w:t>95% CI</w:t>
            </w:r>
          </w:p>
        </w:tc>
        <w:tc>
          <w:tcPr>
            <w:tcW w:type="dxa" w:w="1040"/>
          </w:tcPr>
          <w:p>
            <w:pPr>
              <w:spacing w:before="0" w:after="0" w:line="276" w:lineRule="auto"/>
            </w:pPr>
            <w:r>
              <w:rPr>
                <w:rFonts w:ascii="Times New Roman" w:hAnsi="Times New Roman" w:eastAsia="Times New Roman"/>
                <w:b/>
                <w:sz w:val="20"/>
              </w:rPr>
              <w:t>95% PI</w:t>
            </w:r>
          </w:p>
        </w:tc>
        <w:tc>
          <w:tcPr>
            <w:tcW w:type="dxa" w:w="1040"/>
          </w:tcPr>
          <w:p>
            <w:pPr>
              <w:spacing w:before="0" w:after="0" w:line="276" w:lineRule="auto"/>
            </w:pPr>
            <w:r>
              <w:rPr>
                <w:rFonts w:ascii="Times New Roman" w:hAnsi="Times New Roman" w:eastAsia="Times New Roman"/>
                <w:b/>
                <w:sz w:val="20"/>
              </w:rPr>
              <w:t>I²</w:t>
            </w:r>
          </w:p>
        </w:tc>
        <w:tc>
          <w:tcPr>
            <w:tcW w:type="dxa" w:w="1040"/>
          </w:tcPr>
          <w:p>
            <w:pPr>
              <w:spacing w:before="0" w:after="0" w:line="276" w:lineRule="auto"/>
            </w:pPr>
            <w:r>
              <w:rPr>
                <w:rFonts w:ascii="Times New Roman" w:hAnsi="Times New Roman" w:eastAsia="Times New Roman"/>
                <w:b/>
                <w:sz w:val="20"/>
              </w:rPr>
              <w:t>τ²</w:t>
            </w:r>
          </w:p>
        </w:tc>
        <w:tc>
          <w:tcPr>
            <w:tcW w:type="dxa" w:w="1040"/>
          </w:tcPr>
          <w:p>
            <w:pPr>
              <w:spacing w:before="0" w:after="0" w:line="276" w:lineRule="auto"/>
            </w:pPr>
            <w:r>
              <w:rPr>
                <w:rFonts w:ascii="Times New Roman" w:hAnsi="Times New Roman" w:eastAsia="Times New Roman"/>
                <w:sz w:val="24"/>
              </w:rPr>
              <w:t>Q(</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040"/>
          </w:tcPr>
          <w:p>
            <w:pPr>
              <w:spacing w:before="0" w:after="0" w:line="276" w:lineRule="auto"/>
            </w:pPr>
            <w:r>
              <w:rPr>
                <w:rFonts w:ascii="Times New Roman" w:hAnsi="Times New Roman" w:eastAsia="Times New Roman"/>
                <w:sz w:val="20"/>
              </w:rPr>
              <w:t>Conscientiousness</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.167</w:t>
            </w:r>
          </w:p>
        </w:tc>
        <w:tc>
          <w:tcPr>
            <w:tcW w:type="dxa" w:w="1040"/>
          </w:tcPr>
          <w:p>
            <w:pPr>
              <w:spacing w:before="0" w:after="0" w:line="276" w:lineRule="auto"/>
            </w:pPr>
            <w:r>
              <w:rPr>
                <w:rFonts w:ascii="Times New Roman" w:hAnsi="Times New Roman" w:eastAsia="Times New Roman"/>
                <w:sz w:val="20"/>
              </w:rPr>
              <w:t>[.089, .243]</w:t>
            </w:r>
          </w:p>
        </w:tc>
        <w:tc>
          <w:tcPr>
            <w:tcW w:type="dxa" w:w="1040"/>
          </w:tcPr>
          <w:p>
            <w:pPr>
              <w:spacing w:before="0" w:after="0" w:line="276" w:lineRule="auto"/>
            </w:pPr>
            <w:r>
              <w:rPr>
                <w:rFonts w:ascii="Times New Roman" w:hAnsi="Times New Roman" w:eastAsia="Times New Roman"/>
                <w:sz w:val="20"/>
              </w:rPr>
              <w:t>[−.020, .343]</w:t>
            </w:r>
          </w:p>
        </w:tc>
        <w:tc>
          <w:tcPr>
            <w:tcW w:type="dxa" w:w="1040"/>
          </w:tcPr>
          <w:p>
            <w:pPr>
              <w:spacing w:before="0" w:after="0" w:line="276" w:lineRule="auto"/>
            </w:pPr>
            <w:r>
              <w:rPr>
                <w:rFonts w:ascii="Times New Roman" w:hAnsi="Times New Roman" w:eastAsia="Times New Roman"/>
                <w:sz w:val="20"/>
              </w:rPr>
              <w:t>65.1%</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25.79(9), .002</w:t>
            </w:r>
          </w:p>
        </w:tc>
      </w:tr>
      <w:tr>
        <w:tc>
          <w:tcPr>
            <w:tcW w:type="dxa" w:w="1040"/>
          </w:tcPr>
          <w:p>
            <w:pPr>
              <w:spacing w:before="0" w:after="0" w:line="276" w:lineRule="auto"/>
            </w:pPr>
            <w:r>
              <w:rPr>
                <w:rFonts w:ascii="Times New Roman" w:hAnsi="Times New Roman" w:eastAsia="Times New Roman"/>
                <w:sz w:val="20"/>
              </w:rPr>
              <w:t>Agreeableness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.112</w:t>
            </w:r>
          </w:p>
        </w:tc>
        <w:tc>
          <w:tcPr>
            <w:tcW w:type="dxa" w:w="1040"/>
          </w:tcPr>
          <w:p>
            <w:pPr>
              <w:spacing w:before="0" w:after="0" w:line="276" w:lineRule="auto"/>
            </w:pPr>
            <w:r>
              <w:rPr>
                <w:rFonts w:ascii="Times New Roman" w:hAnsi="Times New Roman" w:eastAsia="Times New Roman"/>
                <w:sz w:val="20"/>
              </w:rPr>
              <w:t>[−.031, .250]</w:t>
            </w:r>
          </w:p>
        </w:tc>
        <w:tc>
          <w:tcPr>
            <w:tcW w:type="dxa" w:w="1040"/>
          </w:tcPr>
          <w:p>
            <w:pPr>
              <w:spacing w:before="0" w:after="0" w:line="276" w:lineRule="auto"/>
            </w:pPr>
            <w:r>
              <w:rPr>
                <w:rFonts w:ascii="Times New Roman" w:hAnsi="Times New Roman" w:eastAsia="Times New Roman"/>
                <w:sz w:val="20"/>
              </w:rPr>
              <w:t>[−.310, .496]</w:t>
            </w:r>
          </w:p>
        </w:tc>
        <w:tc>
          <w:tcPr>
            <w:tcW w:type="dxa" w:w="1040"/>
          </w:tcPr>
          <w:p>
            <w:pPr>
              <w:spacing w:before="0" w:after="0" w:line="276" w:lineRule="auto"/>
            </w:pPr>
            <w:r>
              <w:rPr>
                <w:rFonts w:ascii="Times New Roman" w:hAnsi="Times New Roman" w:eastAsia="Times New Roman"/>
                <w:sz w:val="20"/>
              </w:rPr>
              <w:t>96.2%</w:t>
            </w:r>
          </w:p>
        </w:tc>
        <w:tc>
          <w:tcPr>
            <w:tcW w:type="dxa" w:w="1040"/>
          </w:tcPr>
          <w:p>
            <w:pPr>
              <w:spacing w:before="0" w:after="0" w:line="276" w:lineRule="auto"/>
            </w:pPr>
            <w:r>
              <w:rPr>
                <w:rFonts w:ascii="Times New Roman" w:hAnsi="Times New Roman" w:eastAsia="Times New Roman"/>
                <w:sz w:val="20"/>
              </w:rPr>
              <w:t>.030</w:t>
            </w:r>
          </w:p>
        </w:tc>
        <w:tc>
          <w:tcPr>
            <w:tcW w:type="dxa" w:w="1040"/>
          </w:tcPr>
          <w:p>
            <w:pPr>
              <w:spacing w:before="0" w:after="0" w:line="276" w:lineRule="auto"/>
            </w:pPr>
            <w:r>
              <w:rPr>
                <w:rFonts w:ascii="Times New Roman" w:hAnsi="Times New Roman" w:eastAsia="Times New Roman"/>
                <w:sz w:val="20"/>
              </w:rPr>
              <w:t>208.49(8), &lt;.001</w:t>
            </w:r>
          </w:p>
        </w:tc>
      </w:tr>
      <w:tr>
        <w:tc>
          <w:tcPr>
            <w:tcW w:type="dxa" w:w="1040"/>
          </w:tcPr>
          <w:p>
            <w:pPr>
              <w:spacing w:before="0" w:after="0" w:line="276" w:lineRule="auto"/>
            </w:pPr>
            <w:r>
              <w:rPr>
                <w:rFonts w:ascii="Times New Roman" w:hAnsi="Times New Roman" w:eastAsia="Times New Roman"/>
                <w:sz w:val="20"/>
              </w:rPr>
              <w:t>Openness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.086</w:t>
            </w:r>
          </w:p>
        </w:tc>
        <w:tc>
          <w:tcPr>
            <w:tcW w:type="dxa" w:w="1040"/>
          </w:tcPr>
          <w:p>
            <w:pPr>
              <w:spacing w:before="0" w:after="0" w:line="276" w:lineRule="auto"/>
            </w:pPr>
            <w:r>
              <w:rPr>
                <w:rFonts w:ascii="Times New Roman" w:hAnsi="Times New Roman" w:eastAsia="Times New Roman"/>
                <w:sz w:val="20"/>
              </w:rPr>
              <w:t>[−.044, .214]</w:t>
            </w:r>
          </w:p>
        </w:tc>
        <w:tc>
          <w:tcPr>
            <w:tcW w:type="dxa" w:w="1040"/>
          </w:tcPr>
          <w:p>
            <w:pPr>
              <w:spacing w:before="0" w:after="0" w:line="276" w:lineRule="auto"/>
            </w:pPr>
            <w:r>
              <w:rPr>
                <w:rFonts w:ascii="Times New Roman" w:hAnsi="Times New Roman" w:eastAsia="Times New Roman"/>
                <w:sz w:val="20"/>
              </w:rPr>
              <w:t>[−.273, .425]</w:t>
            </w:r>
          </w:p>
        </w:tc>
        <w:tc>
          <w:tcPr>
            <w:tcW w:type="dxa" w:w="1040"/>
          </w:tcPr>
          <w:p>
            <w:pPr>
              <w:spacing w:before="0" w:after="0" w:line="276" w:lineRule="auto"/>
            </w:pPr>
            <w:r>
              <w:rPr>
                <w:rFonts w:ascii="Times New Roman" w:hAnsi="Times New Roman" w:eastAsia="Times New Roman"/>
                <w:sz w:val="20"/>
              </w:rPr>
              <w:t>92.0%</w:t>
            </w:r>
          </w:p>
        </w:tc>
        <w:tc>
          <w:tcPr>
            <w:tcW w:type="dxa" w:w="1040"/>
          </w:tcPr>
          <w:p>
            <w:pPr>
              <w:spacing w:before="0" w:after="0" w:line="276" w:lineRule="auto"/>
            </w:pPr>
            <w:r>
              <w:rPr>
                <w:rFonts w:ascii="Times New Roman" w:hAnsi="Times New Roman" w:eastAsia="Times New Roman"/>
                <w:sz w:val="20"/>
              </w:rPr>
              <w:t>.021</w:t>
            </w:r>
          </w:p>
        </w:tc>
        <w:tc>
          <w:tcPr>
            <w:tcW w:type="dxa" w:w="1040"/>
          </w:tcPr>
          <w:p>
            <w:pPr>
              <w:spacing w:before="0" w:after="0" w:line="276" w:lineRule="auto"/>
            </w:pPr>
            <w:r>
              <w:rPr>
                <w:rFonts w:ascii="Times New Roman" w:hAnsi="Times New Roman" w:eastAsia="Times New Roman"/>
                <w:sz w:val="20"/>
              </w:rPr>
              <w:t>100.17(8), &lt;.001</w:t>
            </w:r>
          </w:p>
        </w:tc>
      </w:tr>
      <w:tr>
        <w:tc>
          <w:tcPr>
            <w:tcW w:type="dxa" w:w="1040"/>
          </w:tcPr>
          <w:p>
            <w:pPr>
              <w:spacing w:before="0" w:after="0" w:line="276" w:lineRule="auto"/>
            </w:pPr>
            <w:r>
              <w:rPr>
                <w:rFonts w:ascii="Times New Roman" w:hAnsi="Times New Roman" w:eastAsia="Times New Roman"/>
                <w:sz w:val="20"/>
              </w:rPr>
              <w:t>Neuroticism</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.018</w:t>
            </w:r>
          </w:p>
        </w:tc>
        <w:tc>
          <w:tcPr>
            <w:tcW w:type="dxa" w:w="1040"/>
          </w:tcPr>
          <w:p>
            <w:pPr>
              <w:spacing w:before="0" w:after="0" w:line="276" w:lineRule="auto"/>
            </w:pPr>
            <w:r>
              <w:rPr>
                <w:rFonts w:ascii="Times New Roman" w:hAnsi="Times New Roman" w:eastAsia="Times New Roman"/>
                <w:sz w:val="20"/>
              </w:rPr>
              <w:t>[−.079, .114]</w:t>
            </w:r>
          </w:p>
        </w:tc>
        <w:tc>
          <w:tcPr>
            <w:tcW w:type="dxa" w:w="1040"/>
          </w:tcPr>
          <w:p>
            <w:pPr>
              <w:spacing w:before="0" w:after="0" w:line="276" w:lineRule="auto"/>
            </w:pPr>
            <w:r>
              <w:rPr>
                <w:rFonts w:ascii="Times New Roman" w:hAnsi="Times New Roman" w:eastAsia="Times New Roman"/>
                <w:sz w:val="20"/>
              </w:rPr>
              <w:t>[−.229, .263]</w:t>
            </w:r>
          </w:p>
        </w:tc>
        <w:tc>
          <w:tcPr>
            <w:tcW w:type="dxa" w:w="1040"/>
          </w:tcPr>
          <w:p>
            <w:pPr>
              <w:spacing w:before="0" w:after="0" w:line="276" w:lineRule="auto"/>
            </w:pPr>
            <w:r>
              <w:rPr>
                <w:rFonts w:ascii="Times New Roman" w:hAnsi="Times New Roman" w:eastAsia="Times New Roman"/>
                <w:sz w:val="20"/>
              </w:rPr>
              <w:t>79.0%</w:t>
            </w:r>
          </w:p>
        </w:tc>
        <w:tc>
          <w:tcPr>
            <w:tcW w:type="dxa" w:w="1040"/>
          </w:tcPr>
          <w:p>
            <w:pPr>
              <w:spacing w:before="0" w:after="0" w:line="276" w:lineRule="auto"/>
            </w:pPr>
            <w:r>
              <w:rPr>
                <w:rFonts w:ascii="Times New Roman" w:hAnsi="Times New Roman" w:eastAsia="Times New Roman"/>
                <w:sz w:val="20"/>
              </w:rPr>
              <w:t>.010</w:t>
            </w:r>
          </w:p>
        </w:tc>
        <w:tc>
          <w:tcPr>
            <w:tcW w:type="dxa" w:w="1040"/>
          </w:tcPr>
          <w:p>
            <w:pPr>
              <w:spacing w:before="0" w:after="0" w:line="276" w:lineRule="auto"/>
            </w:pPr>
            <w:r>
              <w:rPr>
                <w:rFonts w:ascii="Times New Roman" w:hAnsi="Times New Roman" w:eastAsia="Times New Roman"/>
                <w:sz w:val="20"/>
              </w:rPr>
              <w:t>42.76(9), &lt;.001</w:t>
            </w:r>
          </w:p>
        </w:tc>
      </w:tr>
      <w:tr>
        <w:tc>
          <w:tcPr>
            <w:tcW w:type="dxa" w:w="1040"/>
          </w:tcPr>
          <w:p>
            <w:pPr>
              <w:spacing w:before="0" w:after="0" w:line="276" w:lineRule="auto"/>
            </w:pPr>
            <w:r>
              <w:rPr>
                <w:rFonts w:ascii="Times New Roman" w:hAnsi="Times New Roman" w:eastAsia="Times New Roman"/>
                <w:sz w:val="20"/>
              </w:rPr>
              <w:t>Extraversion</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.002</w:t>
            </w:r>
          </w:p>
        </w:tc>
        <w:tc>
          <w:tcPr>
            <w:tcW w:type="dxa" w:w="1040"/>
          </w:tcPr>
          <w:p>
            <w:pPr>
              <w:spacing w:before="0" w:after="0" w:line="276" w:lineRule="auto"/>
            </w:pPr>
            <w:r>
              <w:rPr>
                <w:rFonts w:ascii="Times New Roman" w:hAnsi="Times New Roman" w:eastAsia="Times New Roman"/>
                <w:sz w:val="20"/>
              </w:rPr>
              <w:t>[−.076, .080]</w:t>
            </w:r>
          </w:p>
        </w:tc>
        <w:tc>
          <w:tcPr>
            <w:tcW w:type="dxa" w:w="1040"/>
          </w:tcPr>
          <w:p>
            <w:pPr>
              <w:spacing w:before="0" w:after="0" w:line="276" w:lineRule="auto"/>
            </w:pPr>
            <w:r>
              <w:rPr>
                <w:rFonts w:ascii="Times New Roman" w:hAnsi="Times New Roman" w:eastAsia="Times New Roman"/>
                <w:sz w:val="20"/>
              </w:rPr>
              <w:t>[−.195, .200]</w:t>
            </w:r>
          </w:p>
        </w:tc>
        <w:tc>
          <w:tcPr>
            <w:tcW w:type="dxa" w:w="1040"/>
          </w:tcPr>
          <w:p>
            <w:pPr>
              <w:spacing w:before="0" w:after="0" w:line="276" w:lineRule="auto"/>
            </w:pPr>
            <w:r>
              <w:rPr>
                <w:rFonts w:ascii="Times New Roman" w:hAnsi="Times New Roman" w:eastAsia="Times New Roman"/>
                <w:sz w:val="20"/>
              </w:rPr>
              <w:t>75.5%</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32.66(8), &lt;.001</w:t>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independent samples contributing a direct Pearson </w:t>
      </w:r>
      <w:r>
        <w:rPr>
          <w:rFonts w:ascii="Times New Roman" w:hAnsi="Times New Roman" w:eastAsia="Times New Roman"/>
          <w:i/>
          <w:sz w:val="24"/>
        </w:rPr>
        <w:t>r</w:t>
      </w:r>
      <w:r>
        <w:rPr>
          <w:rFonts w:ascii="Times New Roman" w:hAnsi="Times New Roman" w:eastAsia="Times New Roman"/>
          <w:sz w:val="24"/>
        </w:rPr>
        <w:t xml:space="preserve"> or Peterson-Brown-converted </w:t>
      </w:r>
      <w:r>
        <w:rPr>
          <w:rFonts w:ascii="Times New Roman" w:hAnsi="Times New Roman" w:eastAsia="Times New Roman"/>
          <w:i/>
          <w:sz w:val="24"/>
        </w:rPr>
        <w:t>β</w:t>
      </w:r>
      <w:r>
        <w:rPr>
          <w:rFonts w:ascii="Times New Roman" w:hAnsi="Times New Roman" w:eastAsia="Times New Roman"/>
          <w:sz w:val="24"/>
        </w:rPr>
        <w:t xml:space="preserve"> to the trait pool. </w:t>
      </w:r>
      <w:r>
        <w:rPr>
          <w:rFonts w:ascii="Times New Roman" w:hAnsi="Times New Roman" w:eastAsia="Times New Roman"/>
          <w:i/>
          <w:sz w:val="24"/>
        </w:rPr>
        <w:t>N</w:t>
      </w:r>
      <w:r>
        <w:rPr>
          <w:rFonts w:ascii="Times New Roman" w:hAnsi="Times New Roman" w:eastAsia="Times New Roman"/>
          <w:sz w:val="24"/>
        </w:rPr>
        <w:t xml:space="preserve"> = total pooled sample size. </w:t>
      </w:r>
      <w:r>
        <w:rPr>
          <w:rFonts w:ascii="Times New Roman" w:hAnsi="Times New Roman" w:eastAsia="Times New Roman"/>
          <w:i/>
          <w:sz w:val="24"/>
        </w:rPr>
        <w:t>r</w:t>
      </w:r>
      <w:r>
        <w:rPr>
          <w:rFonts w:ascii="Times New Roman" w:hAnsi="Times New Roman" w:eastAsia="Times New Roman"/>
          <w:sz w:val="24"/>
        </w:rPr>
        <w:t xml:space="preserve"> = random-effects REML pooled correlation on the Fisher </w:t>
      </w:r>
      <w:r>
        <w:rPr>
          <w:rFonts w:ascii="Times New Roman" w:hAnsi="Times New Roman" w:eastAsia="Times New Roman"/>
          <w:i/>
          <w:sz w:val="24"/>
        </w:rPr>
        <w:t>z</w:t>
      </w:r>
      <w:r>
        <w:rPr>
          <w:rFonts w:ascii="Times New Roman" w:hAnsi="Times New Roman" w:eastAsia="Times New Roman"/>
          <w:sz w:val="24"/>
        </w:rPr>
        <w:t xml:space="preserve"> scale, back-transformed to </w:t>
      </w:r>
      <w:r>
        <w:rPr>
          <w:rFonts w:ascii="Times New Roman" w:hAnsi="Times New Roman" w:eastAsia="Times New Roman"/>
          <w:i/>
          <w:sz w:val="24"/>
        </w:rPr>
        <w:t>r</w:t>
      </w:r>
      <w:r>
        <w:rPr>
          <w:rFonts w:ascii="Times New Roman" w:hAnsi="Times New Roman" w:eastAsia="Times New Roman"/>
          <w:sz w:val="24"/>
        </w:rPr>
        <w:t xml:space="preserve"> for display. 95% CI = Hartung-Knapp-Sidik-Jonkman–adjusted confidence interval. 95% PI = prediction interval for true effects in a new study. </w:t>
      </w:r>
      <w:r>
        <w:rPr>
          <w:rFonts w:ascii="Times New Roman" w:hAnsi="Times New Roman" w:eastAsia="Times New Roman"/>
          <w:i/>
          <w:sz w:val="24"/>
        </w:rPr>
        <w:t>I²</w:t>
      </w:r>
      <w:r>
        <w:rPr>
          <w:rFonts w:ascii="Times New Roman" w:hAnsi="Times New Roman" w:eastAsia="Times New Roman"/>
          <w:sz w:val="24"/>
        </w:rPr>
        <w:t xml:space="preserve"> = Higgins &amp; Thompson's heterogeneity index. </w:t>
      </w:r>
      <w:r>
        <w:rPr>
          <w:rFonts w:ascii="Times New Roman" w:hAnsi="Times New Roman" w:eastAsia="Times New Roman"/>
          <w:i/>
          <w:sz w:val="24"/>
        </w:rPr>
        <w:t>τ²</w:t>
      </w:r>
      <w:r>
        <w:rPr>
          <w:rFonts w:ascii="Times New Roman" w:hAnsi="Times New Roman" w:eastAsia="Times New Roman"/>
          <w:sz w:val="24"/>
        </w:rPr>
        <w:t xml:space="preserve"> = REML between-study variance. </w:t>
      </w:r>
      <w:r>
        <w:rPr>
          <w:rFonts w:ascii="Times New Roman" w:hAnsi="Times New Roman" w:eastAsia="Times New Roman"/>
          <w:i/>
          <w:sz w:val="24"/>
        </w:rPr>
        <w:t>Q</w:t>
      </w:r>
      <w:r>
        <w:rPr>
          <w:rFonts w:ascii="Times New Roman" w:hAnsi="Times New Roman" w:eastAsia="Times New Roman"/>
          <w:sz w:val="24"/>
        </w:rPr>
        <w:t xml:space="preserve"> = Cochran's heterogeneity statistic; </w:t>
      </w:r>
      <w:r>
        <w:rPr>
          <w:rFonts w:ascii="Times New Roman" w:hAnsi="Times New Roman" w:eastAsia="Times New Roman"/>
          <w:i/>
          <w:sz w:val="24"/>
        </w:rPr>
        <w:t>df</w:t>
      </w:r>
      <w:r>
        <w:rPr>
          <w:rFonts w:ascii="Times New Roman" w:hAnsi="Times New Roman" w:eastAsia="Times New Roman"/>
          <w:sz w:val="24"/>
        </w:rPr>
        <w:t xml:space="preserve"> = degrees of freedom; </w:t>
      </w:r>
      <w:r>
        <w:rPr>
          <w:rFonts w:ascii="Times New Roman" w:hAnsi="Times New Roman" w:eastAsia="Times New Roman"/>
          <w:i/>
          <w:sz w:val="24"/>
        </w:rPr>
        <w:t>p</w:t>
      </w:r>
      <w:r>
        <w:rPr>
          <w:rFonts w:ascii="Times New Roman" w:hAnsi="Times New Roman" w:eastAsia="Times New Roman"/>
          <w:sz w:val="24"/>
        </w:rPr>
        <w:t xml:space="preserve"> = associated p-value. Traits are sorted by pooled </w:t>
      </w:r>
      <w:r>
        <w:rPr>
          <w:rFonts w:ascii="Times New Roman" w:hAnsi="Times New Roman" w:eastAsia="Times New Roman"/>
          <w:i/>
          <w:sz w:val="24"/>
        </w:rPr>
        <w:t>r</w:t>
      </w:r>
      <w:r>
        <w:rPr>
          <w:rFonts w:ascii="Times New Roman" w:hAnsi="Times New Roman" w:eastAsia="Times New Roman"/>
          <w:sz w:val="24"/>
        </w:rPr>
        <w:t xml:space="preserve"> (descending).</w:t>
      </w:r>
    </w:p>
    <w:p>
      <w:r>
        <w:br w:type="page"/>
      </w:r>
    </w:p>
    <w:p>
      <w:pPr>
        <w:spacing w:line="480" w:lineRule="auto" w:before="0" w:after="0"/>
      </w:pPr>
      <w:r>
        <w:rPr>
          <w:rFonts w:ascii="Times New Roman" w:hAnsi="Times New Roman"/>
          <w:b/>
          <w:sz w:val="24"/>
        </w:rPr>
        <w:t>Table 3</w:t>
      </w:r>
    </w:p>
    <w:p>
      <w:pPr>
        <w:spacing w:line="480" w:lineRule="auto" w:before="0" w:after="0"/>
      </w:pPr>
      <w:r>
        <w:rPr>
          <w:rFonts w:ascii="Times New Roman" w:hAnsi="Times New Roman"/>
          <w:i/>
          <w:sz w:val="24"/>
        </w:rPr>
        <w:t>Subgroup Moderator Analyses: Region, Era, and Outcome Type per Big Five Trait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Moderator / Trait</w:t>
            </w:r>
          </w:p>
        </w:tc>
        <w:tc>
          <w:tcPr>
            <w:tcW w:type="dxa" w:w="1872"/>
          </w:tcPr>
          <w:p>
            <w:pPr>
              <w:spacing w:before="0" w:after="0" w:line="276" w:lineRule="auto"/>
            </w:pPr>
            <w:r>
              <w:rPr>
                <w:rFonts w:ascii="Times New Roman" w:hAnsi="Times New Roman" w:eastAsia="Times New Roman"/>
                <w:b/>
                <w:sz w:val="20"/>
              </w:rPr>
              <w:t>Level</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sz w:val="24"/>
              </w:rPr>
              <w:t>Q_between(</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872"/>
          </w:tcPr>
          <w:p>
            <w:pPr>
              <w:spacing w:before="0" w:after="0" w:line="276" w:lineRule="auto"/>
            </w:pPr>
            <w:r>
              <w:rPr>
                <w:rFonts w:ascii="Times New Roman" w:hAnsi="Times New Roman" w:eastAsia="Times New Roman"/>
                <w:sz w:val="20"/>
              </w:rPr>
              <w:t>Region: Conscientiousness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.185 [.082, .284]</w:t>
            </w:r>
          </w:p>
        </w:tc>
        <w:tc>
          <w:tcPr>
            <w:tcW w:type="dxa" w:w="1872"/>
          </w:tcPr>
          <w:p>
            <w:pPr>
              <w:spacing w:before="0" w:after="0" w:line="276" w:lineRule="auto"/>
            </w:pPr>
            <w:r>
              <w:rPr>
                <w:rFonts w:ascii="Times New Roman" w:hAnsi="Times New Roman" w:eastAsia="Times New Roman"/>
                <w:sz w:val="20"/>
              </w:rPr>
              <w:t>2.68(1), .102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.111 [−.039, .257]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Openness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.053 [−.060, .164]</w:t>
            </w:r>
          </w:p>
        </w:tc>
        <w:tc>
          <w:tcPr>
            <w:tcW w:type="dxa" w:w="1872"/>
          </w:tcPr>
          <w:p>
            <w:pPr>
              <w:spacing w:before="0" w:after="0" w:line="276" w:lineRule="auto"/>
            </w:pPr>
            <w:r>
              <w:rPr>
                <w:rFonts w:ascii="Times New Roman" w:hAnsi="Times New Roman" w:eastAsia="Times New Roman"/>
                <w:sz w:val="20"/>
              </w:rPr>
              <w:t>0.26(1), .612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.164 [−.989,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Extraversion</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.050 [−.004, .104]</w:t>
            </w:r>
          </w:p>
        </w:tc>
        <w:tc>
          <w:tcPr>
            <w:tcW w:type="dxa" w:w="1872"/>
          </w:tcPr>
          <w:p>
            <w:pPr>
              <w:spacing w:before="0" w:after="0" w:line="276" w:lineRule="auto"/>
            </w:pPr>
            <w:r>
              <w:rPr>
                <w:rFonts w:ascii="Times New Roman" w:hAnsi="Times New Roman" w:eastAsia="Times New Roman"/>
                <w:sz w:val="20"/>
              </w:rPr>
              <w:t>46.43(1),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−.131 [−.314, .061]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Agreeableness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.030 [−.047, .106]</w:t>
            </w:r>
          </w:p>
        </w:tc>
        <w:tc>
          <w:tcPr>
            <w:tcW w:type="dxa" w:w="1872"/>
          </w:tcPr>
          <w:p>
            <w:pPr>
              <w:spacing w:before="0" w:after="0" w:line="276" w:lineRule="auto"/>
            </w:pPr>
            <w:r>
              <w:rPr>
                <w:rFonts w:ascii="Times New Roman" w:hAnsi="Times New Roman" w:eastAsia="Times New Roman"/>
                <w:sz w:val="20"/>
              </w:rPr>
              <w:t>2.17(1), .140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.330 [−.981, .995]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Neuroticism</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−.007 [−.130, .117]</w:t>
            </w:r>
          </w:p>
        </w:tc>
        <w:tc>
          <w:tcPr>
            <w:tcW w:type="dxa" w:w="1872"/>
          </w:tcPr>
          <w:p>
            <w:pPr>
              <w:spacing w:before="0" w:after="0" w:line="276" w:lineRule="auto"/>
            </w:pPr>
            <w:r>
              <w:rPr>
                <w:rFonts w:ascii="Times New Roman" w:hAnsi="Times New Roman" w:eastAsia="Times New Roman"/>
                <w:sz w:val="20"/>
              </w:rPr>
              <w:t>3.31(1), .069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.089 [.008, .169]</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Conscientiousness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.208 [−.041, .434]</w:t>
            </w:r>
          </w:p>
        </w:tc>
        <w:tc>
          <w:tcPr>
            <w:tcW w:type="dxa" w:w="1872"/>
          </w:tcPr>
          <w:p>
            <w:pPr>
              <w:spacing w:before="0" w:after="0" w:line="276" w:lineRule="auto"/>
            </w:pPr>
            <w:r>
              <w:rPr>
                <w:rFonts w:ascii="Times New Roman" w:hAnsi="Times New Roman" w:eastAsia="Times New Roman"/>
                <w:sz w:val="20"/>
              </w:rPr>
              <w:t>0.13(1), .716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.179 [.095, .260]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Openness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.098 [−.423, .570]</w:t>
            </w:r>
          </w:p>
        </w:tc>
        <w:tc>
          <w:tcPr>
            <w:tcW w:type="dxa" w:w="1872"/>
          </w:tcPr>
          <w:p>
            <w:pPr>
              <w:spacing w:before="0" w:after="0" w:line="276" w:lineRule="auto"/>
            </w:pPr>
            <w:r>
              <w:rPr>
                <w:rFonts w:ascii="Times New Roman" w:hAnsi="Times New Roman" w:eastAsia="Times New Roman"/>
                <w:sz w:val="20"/>
              </w:rPr>
              <w:t>0.00(1), .994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.097 [−.123, .308]</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Extraversion</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[.002, .063]</w:t>
            </w:r>
          </w:p>
        </w:tc>
        <w:tc>
          <w:tcPr>
            <w:tcW w:type="dxa" w:w="1872"/>
          </w:tcPr>
          <w:p>
            <w:pPr>
              <w:spacing w:before="0" w:after="0" w:line="276" w:lineRule="auto"/>
            </w:pPr>
            <w:r>
              <w:rPr>
                <w:rFonts w:ascii="Times New Roman" w:hAnsi="Times New Roman" w:eastAsia="Times New Roman"/>
                <w:sz w:val="20"/>
              </w:rPr>
              <w:t>0.59(1), .443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−.014 [−.180, .153]</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Agreeableness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[−.162, .225]</w:t>
            </w:r>
          </w:p>
        </w:tc>
        <w:tc>
          <w:tcPr>
            <w:tcW w:type="dxa" w:w="1872"/>
          </w:tcPr>
          <w:p>
            <w:pPr>
              <w:spacing w:before="0" w:after="0" w:line="276" w:lineRule="auto"/>
            </w:pPr>
            <w:r>
              <w:rPr>
                <w:rFonts w:ascii="Times New Roman" w:hAnsi="Times New Roman" w:eastAsia="Times New Roman"/>
                <w:sz w:val="20"/>
              </w:rPr>
              <w:t>1.09(1), .296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.153 [−.141, .422]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Neuroticism</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−.050 [−.173, .074]</w:t>
            </w:r>
          </w:p>
        </w:tc>
        <w:tc>
          <w:tcPr>
            <w:tcW w:type="dxa" w:w="1872"/>
          </w:tcPr>
          <w:p>
            <w:pPr>
              <w:spacing w:before="0" w:after="0" w:line="276" w:lineRule="auto"/>
            </w:pPr>
            <w:r>
              <w:rPr>
                <w:rFonts w:ascii="Times New Roman" w:hAnsi="Times New Roman" w:eastAsia="Times New Roman"/>
                <w:sz w:val="20"/>
              </w:rPr>
              <w:t>2.04(1), .153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.060 [−.125, .240]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Conscientiousness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.147 [.048, .243]</w:t>
            </w:r>
          </w:p>
        </w:tc>
        <w:tc>
          <w:tcPr>
            <w:tcW w:type="dxa" w:w="1872"/>
          </w:tcPr>
          <w:p>
            <w:pPr>
              <w:spacing w:before="0" w:after="0" w:line="276" w:lineRule="auto"/>
            </w:pPr>
            <w:r>
              <w:rPr>
                <w:rFonts w:ascii="Times New Roman" w:hAnsi="Times New Roman" w:eastAsia="Times New Roman"/>
                <w:sz w:val="20"/>
              </w:rPr>
              <w:t>2.40(1), .121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.225 [−.167, .556]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Openness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.092 [−.086, .265]</w:t>
            </w:r>
          </w:p>
        </w:tc>
        <w:tc>
          <w:tcPr>
            <w:tcW w:type="dxa" w:w="1872"/>
          </w:tcPr>
          <w:p>
            <w:pPr>
              <w:spacing w:before="0" w:after="0" w:line="276" w:lineRule="auto"/>
            </w:pPr>
            <w:r>
              <w:rPr>
                <w:rFonts w:ascii="Times New Roman" w:hAnsi="Times New Roman" w:eastAsia="Times New Roman"/>
                <w:sz w:val="20"/>
              </w:rPr>
              <w:t>0.04(1), .839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.072 [−.637, .715]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Extraversion</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−.038 [−.115, .039]</w:t>
            </w:r>
          </w:p>
        </w:tc>
        <w:tc>
          <w:tcPr>
            <w:tcW w:type="dxa" w:w="1872"/>
          </w:tcPr>
          <w:p>
            <w:pPr>
              <w:spacing w:before="0" w:after="0" w:line="276" w:lineRule="auto"/>
            </w:pPr>
            <w:r>
              <w:rPr>
                <w:rFonts w:ascii="Times New Roman" w:hAnsi="Times New Roman" w:eastAsia="Times New Roman"/>
                <w:sz w:val="20"/>
              </w:rPr>
              <w:t>17.30(1),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.117 [−.136, .356]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Agreeableness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.131 [−.054, .308]</w:t>
            </w:r>
          </w:p>
        </w:tc>
        <w:tc>
          <w:tcPr>
            <w:tcW w:type="dxa" w:w="1872"/>
          </w:tcPr>
          <w:p>
            <w:pPr>
              <w:spacing w:before="0" w:after="0" w:line="276" w:lineRule="auto"/>
            </w:pPr>
            <w:r>
              <w:rPr>
                <w:rFonts w:ascii="Times New Roman" w:hAnsi="Times New Roman" w:eastAsia="Times New Roman"/>
                <w:sz w:val="20"/>
              </w:rPr>
              <w:t>0.49(1), .485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.041 [−.862, .881]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Neuroticism</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−.009 [−.097, .080]</w:t>
            </w:r>
          </w:p>
        </w:tc>
        <w:tc>
          <w:tcPr>
            <w:tcW w:type="dxa" w:w="1872"/>
          </w:tcPr>
          <w:p>
            <w:pPr>
              <w:spacing w:before="0" w:after="0" w:line="276" w:lineRule="auto"/>
            </w:pPr>
            <w:r>
              <w:rPr>
                <w:rFonts w:ascii="Times New Roman" w:hAnsi="Times New Roman" w:eastAsia="Times New Roman"/>
                <w:sz w:val="20"/>
              </w:rPr>
              <w:t>0.82(1), .364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.120 [−.926, .954]</w:t>
            </w:r>
          </w:p>
        </w:tc>
        <w:tc>
          <w:tcPr>
            <w:tcW w:type="dxa" w:w="1872"/>
          </w:tcPr>
          <w:p>
            <w:pPr>
              <w:spacing w:before="0" w:after="0" w:line="276" w:lineRule="auto"/>
            </w:pPr>
            <w:r>
              <w:rPr>
                <w:rFonts w:ascii="Times New Roman" w:hAnsi="Times New Roman" w:eastAsia="Times New Roman"/>
                <w:sz w:val="20"/>
              </w:rPr>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contributing to each subgroup. </w:t>
      </w:r>
      <w:r>
        <w:rPr>
          <w:rFonts w:ascii="Times New Roman" w:hAnsi="Times New Roman" w:eastAsia="Times New Roman"/>
          <w:i/>
          <w:sz w:val="24"/>
        </w:rPr>
        <w:t>Q_between</w:t>
      </w:r>
      <w:r>
        <w:rPr>
          <w:rFonts w:ascii="Times New Roman" w:hAnsi="Times New Roman" w:eastAsia="Times New Roman"/>
          <w:sz w:val="24"/>
        </w:rPr>
        <w:t xml:space="preserve"> = between-subgroup heterogeneity statistic testing whether subgroups' pooled effects differ significantly. Dagger (†) indicates the two significant subgroup differences at </w:t>
      </w:r>
      <w:r>
        <w:rPr>
          <w:rFonts w:ascii="Times New Roman" w:hAnsi="Times New Roman" w:eastAsia="Times New Roman"/>
          <w:i/>
          <w:sz w:val="24"/>
        </w:rPr>
        <w:t>p</w:t>
      </w:r>
      <w:r>
        <w:rPr>
          <w:rFonts w:ascii="Times New Roman" w:hAnsi="Times New Roman" w:eastAsia="Times New Roman"/>
          <w:sz w:val="24"/>
        </w:rPr>
        <w:t xml:space="preserve"> &lt; .001 after Holm-Bonferroni correction within the Extraversion trait pool. Categorical levels: Asia = East or Middle Eastern samples; non-Asia = European, North American, or Other regions. Era: pre-COVID = data collected ≤2019; COVID-era = 2020–2022. Post-COVID studies (</w:t>
      </w:r>
      <w:r>
        <w:rPr>
          <w:rFonts w:ascii="Times New Roman" w:hAnsi="Times New Roman" w:eastAsia="Times New Roman"/>
          <w:i/>
          <w:sz w:val="24"/>
        </w:rPr>
        <w:t>k</w:t>
      </w:r>
      <w:r>
        <w:rPr>
          <w:rFonts w:ascii="Times New Roman" w:hAnsi="Times New Roman" w:eastAsia="Times New Roman"/>
          <w:sz w:val="24"/>
        </w:rPr>
        <w:t xml:space="preserve"> = 2) were insufficient for subgroup isolation. Outcome type: objective = GPA, course grade, standardized exam, or MOOC platform composite; self-rated = student self-reported performance.</w:t>
      </w:r>
    </w:p>
    <w:p>
      <w:r>
        <w:br w:type="page"/>
      </w:r>
    </w:p>
    <w:p>
      <w:pPr>
        <w:spacing w:line="480" w:lineRule="auto" w:before="0" w:after="0"/>
      </w:pPr>
      <w:r>
        <w:rPr>
          <w:rFonts w:ascii="Times New Roman" w:hAnsi="Times New Roman"/>
          <w:b/>
          <w:sz w:val="24"/>
        </w:rPr>
        <w:t>Table 4</w:t>
      </w:r>
    </w:p>
    <w:p>
      <w:pPr>
        <w:spacing w:line="480" w:lineRule="auto" w:before="0" w:after="0"/>
      </w:pPr>
      <w:r>
        <w:rPr>
          <w:rFonts w:ascii="Times New Roman" w:hAnsi="Times New Roman"/>
          <w:i/>
          <w:sz w:val="24"/>
        </w:rPr>
        <w:t>Pre-Specified Sensitivity Analyses of the Primary Pooled Effect Sizes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Trait</w:t>
            </w:r>
          </w:p>
        </w:tc>
        <w:tc>
          <w:tcPr>
            <w:tcW w:type="dxa" w:w="1872"/>
          </w:tcPr>
          <w:p>
            <w:pPr>
              <w:spacing w:before="0" w:after="0" w:line="276" w:lineRule="auto"/>
            </w:pPr>
            <w:r>
              <w:rPr>
                <w:rFonts w:ascii="Times New Roman" w:hAnsi="Times New Roman" w:eastAsia="Times New Roman"/>
                <w:b/>
                <w:sz w:val="20"/>
              </w:rPr>
              <w:t>Analysis</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b/>
                <w:sz w:val="20"/>
              </w:rPr>
              <w:t>Δr vs primary</w:t>
            </w:r>
          </w:p>
        </w:tc>
      </w:tr>
      <w:tr>
        <w:tc>
          <w:tcPr>
            <w:tcW w:type="dxa" w:w="1872"/>
          </w:tcPr>
          <w:p>
            <w:pPr>
              <w:spacing w:before="0" w:after="0" w:line="276" w:lineRule="auto"/>
            </w:pPr>
            <w:r>
              <w:rPr>
                <w:rFonts w:ascii="Times New Roman" w:hAnsi="Times New Roman" w:eastAsia="Times New Roman"/>
                <w:sz w:val="20"/>
              </w:rPr>
              <w:t>Conscientiousness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.203 [.105, .298]</w:t>
            </w:r>
          </w:p>
        </w:tc>
        <w:tc>
          <w:tcPr>
            <w:tcW w:type="dxa" w:w="1872"/>
          </w:tcPr>
          <w:p>
            <w:pPr>
              <w:spacing w:before="0" w:after="0" w:line="276" w:lineRule="auto"/>
            </w:pPr>
            <w:r>
              <w:rPr>
                <w:rFonts w:ascii="Times New Roman" w:hAnsi="Times New Roman" w:eastAsia="Times New Roman"/>
                <w:sz w:val="20"/>
              </w:rPr>
              <w:t>+.036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.182 [.111, .252]</w:t>
            </w:r>
          </w:p>
        </w:tc>
        <w:tc>
          <w:tcPr>
            <w:tcW w:type="dxa" w:w="1872"/>
          </w:tcPr>
          <w:p>
            <w:pPr>
              <w:spacing w:before="0" w:after="0" w:line="276" w:lineRule="auto"/>
            </w:pPr>
            <w:r>
              <w:rPr>
                <w:rFonts w:ascii="Times New Roman" w:hAnsi="Times New Roman" w:eastAsia="Times New Roman"/>
                <w:sz w:val="20"/>
              </w:rPr>
              <w:t>+.015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2.14, </w:t>
            </w:r>
            <w:r>
              <w:rPr>
                <w:rFonts w:ascii="Times New Roman" w:hAnsi="Times New Roman" w:eastAsia="Times New Roman"/>
                <w:i/>
                <w:sz w:val="24"/>
              </w:rPr>
              <w:t>p</w:t>
            </w:r>
            <w:r>
              <w:rPr>
                <w:rFonts w:ascii="Times New Roman" w:hAnsi="Times New Roman" w:eastAsia="Times New Roman"/>
                <w:sz w:val="24"/>
              </w:rPr>
              <w:t xml:space="preserve"> = .094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Openness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.031 [−.117, .178]</w:t>
            </w:r>
          </w:p>
        </w:tc>
        <w:tc>
          <w:tcPr>
            <w:tcW w:type="dxa" w:w="1872"/>
          </w:tcPr>
          <w:p>
            <w:pPr>
              <w:spacing w:before="0" w:after="0" w:line="276" w:lineRule="auto"/>
            </w:pPr>
            <w:r>
              <w:rPr>
                <w:rFonts w:ascii="Times New Roman" w:hAnsi="Times New Roman" w:eastAsia="Times New Roman"/>
                <w:sz w:val="20"/>
              </w:rPr>
              <w:t>−.055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.097 [−.052, .242]</w:t>
            </w:r>
          </w:p>
        </w:tc>
        <w:tc>
          <w:tcPr>
            <w:tcW w:type="dxa" w:w="1872"/>
          </w:tcPr>
          <w:p>
            <w:pPr>
              <w:spacing w:before="0" w:after="0" w:line="276" w:lineRule="auto"/>
            </w:pPr>
            <w:r>
              <w:rPr>
                <w:rFonts w:ascii="Times New Roman" w:hAnsi="Times New Roman" w:eastAsia="Times New Roman"/>
                <w:sz w:val="20"/>
              </w:rPr>
              <w:t>+.011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−6.41, </w:t>
            </w:r>
            <w:r>
              <w:rPr>
                <w:rFonts w:ascii="Times New Roman" w:hAnsi="Times New Roman" w:eastAsia="Times New Roman"/>
                <w:i/>
                <w:sz w:val="24"/>
              </w:rPr>
              <w:t>p</w:t>
            </w:r>
            <w:r>
              <w:rPr>
                <w:rFonts w:ascii="Times New Roman" w:hAnsi="Times New Roman" w:eastAsia="Times New Roman"/>
                <w:sz w:val="24"/>
              </w:rPr>
              <w:t xml:space="preserve"> = .045 †</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.107 [−.017, .228]</w:t>
            </w:r>
          </w:p>
        </w:tc>
        <w:tc>
          <w:tcPr>
            <w:tcW w:type="dxa" w:w="1872"/>
          </w:tcPr>
          <w:p>
            <w:pPr>
              <w:spacing w:before="0" w:after="0" w:line="276" w:lineRule="auto"/>
            </w:pPr>
            <w:r>
              <w:rPr>
                <w:rFonts w:ascii="Times New Roman" w:hAnsi="Times New Roman" w:eastAsia="Times New Roman"/>
                <w:sz w:val="20"/>
              </w:rPr>
              <w:t>+.021</w:t>
            </w:r>
          </w:p>
        </w:tc>
      </w:tr>
      <w:tr>
        <w:tc>
          <w:tcPr>
            <w:tcW w:type="dxa" w:w="1872"/>
          </w:tcPr>
          <w:p>
            <w:pPr>
              <w:spacing w:before="0" w:after="0" w:line="276" w:lineRule="auto"/>
            </w:pPr>
            <w:r>
              <w:rPr>
                <w:rFonts w:ascii="Times New Roman" w:hAnsi="Times New Roman" w:eastAsia="Times New Roman"/>
                <w:sz w:val="20"/>
              </w:rPr>
              <w:t>Extraversion</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.018 [−.087, .122]</w:t>
            </w:r>
          </w:p>
        </w:tc>
        <w:tc>
          <w:tcPr>
            <w:tcW w:type="dxa" w:w="1872"/>
          </w:tcPr>
          <w:p>
            <w:pPr>
              <w:spacing w:before="0" w:after="0" w:line="276" w:lineRule="auto"/>
            </w:pPr>
            <w:r>
              <w:rPr>
                <w:rFonts w:ascii="Times New Roman" w:hAnsi="Times New Roman" w:eastAsia="Times New Roman"/>
                <w:sz w:val="20"/>
              </w:rPr>
              <w:t>+.016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.003 [−.088, .093]</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2.29, </w:t>
            </w:r>
            <w:r>
              <w:rPr>
                <w:rFonts w:ascii="Times New Roman" w:hAnsi="Times New Roman" w:eastAsia="Times New Roman"/>
                <w:i/>
                <w:sz w:val="24"/>
              </w:rPr>
              <w:t>p</w:t>
            </w:r>
            <w:r>
              <w:rPr>
                <w:rFonts w:ascii="Times New Roman" w:hAnsi="Times New Roman" w:eastAsia="Times New Roman"/>
                <w:sz w:val="24"/>
              </w:rPr>
              <w:t xml:space="preserve"> = .255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11</w:t>
            </w:r>
          </w:p>
        </w:tc>
        <w:tc>
          <w:tcPr>
            <w:tcW w:type="dxa" w:w="1872"/>
          </w:tcPr>
          <w:p>
            <w:pPr>
              <w:spacing w:before="0" w:after="0" w:line="276" w:lineRule="auto"/>
            </w:pPr>
            <w:r>
              <w:rPr>
                <w:rFonts w:ascii="Times New Roman" w:hAnsi="Times New Roman" w:eastAsia="Times New Roman"/>
                <w:sz w:val="20"/>
              </w:rPr>
              <w:t>−.036 [−.117, .046]</w:t>
            </w:r>
          </w:p>
        </w:tc>
        <w:tc>
          <w:tcPr>
            <w:tcW w:type="dxa" w:w="1872"/>
          </w:tcPr>
          <w:p>
            <w:pPr>
              <w:spacing w:before="0" w:after="0" w:line="276" w:lineRule="auto"/>
            </w:pPr>
            <w:r>
              <w:rPr>
                <w:rFonts w:ascii="Times New Roman" w:hAnsi="Times New Roman" w:eastAsia="Times New Roman"/>
                <w:sz w:val="20"/>
              </w:rPr>
              <w:t>−.038</w:t>
            </w:r>
          </w:p>
        </w:tc>
      </w:tr>
      <w:tr>
        <w:tc>
          <w:tcPr>
            <w:tcW w:type="dxa" w:w="1872"/>
          </w:tcPr>
          <w:p>
            <w:pPr>
              <w:spacing w:before="0" w:after="0" w:line="276" w:lineRule="auto"/>
            </w:pPr>
            <w:r>
              <w:rPr>
                <w:rFonts w:ascii="Times New Roman" w:hAnsi="Times New Roman" w:eastAsia="Times New Roman"/>
                <w:sz w:val="20"/>
              </w:rPr>
              <w:t>Agreeableness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.067 [−.015, .148]</w:t>
            </w:r>
          </w:p>
        </w:tc>
        <w:tc>
          <w:tcPr>
            <w:tcW w:type="dxa" w:w="1872"/>
          </w:tcPr>
          <w:p>
            <w:pPr>
              <w:spacing w:before="0" w:after="0" w:line="276" w:lineRule="auto"/>
            </w:pPr>
            <w:r>
              <w:rPr>
                <w:rFonts w:ascii="Times New Roman" w:hAnsi="Times New Roman" w:eastAsia="Times New Roman"/>
                <w:sz w:val="20"/>
              </w:rPr>
              <w:t>−.045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.126 [−.036, .281]</w:t>
            </w:r>
          </w:p>
        </w:tc>
        <w:tc>
          <w:tcPr>
            <w:tcW w:type="dxa" w:w="1872"/>
          </w:tcPr>
          <w:p>
            <w:pPr>
              <w:spacing w:before="0" w:after="0" w:line="276" w:lineRule="auto"/>
            </w:pPr>
            <w:r>
              <w:rPr>
                <w:rFonts w:ascii="Times New Roman" w:hAnsi="Times New Roman" w:eastAsia="Times New Roman"/>
                <w:sz w:val="20"/>
              </w:rPr>
              <w:t>+.014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−8.53, </w:t>
            </w:r>
            <w:r>
              <w:rPr>
                <w:rFonts w:ascii="Times New Roman" w:hAnsi="Times New Roman" w:eastAsia="Times New Roman"/>
                <w:i/>
                <w:sz w:val="24"/>
              </w:rPr>
              <w:t>p</w:t>
            </w:r>
            <w:r>
              <w:rPr>
                <w:rFonts w:ascii="Times New Roman" w:hAnsi="Times New Roman" w:eastAsia="Times New Roman"/>
                <w:sz w:val="24"/>
              </w:rPr>
              <w:t xml:space="preserve"> = .072</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Neuroticism</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−.043 [−.126, .040]</w:t>
            </w:r>
          </w:p>
        </w:tc>
        <w:tc>
          <w:tcPr>
            <w:tcW w:type="dxa" w:w="1872"/>
          </w:tcPr>
          <w:p>
            <w:pPr>
              <w:spacing w:before="0" w:after="0" w:line="276" w:lineRule="auto"/>
            </w:pPr>
            <w:r>
              <w:rPr>
                <w:rFonts w:ascii="Times New Roman" w:hAnsi="Times New Roman" w:eastAsia="Times New Roman"/>
                <w:sz w:val="20"/>
              </w:rPr>
              <w:t>−.061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.019 [−.093, .130]</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−1.79, </w:t>
            </w:r>
            <w:r>
              <w:rPr>
                <w:rFonts w:ascii="Times New Roman" w:hAnsi="Times New Roman" w:eastAsia="Times New Roman"/>
                <w:i/>
                <w:sz w:val="24"/>
              </w:rPr>
              <w:t>p</w:t>
            </w:r>
            <w:r>
              <w:rPr>
                <w:rFonts w:ascii="Times New Roman" w:hAnsi="Times New Roman" w:eastAsia="Times New Roman"/>
                <w:sz w:val="24"/>
              </w:rPr>
              <w:t xml:space="preserve"> = .304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bl>
    <w:p>
      <w:pPr>
        <w:spacing w:line="480" w:lineRule="auto" w:before="0" w:after="0"/>
      </w:pPr>
      <w:r>
        <w:rPr>
          <w:rFonts w:ascii="Times New Roman" w:hAnsi="Times New Roman" w:eastAsia="Times New Roman"/>
          <w:sz w:val="24"/>
        </w:rPr>
        <w:t xml:space="preserve">Note. Δr = change in pooled correlation from the primary analysis. A double dagger (‡) denotes a sensitivity-analysis-induced shift exceeding |Δr| = .05, which is considered potentially influential per the pre-registered threshold. A single dagger (†) denotes a significant Egger test at </w:t>
      </w:r>
      <w:r>
        <w:rPr>
          <w:rFonts w:ascii="Times New Roman" w:hAnsi="Times New Roman" w:eastAsia="Times New Roman"/>
          <w:i/>
          <w:sz w:val="24"/>
        </w:rPr>
        <w:t>p</w:t>
      </w:r>
      <w:r>
        <w:rPr>
          <w:rFonts w:ascii="Times New Roman" w:hAnsi="Times New Roman" w:eastAsia="Times New Roman"/>
          <w:sz w:val="24"/>
        </w:rPr>
        <w:t xml:space="preserve"> &lt; .05. "Exclude Tokiwa (COI)" removes the present author's prior primary study (Tokiwa, 2025); the zero delta reflects that this study did not contribute a direct </w:t>
      </w:r>
      <w:r>
        <w:rPr>
          <w:rFonts w:ascii="Times New Roman" w:hAnsi="Times New Roman" w:eastAsia="Times New Roman"/>
          <w:i/>
          <w:sz w:val="24"/>
        </w:rPr>
        <w:t>r</w:t>
      </w:r>
      <w:r>
        <w:rPr>
          <w:rFonts w:ascii="Times New Roman" w:hAnsi="Times New Roman" w:eastAsia="Times New Roman"/>
          <w:sz w:val="24"/>
        </w:rPr>
        <w:t xml:space="preserve"> to the primary pool. "Exclude β-converted" restricts the pool to studies reporting direct Pearson </w:t>
      </w:r>
      <w:r>
        <w:rPr>
          <w:rFonts w:ascii="Times New Roman" w:hAnsi="Times New Roman" w:eastAsia="Times New Roman"/>
          <w:i/>
          <w:sz w:val="24"/>
        </w:rPr>
        <w:t>r</w:t>
      </w:r>
      <w:r>
        <w:rPr>
          <w:rFonts w:ascii="Times New Roman" w:hAnsi="Times New Roman" w:eastAsia="Times New Roman"/>
          <w:sz w:val="24"/>
        </w:rPr>
        <w:t xml:space="preserve"> or Spearman </w:t>
      </w:r>
      <w:r>
        <w:rPr>
          <w:rFonts w:ascii="Times New Roman" w:hAnsi="Times New Roman" w:eastAsia="Times New Roman"/>
          <w:i/>
          <w:sz w:val="24"/>
        </w:rPr>
        <w:t>ρ</w:t>
      </w:r>
      <w:r>
        <w:rPr>
          <w:rFonts w:ascii="Times New Roman" w:hAnsi="Times New Roman" w:eastAsia="Times New Roman"/>
          <w:sz w:val="24"/>
        </w:rPr>
        <w:t>. "Exclude RoB &lt; 5" removes studies scoring below the pre-specified low-bias threshold of 5 on the JBI 8-item checklist.</w:t>
      </w:r>
    </w:p>
    <w:p>
      <w:r>
        <w:br w:type="page"/>
      </w:r>
    </w:p>
    <w:p>
      <w:pPr>
        <w:spacing w:line="480" w:lineRule="auto" w:before="0" w:after="0"/>
      </w:pPr>
      <w:r>
        <w:rPr>
          <w:rFonts w:ascii="Times New Roman" w:hAnsi="Times New Roman"/>
          <w:b/>
          <w:sz w:val="24"/>
        </w:rPr>
        <w:t>Table 5</w:t>
      </w:r>
    </w:p>
    <w:p>
      <w:pPr>
        <w:spacing w:line="480" w:lineRule="auto" w:before="0" w:after="0"/>
      </w:pPr>
      <w:r>
        <w:rPr>
          <w:rFonts w:ascii="Times New Roman" w:hAnsi="Times New Roman"/>
          <w:i/>
          <w:sz w:val="24"/>
        </w:rPr>
        <w:t>GRADE Summary of Findings: Confidence in the Pooled Associations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0" w:after="0" w:line="276" w:lineRule="auto"/>
            </w:pPr>
            <w:r>
              <w:rPr>
                <w:rFonts w:ascii="Times New Roman" w:hAnsi="Times New Roman" w:eastAsia="Times New Roman"/>
                <w:sz w:val="24"/>
              </w:rPr>
              <w:t>Trait (</w:t>
            </w:r>
            <w:r>
              <w:rPr>
                <w:rFonts w:ascii="Times New Roman" w:hAnsi="Times New Roman" w:eastAsia="Times New Roman"/>
                <w:i/>
                <w:sz w:val="24"/>
              </w:rPr>
              <w:t>k</w:t>
            </w:r>
            <w:r>
              <w:rPr>
                <w:rFonts w:ascii="Times New Roman" w:hAnsi="Times New Roman" w:eastAsia="Times New Roman"/>
                <w:sz w:val="24"/>
              </w:rPr>
              <w:t xml:space="preserve">, </w:t>
            </w:r>
            <w:r>
              <w:rPr>
                <w:rFonts w:ascii="Times New Roman" w:hAnsi="Times New Roman" w:eastAsia="Times New Roman"/>
                <w:i/>
                <w:sz w:val="24"/>
              </w:rPr>
              <w:t>N</w:t>
            </w:r>
            <w:r>
              <w:rPr>
                <w:rFonts w:ascii="Times New Roman" w:hAnsi="Times New Roman" w:eastAsia="Times New Roman"/>
                <w:sz w:val="24"/>
              </w:rPr>
              <w:t>)</w:t>
            </w:r>
          </w:p>
        </w:tc>
        <w:tc>
          <w:tcPr>
            <w:tcW w:type="dxa" w:w="1170"/>
          </w:tcPr>
          <w:p>
            <w:pPr>
              <w:spacing w:before="0" w:after="0" w:line="276" w:lineRule="auto"/>
            </w:pPr>
            <w:r>
              <w:rPr>
                <w:rFonts w:ascii="Times New Roman" w:hAnsi="Times New Roman" w:eastAsia="Times New Roman"/>
                <w:b/>
                <w:sz w:val="20"/>
              </w:rPr>
              <w:t>Risk of Bias</w:t>
            </w:r>
          </w:p>
        </w:tc>
        <w:tc>
          <w:tcPr>
            <w:tcW w:type="dxa" w:w="1170"/>
          </w:tcPr>
          <w:p>
            <w:pPr>
              <w:spacing w:before="0" w:after="0" w:line="276" w:lineRule="auto"/>
            </w:pPr>
            <w:r>
              <w:rPr>
                <w:rFonts w:ascii="Times New Roman" w:hAnsi="Times New Roman" w:eastAsia="Times New Roman"/>
                <w:b/>
                <w:sz w:val="20"/>
              </w:rPr>
              <w:t>Inconsistency</w:t>
            </w:r>
          </w:p>
        </w:tc>
        <w:tc>
          <w:tcPr>
            <w:tcW w:type="dxa" w:w="1170"/>
          </w:tcPr>
          <w:p>
            <w:pPr>
              <w:spacing w:before="0" w:after="0" w:line="276" w:lineRule="auto"/>
            </w:pPr>
            <w:r>
              <w:rPr>
                <w:rFonts w:ascii="Times New Roman" w:hAnsi="Times New Roman" w:eastAsia="Times New Roman"/>
                <w:b/>
                <w:sz w:val="20"/>
              </w:rPr>
              <w:t>Indirectness</w:t>
            </w:r>
          </w:p>
        </w:tc>
        <w:tc>
          <w:tcPr>
            <w:tcW w:type="dxa" w:w="1170"/>
          </w:tcPr>
          <w:p>
            <w:pPr>
              <w:spacing w:before="0" w:after="0" w:line="276" w:lineRule="auto"/>
            </w:pPr>
            <w:r>
              <w:rPr>
                <w:rFonts w:ascii="Times New Roman" w:hAnsi="Times New Roman" w:eastAsia="Times New Roman"/>
                <w:b/>
                <w:sz w:val="20"/>
              </w:rPr>
              <w:t>Imprecision</w:t>
            </w:r>
          </w:p>
        </w:tc>
        <w:tc>
          <w:tcPr>
            <w:tcW w:type="dxa" w:w="1170"/>
          </w:tcPr>
          <w:p>
            <w:pPr>
              <w:spacing w:before="0" w:after="0" w:line="276" w:lineRule="auto"/>
            </w:pPr>
            <w:r>
              <w:rPr>
                <w:rFonts w:ascii="Times New Roman" w:hAnsi="Times New Roman" w:eastAsia="Times New Roman"/>
                <w:b/>
                <w:sz w:val="20"/>
              </w:rPr>
              <w:t>Publication Bias</w:t>
            </w:r>
          </w:p>
        </w:tc>
        <w:tc>
          <w:tcPr>
            <w:tcW w:type="dxa" w:w="1170"/>
          </w:tcPr>
          <w:p>
            <w:pPr>
              <w:spacing w:before="0" w:after="0" w:line="276" w:lineRule="auto"/>
            </w:pPr>
            <w:r>
              <w:rPr>
                <w:rFonts w:ascii="Times New Roman" w:hAnsi="Times New Roman" w:eastAsia="Times New Roman"/>
                <w:b/>
                <w:sz w:val="20"/>
              </w:rPr>
              <w:t>Magnitude</w:t>
            </w:r>
          </w:p>
        </w:tc>
        <w:tc>
          <w:tcPr>
            <w:tcW w:type="dxa" w:w="1170"/>
          </w:tcPr>
          <w:p>
            <w:pPr>
              <w:spacing w:before="0" w:after="0" w:line="276" w:lineRule="auto"/>
            </w:pPr>
            <w:r>
              <w:rPr>
                <w:rFonts w:ascii="Times New Roman" w:hAnsi="Times New Roman" w:eastAsia="Times New Roman"/>
                <w:b/>
                <w:sz w:val="20"/>
              </w:rPr>
              <w:t>GRADE</w:t>
            </w:r>
          </w:p>
        </w:tc>
      </w:tr>
      <w:tr>
        <w:tc>
          <w:tcPr>
            <w:tcW w:type="dxa" w:w="1170"/>
          </w:tcPr>
          <w:p>
            <w:pPr>
              <w:spacing w:before="0" w:after="0" w:line="276" w:lineRule="auto"/>
            </w:pPr>
            <w:r>
              <w:rPr>
                <w:rFonts w:ascii="Times New Roman" w:hAnsi="Times New Roman" w:eastAsia="Times New Roman"/>
                <w:sz w:val="24"/>
              </w:rPr>
              <w:t>Conscientiousness</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=65.1%)</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width=.15)</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=.094)</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=.167)</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Openness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=92.0%)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=.045)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=.086)</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Extraversion</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=75.5%)</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(null robust)</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=.255)</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=.002)</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Agreeableness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=96.2%)</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=.072)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=.112)</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Neuroticism</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=79.0%)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(null, wide CI)</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=.304)</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=.018)</w:t>
            </w:r>
          </w:p>
        </w:tc>
        <w:tc>
          <w:tcPr>
            <w:tcW w:type="dxa" w:w="1170"/>
          </w:tcPr>
          <w:p>
            <w:pPr>
              <w:spacing w:before="0" w:after="0" w:line="276" w:lineRule="auto"/>
            </w:pPr>
            <w:r>
              <w:rPr>
                <w:rFonts w:ascii="Times New Roman" w:hAnsi="Times New Roman" w:eastAsia="Times New Roman"/>
                <w:sz w:val="20"/>
              </w:rPr>
              <w:t>Low</w:t>
            </w:r>
          </w:p>
        </w:tc>
      </w:tr>
    </w:tbl>
    <w:p>
      <w:pPr>
        <w:spacing w:line="480" w:lineRule="auto" w:before="0" w:after="0"/>
      </w:pPr>
      <w:r>
        <w:rPr>
          <w:rFonts w:ascii="Times New Roman" w:hAnsi="Times New Roman" w:eastAsia="Times New Roman"/>
          <w:sz w:val="24"/>
        </w:rPr>
        <w:t>Note. GRADE = Grading of Recommendations, Assessment, Development and Evaluations, adapted for observational correlational syntheses (Schünemann et al., 2019). Five standard domains are evaluated per trait: Risk of Bias (mean JBI aggregate score across studies in the pool; serious if mean &lt; 5), Inconsistency (</w:t>
      </w:r>
      <w:r>
        <w:rPr>
          <w:rFonts w:ascii="Times New Roman" w:hAnsi="Times New Roman" w:eastAsia="Times New Roman"/>
          <w:i/>
          <w:sz w:val="24"/>
        </w:rPr>
        <w:t>I²</w:t>
      </w:r>
      <w:r>
        <w:rPr>
          <w:rFonts w:ascii="Times New Roman" w:hAnsi="Times New Roman" w:eastAsia="Times New Roman"/>
          <w:sz w:val="24"/>
        </w:rPr>
        <w:t xml:space="preserve"> and prediction interval; serious if </w:t>
      </w:r>
      <w:r>
        <w:rPr>
          <w:rFonts w:ascii="Times New Roman" w:hAnsi="Times New Roman" w:eastAsia="Times New Roman"/>
          <w:i/>
          <w:sz w:val="24"/>
        </w:rPr>
        <w:t>I²</w:t>
      </w:r>
      <w:r>
        <w:rPr>
          <w:rFonts w:ascii="Times New Roman" w:hAnsi="Times New Roman" w:eastAsia="Times New Roman"/>
          <w:sz w:val="24"/>
        </w:rPr>
        <w:t xml:space="preserve"> &gt; 50%, very serious if </w:t>
      </w:r>
      <w:r>
        <w:rPr>
          <w:rFonts w:ascii="Times New Roman" w:hAnsi="Times New Roman" w:eastAsia="Times New Roman"/>
          <w:i/>
          <w:sz w:val="24"/>
        </w:rPr>
        <w:t>I²</w:t>
      </w:r>
      <w:r>
        <w:rPr>
          <w:rFonts w:ascii="Times New Roman" w:hAnsi="Times New Roman" w:eastAsia="Times New Roman"/>
          <w:sz w:val="24"/>
        </w:rPr>
        <w:t xml:space="preserve"> &gt; 75%), Indirectness (population, exposure, or outcome indirectness relative to the review question), Imprecision (serious if 95% CI crosses the null or is wider than 2 × MOI of |r| = .10), and Publication Bias (serious if Egger's test is significant at </w:t>
      </w:r>
      <w:r>
        <w:rPr>
          <w:rFonts w:ascii="Times New Roman" w:hAnsi="Times New Roman" w:eastAsia="Times New Roman"/>
          <w:i/>
          <w:sz w:val="24"/>
        </w:rPr>
        <w:t>p</w:t>
      </w:r>
      <w:r>
        <w:rPr>
          <w:rFonts w:ascii="Times New Roman" w:hAnsi="Times New Roman" w:eastAsia="Times New Roman"/>
          <w:sz w:val="24"/>
        </w:rPr>
        <w:t xml:space="preserve"> &lt; .05 with asymmetric funnel plot). Magnitude (|r|) is provided for descriptive context but was not grounds for upgrade under the large-magnitude criterion of |r| ≥ .30. Dagger (†) denotes Egger's test intercept suggestive of small-study or publication bias. GRADE ratings: High = further research is very unlikely to change confidence; Moderate = further research is likely to have an important impact; Low = further research is very likely to have an important impact; Very Low = any estimate of effect is very uncertain. All estimates in the present synthesis fall within the Moderate-to-Low confidence range, reflecting the modest </w:t>
      </w:r>
      <w:r>
        <w:rPr>
          <w:rFonts w:ascii="Times New Roman" w:hAnsi="Times New Roman" w:eastAsia="Times New Roman"/>
          <w:i/>
          <w:sz w:val="24"/>
        </w:rPr>
        <w:t>k</w:t>
      </w:r>
      <w:r>
        <w:rPr>
          <w:rFonts w:ascii="Times New Roman" w:hAnsi="Times New Roman" w:eastAsia="Times New Roman"/>
          <w:sz w:val="24"/>
        </w:rPr>
        <w:t xml:space="preserve"> of the available online-specific literature.</w:t>
      </w:r>
    </w:p>
    <w:p>
      <w:r>
        <w:br w:type="page"/>
      </w:r>
    </w:p>
    <w:p>
      <w:pPr>
        <w:spacing w:line="480" w:lineRule="auto" w:before="0" w:after="0"/>
      </w:pPr>
      <w:r>
        <w:rPr>
          <w:rFonts w:ascii="Times New Roman" w:hAnsi="Times New Roman"/>
          <w:b/>
          <w:sz w:val="24"/>
        </w:rPr>
        <w:t>Figure 1</w:t>
      </w:r>
    </w:p>
    <w:p>
      <w:pPr>
        <w:spacing w:line="480" w:lineRule="auto" w:before="0" w:after="0"/>
      </w:pPr>
      <w:r>
        <w:rPr>
          <w:rFonts w:ascii="Times New Roman" w:hAnsi="Times New Roman"/>
          <w:i/>
          <w:sz w:val="24"/>
        </w:rPr>
        <w:t>PRISMA 2020 Flow Diagram of the Study Selection Process</w:t>
      </w:r>
    </w:p>
    <w:p>
      <w:pPr>
        <w:jc w:val="center"/>
      </w:pPr>
      <w:r>
        <w:drawing>
          <wp:inline xmlns:a="http://schemas.openxmlformats.org/drawingml/2006/main" xmlns:pic="http://schemas.openxmlformats.org/drawingml/2006/picture">
            <wp:extent cx="5486400" cy="7251492"/>
            <wp:docPr id="1" name="Picture 1"/>
            <wp:cNvGraphicFramePr>
              <a:graphicFrameLocks noChangeAspect="1"/>
            </wp:cNvGraphicFramePr>
            <a:graphic>
              <a:graphicData uri="http://schemas.openxmlformats.org/drawingml/2006/picture">
                <pic:pic>
                  <pic:nvPicPr>
                    <pic:cNvPr id="0" name="prisma_flow.png"/>
                    <pic:cNvPicPr/>
                  </pic:nvPicPr>
                  <pic:blipFill>
                    <a:blip r:embed="rId10"/>
                    <a:stretch>
                      <a:fillRect/>
                    </a:stretch>
                  </pic:blipFill>
                  <pic:spPr>
                    <a:xfrm>
                      <a:off x="0" y="0"/>
                      <a:ext cx="5486400" cy="7251492"/>
                    </a:xfrm>
                    <a:prstGeom prst="rect"/>
                  </pic:spPr>
                </pic:pic>
              </a:graphicData>
            </a:graphic>
          </wp:inline>
        </w:drawing>
      </w:r>
    </w:p>
    <w:p>
      <w:pPr>
        <w:spacing w:line="480" w:lineRule="auto" w:before="0" w:after="0"/>
      </w:pPr>
      <w:r>
        <w:rPr>
          <w:rFonts w:ascii="Times New Roman" w:hAnsi="Times New Roman" w:eastAsia="Times New Roman"/>
          <w:sz w:val="24"/>
        </w:rPr>
        <w:t>Note. Flow diagram adapted from the PRISMA 2020 statement (Page et al., 2021). Records were identified through WebSearch-based formal search (</w:t>
      </w:r>
      <w:r>
        <w:rPr>
          <w:rFonts w:ascii="Times New Roman" w:hAnsi="Times New Roman" w:eastAsia="Times New Roman"/>
          <w:i/>
          <w:sz w:val="24"/>
        </w:rPr>
        <w:t>n</w:t>
      </w:r>
      <w:r>
        <w:rPr>
          <w:rFonts w:ascii="Times New Roman" w:hAnsi="Times New Roman" w:eastAsia="Times New Roman"/>
          <w:sz w:val="24"/>
        </w:rPr>
        <w:t xml:space="preserve"> = 80 from eight structured queries), preliminary informal search yielding a previously curated corpus (</w:t>
      </w:r>
      <w:r>
        <w:rPr>
          <w:rFonts w:ascii="Times New Roman" w:hAnsi="Times New Roman" w:eastAsia="Times New Roman"/>
          <w:i/>
          <w:sz w:val="24"/>
        </w:rPr>
        <w:t>n</w:t>
      </w:r>
      <w:r>
        <w:rPr>
          <w:rFonts w:ascii="Times New Roman" w:hAnsi="Times New Roman" w:eastAsia="Times New Roman"/>
          <w:sz w:val="24"/>
        </w:rPr>
        <w:t xml:space="preserve"> = 28), and citation snowballing combined with open-access repository downloads (</w:t>
      </w:r>
      <w:r>
        <w:rPr>
          <w:rFonts w:ascii="Times New Roman" w:hAnsi="Times New Roman" w:eastAsia="Times New Roman"/>
          <w:i/>
          <w:sz w:val="24"/>
        </w:rPr>
        <w:t>n</w:t>
      </w:r>
      <w:r>
        <w:rPr>
          <w:rFonts w:ascii="Times New Roman" w:hAnsi="Times New Roman" w:eastAsia="Times New Roman"/>
          <w:sz w:val="24"/>
        </w:rPr>
        <w:t xml:space="preserve"> = 12), for a total of 120 records. After deduplication (</w:t>
      </w:r>
      <w:r>
        <w:rPr>
          <w:rFonts w:ascii="Times New Roman" w:hAnsi="Times New Roman" w:eastAsia="Times New Roman"/>
          <w:i/>
          <w:sz w:val="24"/>
        </w:rPr>
        <w:t>n</w:t>
      </w:r>
      <w:r>
        <w:rPr>
          <w:rFonts w:ascii="Times New Roman" w:hAnsi="Times New Roman" w:eastAsia="Times New Roman"/>
          <w:sz w:val="24"/>
        </w:rPr>
        <w:t xml:space="preserve"> = 40 removed), 80 records underwent title and abstract screening, with 25 excluded primarily for wrong population, non-Big-Five personality frameworks, or no online learning component. Of 43 full-text reports sought, 5 were not retrievable (paywall), and 38 were assessed for eligibility. Eleven reports were excluded at the full-text stage with explicit reasons: non-Big-Five framework (</w:t>
      </w:r>
      <w:r>
        <w:rPr>
          <w:rFonts w:ascii="Times New Roman" w:hAnsi="Times New Roman" w:eastAsia="Times New Roman"/>
          <w:i/>
          <w:sz w:val="24"/>
        </w:rPr>
        <w:t>n</w:t>
      </w:r>
      <w:r>
        <w:rPr>
          <w:rFonts w:ascii="Times New Roman" w:hAnsi="Times New Roman" w:eastAsia="Times New Roman"/>
          <w:sz w:val="24"/>
        </w:rPr>
        <w:t xml:space="preserve"> = 5; MBTI, Proactive Personality, TAM, TUE, and other non-FFM operationalization), face-to-face modality (</w:t>
      </w:r>
      <w:r>
        <w:rPr>
          <w:rFonts w:ascii="Times New Roman" w:hAnsi="Times New Roman" w:eastAsia="Times New Roman"/>
          <w:i/>
          <w:sz w:val="24"/>
        </w:rPr>
        <w:t>n</w:t>
      </w:r>
      <w:r>
        <w:rPr>
          <w:rFonts w:ascii="Times New Roman" w:hAnsi="Times New Roman" w:eastAsia="Times New Roman"/>
          <w:sz w:val="24"/>
        </w:rPr>
        <w:t xml:space="preserve"> = 4; A-09 Bhattacharjee &amp; Ramkumar, 2025; A-10 Boonyapison et al., 2025; A-14 Eilam et al., 2009; A-16 Hidalgo-Fuentes et al., 2024), sample overlap with an already-included study (</w:t>
      </w:r>
      <w:r>
        <w:rPr>
          <w:rFonts w:ascii="Times New Roman" w:hAnsi="Times New Roman" w:eastAsia="Times New Roman"/>
          <w:i/>
          <w:sz w:val="24"/>
        </w:rPr>
        <w:t>n</w:t>
      </w:r>
      <w:r>
        <w:rPr>
          <w:rFonts w:ascii="Times New Roman" w:hAnsi="Times New Roman" w:eastAsia="Times New Roman"/>
          <w:sz w:val="24"/>
        </w:rPr>
        <w:t xml:space="preserve"> = 1; A-05 Audet et al., 2023 overlapped with A-04 Audet et al., 2021), and effect size not extractable (</w:t>
      </w:r>
      <w:r>
        <w:rPr>
          <w:rFonts w:ascii="Times New Roman" w:hAnsi="Times New Roman" w:eastAsia="Times New Roman"/>
          <w:i/>
          <w:sz w:val="24"/>
        </w:rPr>
        <w:t>n</w:t>
      </w:r>
      <w:r>
        <w:rPr>
          <w:rFonts w:ascii="Times New Roman" w:hAnsi="Times New Roman" w:eastAsia="Times New Roman"/>
          <w:sz w:val="24"/>
        </w:rPr>
        <w:t xml:space="preserve"> = 1; A-24 Tlili et al., 2023, lag sequential analysis). The remaining studies, supplemented by four newly identified primary studies (A-29 Bahçekapılı &amp; Karaman, 2020; A-30 Kaspar et al., 2023; A-31 Rivers, 2021; A-37 Zheng &amp; Zheng, 2023), yielded 31 primary studies catalogued in this review (Table 1). Of these, 25 were retained for qualitative synthesis, and 10 contributed direct Pearson correlations or β-converted effect sizes to the primary quantitative achievement pool (with two studies — A-28 Yu, 2021 and A-30 Kaspar et al., 2023 — providing β-converted effect sizes via Peterson and Brown's, 2005, approximation). The remaining 15 retained studies contributed only to secondary-outcome narrative synthesis.</w:t>
      </w:r>
    </w:p>
    <w:p>
      <w:r>
        <w:br w:type="page"/>
      </w:r>
    </w:p>
    <w:p>
      <w:pPr>
        <w:spacing w:line="480" w:lineRule="auto" w:before="0" w:after="0"/>
      </w:pPr>
      <w:r>
        <w:rPr>
          <w:rFonts w:ascii="Times New Roman" w:hAnsi="Times New Roman"/>
          <w:b/>
          <w:sz w:val="24"/>
        </w:rPr>
        <w:t>Figure 2</w:t>
      </w:r>
    </w:p>
    <w:p>
      <w:pPr>
        <w:spacing w:line="480" w:lineRule="auto" w:before="0" w:after="0"/>
      </w:pPr>
      <w:r>
        <w:rPr>
          <w:rFonts w:ascii="Times New Roman" w:hAnsi="Times New Roman"/>
          <w:i/>
          <w:sz w:val="24"/>
        </w:rPr>
        <w:t>Forest Plot: Conscientiousness and Academic Achievement in Online Learning Environments</w:t>
      </w:r>
    </w:p>
    <w:p>
      <w:pPr>
        <w:jc w:val="center"/>
      </w:pPr>
      <w:r>
        <w:drawing>
          <wp:inline xmlns:a="http://schemas.openxmlformats.org/drawingml/2006/main" xmlns:pic="http://schemas.openxmlformats.org/drawingml/2006/picture">
            <wp:extent cx="5486400" cy="3620779"/>
            <wp:docPr id="2" name="Picture 2"/>
            <wp:cNvGraphicFramePr>
              <a:graphicFrameLocks noChangeAspect="1"/>
            </wp:cNvGraphicFramePr>
            <a:graphic>
              <a:graphicData uri="http://schemas.openxmlformats.org/drawingml/2006/picture">
                <pic:pic>
                  <pic:nvPicPr>
                    <pic:cNvPr id="0" name="forest_C.png"/>
                    <pic:cNvPicPr/>
                  </pic:nvPicPr>
                  <pic:blipFill>
                    <a:blip r:embed="rId11"/>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Conscientiousness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3</w:t>
      </w:r>
    </w:p>
    <w:p>
      <w:pPr>
        <w:spacing w:line="480" w:lineRule="auto" w:before="0" w:after="0"/>
      </w:pPr>
      <w:r>
        <w:rPr>
          <w:rFonts w:ascii="Times New Roman" w:hAnsi="Times New Roman"/>
          <w:i/>
          <w:sz w:val="24"/>
        </w:rPr>
        <w:t>Forest Plot: Agreeableness and Academic Achievement in Online Learning Environments</w:t>
      </w:r>
    </w:p>
    <w:p>
      <w:pPr>
        <w:jc w:val="center"/>
      </w:pPr>
      <w:r>
        <w:drawing>
          <wp:inline xmlns:a="http://schemas.openxmlformats.org/drawingml/2006/main" xmlns:pic="http://schemas.openxmlformats.org/drawingml/2006/picture">
            <wp:extent cx="5486400" cy="3403941"/>
            <wp:docPr id="3" name="Picture 3"/>
            <wp:cNvGraphicFramePr>
              <a:graphicFrameLocks noChangeAspect="1"/>
            </wp:cNvGraphicFramePr>
            <a:graphic>
              <a:graphicData uri="http://schemas.openxmlformats.org/drawingml/2006/picture">
                <pic:pic>
                  <pic:nvPicPr>
                    <pic:cNvPr id="0" name="forest_A.png"/>
                    <pic:cNvPicPr/>
                  </pic:nvPicPr>
                  <pic:blipFill>
                    <a:blip r:embed="rId12"/>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Agreeableness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4</w:t>
      </w:r>
    </w:p>
    <w:p>
      <w:pPr>
        <w:spacing w:line="480" w:lineRule="auto" w:before="0" w:after="0"/>
      </w:pPr>
      <w:r>
        <w:rPr>
          <w:rFonts w:ascii="Times New Roman" w:hAnsi="Times New Roman"/>
          <w:i/>
          <w:sz w:val="24"/>
        </w:rPr>
        <w:t>Forest Plot: Openness and Academic Achievement in Online Learning Environments</w:t>
      </w:r>
    </w:p>
    <w:p>
      <w:pPr>
        <w:jc w:val="center"/>
      </w:pPr>
      <w:r>
        <w:drawing>
          <wp:inline xmlns:a="http://schemas.openxmlformats.org/drawingml/2006/main" xmlns:pic="http://schemas.openxmlformats.org/drawingml/2006/picture">
            <wp:extent cx="5486400" cy="3403941"/>
            <wp:docPr id="4" name="Picture 4"/>
            <wp:cNvGraphicFramePr>
              <a:graphicFrameLocks noChangeAspect="1"/>
            </wp:cNvGraphicFramePr>
            <a:graphic>
              <a:graphicData uri="http://schemas.openxmlformats.org/drawingml/2006/picture">
                <pic:pic>
                  <pic:nvPicPr>
                    <pic:cNvPr id="0" name="forest_O.png"/>
                    <pic:cNvPicPr/>
                  </pic:nvPicPr>
                  <pic:blipFill>
                    <a:blip r:embed="rId13"/>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Openness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5</w:t>
      </w:r>
    </w:p>
    <w:p>
      <w:pPr>
        <w:spacing w:line="480" w:lineRule="auto" w:before="0" w:after="0"/>
      </w:pPr>
      <w:r>
        <w:rPr>
          <w:rFonts w:ascii="Times New Roman" w:hAnsi="Times New Roman"/>
          <w:i/>
          <w:sz w:val="24"/>
        </w:rPr>
        <w:t>Forest Plot: Neuroticism and Academic Achievement in Online Learning Environments</w:t>
      </w:r>
    </w:p>
    <w:p>
      <w:pPr>
        <w:jc w:val="center"/>
      </w:pPr>
      <w:r>
        <w:drawing>
          <wp:inline xmlns:a="http://schemas.openxmlformats.org/drawingml/2006/main" xmlns:pic="http://schemas.openxmlformats.org/drawingml/2006/picture">
            <wp:extent cx="5486400" cy="3620779"/>
            <wp:docPr id="5" name="Picture 5"/>
            <wp:cNvGraphicFramePr>
              <a:graphicFrameLocks noChangeAspect="1"/>
            </wp:cNvGraphicFramePr>
            <a:graphic>
              <a:graphicData uri="http://schemas.openxmlformats.org/drawingml/2006/picture">
                <pic:pic>
                  <pic:nvPicPr>
                    <pic:cNvPr id="0" name="forest_N.png"/>
                    <pic:cNvPicPr/>
                  </pic:nvPicPr>
                  <pic:blipFill>
                    <a:blip r:embed="rId14"/>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Neuroticism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6</w:t>
      </w:r>
    </w:p>
    <w:p>
      <w:pPr>
        <w:spacing w:line="480" w:lineRule="auto" w:before="0" w:after="0"/>
      </w:pPr>
      <w:r>
        <w:rPr>
          <w:rFonts w:ascii="Times New Roman" w:hAnsi="Times New Roman"/>
          <w:i/>
          <w:sz w:val="24"/>
        </w:rPr>
        <w:t>Forest Plot: Extraversion and Academic Achievement in Online Learning Environments</w:t>
      </w:r>
    </w:p>
    <w:p>
      <w:pPr>
        <w:jc w:val="center"/>
      </w:pPr>
      <w:r>
        <w:drawing>
          <wp:inline xmlns:a="http://schemas.openxmlformats.org/drawingml/2006/main" xmlns:pic="http://schemas.openxmlformats.org/drawingml/2006/picture">
            <wp:extent cx="5486400" cy="3403941"/>
            <wp:docPr id="6" name="Picture 6"/>
            <wp:cNvGraphicFramePr>
              <a:graphicFrameLocks noChangeAspect="1"/>
            </wp:cNvGraphicFramePr>
            <a:graphic>
              <a:graphicData uri="http://schemas.openxmlformats.org/drawingml/2006/picture">
                <pic:pic>
                  <pic:nvPicPr>
                    <pic:cNvPr id="0" name="forest_E.png"/>
                    <pic:cNvPicPr/>
                  </pic:nvPicPr>
                  <pic:blipFill>
                    <a:blip r:embed="rId15"/>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Extraversion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7</w:t>
      </w:r>
    </w:p>
    <w:p>
      <w:pPr>
        <w:spacing w:line="480" w:lineRule="auto" w:before="0" w:after="0"/>
      </w:pPr>
      <w:r>
        <w:rPr>
          <w:rFonts w:ascii="Times New Roman" w:hAnsi="Times New Roman"/>
          <w:i/>
          <w:sz w:val="24"/>
        </w:rPr>
        <w:t>Funnel Plot: Conscientiousness and Academic Achievement in Online Learning Environments</w:t>
      </w:r>
    </w:p>
    <w:p>
      <w:pPr>
        <w:jc w:val="center"/>
      </w:pPr>
      <w:r>
        <w:drawing>
          <wp:inline xmlns:a="http://schemas.openxmlformats.org/drawingml/2006/main" xmlns:pic="http://schemas.openxmlformats.org/drawingml/2006/picture">
            <wp:extent cx="4572000" cy="3909391"/>
            <wp:docPr id="7" name="Picture 7"/>
            <wp:cNvGraphicFramePr>
              <a:graphicFrameLocks noChangeAspect="1"/>
            </wp:cNvGraphicFramePr>
            <a:graphic>
              <a:graphicData uri="http://schemas.openxmlformats.org/drawingml/2006/picture">
                <pic:pic>
                  <pic:nvPicPr>
                    <pic:cNvPr id="0" name="funnel_C.png"/>
                    <pic:cNvPicPr/>
                  </pic:nvPicPr>
                  <pic:blipFill>
                    <a:blip r:embed="rId16"/>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Conscientiousness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2.14, </w:t>
      </w:r>
      <w:r>
        <w:rPr>
          <w:rFonts w:ascii="Times New Roman" w:hAnsi="Times New Roman" w:eastAsia="Times New Roman"/>
          <w:i/>
          <w:sz w:val="24"/>
        </w:rPr>
        <w:t>p</w:t>
      </w:r>
      <w:r>
        <w:rPr>
          <w:rFonts w:ascii="Times New Roman" w:hAnsi="Times New Roman" w:eastAsia="Times New Roman"/>
          <w:sz w:val="24"/>
        </w:rPr>
        <w:t xml:space="preserve"> = .094. See Table 4 for full publication-bias assessment.</w:t>
      </w:r>
    </w:p>
    <w:p>
      <w:r>
        <w:br w:type="page"/>
      </w:r>
    </w:p>
    <w:p>
      <w:pPr>
        <w:spacing w:line="480" w:lineRule="auto" w:before="0" w:after="0"/>
      </w:pPr>
      <w:r>
        <w:rPr>
          <w:rFonts w:ascii="Times New Roman" w:hAnsi="Times New Roman"/>
          <w:b/>
          <w:sz w:val="24"/>
        </w:rPr>
        <w:t>Figure 8</w:t>
      </w:r>
    </w:p>
    <w:p>
      <w:pPr>
        <w:spacing w:line="480" w:lineRule="auto" w:before="0" w:after="0"/>
      </w:pPr>
      <w:r>
        <w:rPr>
          <w:rFonts w:ascii="Times New Roman" w:hAnsi="Times New Roman"/>
          <w:i/>
          <w:sz w:val="24"/>
        </w:rPr>
        <w:t>Funnel Plot: Agreeableness and Academic Achievement in Online Learning Environments</w:t>
      </w:r>
    </w:p>
    <w:p>
      <w:pPr>
        <w:jc w:val="center"/>
      </w:pPr>
      <w:r>
        <w:drawing>
          <wp:inline xmlns:a="http://schemas.openxmlformats.org/drawingml/2006/main" xmlns:pic="http://schemas.openxmlformats.org/drawingml/2006/picture">
            <wp:extent cx="4572000" cy="3909391"/>
            <wp:docPr id="8" name="Picture 8"/>
            <wp:cNvGraphicFramePr>
              <a:graphicFrameLocks noChangeAspect="1"/>
            </wp:cNvGraphicFramePr>
            <a:graphic>
              <a:graphicData uri="http://schemas.openxmlformats.org/drawingml/2006/picture">
                <pic:pic>
                  <pic:nvPicPr>
                    <pic:cNvPr id="0" name="funnel_A.png"/>
                    <pic:cNvPicPr/>
                  </pic:nvPicPr>
                  <pic:blipFill>
                    <a:blip r:embed="rId17"/>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Agreeableness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−8.53, </w:t>
      </w:r>
      <w:r>
        <w:rPr>
          <w:rFonts w:ascii="Times New Roman" w:hAnsi="Times New Roman" w:eastAsia="Times New Roman"/>
          <w:i/>
          <w:sz w:val="24"/>
        </w:rPr>
        <w:t>p</w:t>
      </w:r>
      <w:r>
        <w:rPr>
          <w:rFonts w:ascii="Times New Roman" w:hAnsi="Times New Roman" w:eastAsia="Times New Roman"/>
          <w:sz w:val="24"/>
        </w:rPr>
        <w:t xml:space="preserve"> = .072. See Table 4 for full publication-bias assessment.</w:t>
      </w:r>
    </w:p>
    <w:p>
      <w:r>
        <w:br w:type="page"/>
      </w:r>
    </w:p>
    <w:p>
      <w:pPr>
        <w:spacing w:line="480" w:lineRule="auto" w:before="0" w:after="0"/>
      </w:pPr>
      <w:r>
        <w:rPr>
          <w:rFonts w:ascii="Times New Roman" w:hAnsi="Times New Roman"/>
          <w:b/>
          <w:sz w:val="24"/>
        </w:rPr>
        <w:t>Figure 9</w:t>
      </w:r>
    </w:p>
    <w:p>
      <w:pPr>
        <w:spacing w:line="480" w:lineRule="auto" w:before="0" w:after="0"/>
      </w:pPr>
      <w:r>
        <w:rPr>
          <w:rFonts w:ascii="Times New Roman" w:hAnsi="Times New Roman"/>
          <w:i/>
          <w:sz w:val="24"/>
        </w:rPr>
        <w:t>Funnel Plot: Openness and Academic Achievement in Online Learning Environments</w:t>
      </w:r>
    </w:p>
    <w:p>
      <w:pPr>
        <w:jc w:val="center"/>
      </w:pPr>
      <w:r>
        <w:drawing>
          <wp:inline xmlns:a="http://schemas.openxmlformats.org/drawingml/2006/main" xmlns:pic="http://schemas.openxmlformats.org/drawingml/2006/picture">
            <wp:extent cx="4572000" cy="3909391"/>
            <wp:docPr id="9" name="Picture 9"/>
            <wp:cNvGraphicFramePr>
              <a:graphicFrameLocks noChangeAspect="1"/>
            </wp:cNvGraphicFramePr>
            <a:graphic>
              <a:graphicData uri="http://schemas.openxmlformats.org/drawingml/2006/picture">
                <pic:pic>
                  <pic:nvPicPr>
                    <pic:cNvPr id="0" name="funnel_O.png"/>
                    <pic:cNvPicPr/>
                  </pic:nvPicPr>
                  <pic:blipFill>
                    <a:blip r:embed="rId18"/>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Openness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−6.41, </w:t>
      </w:r>
      <w:r>
        <w:rPr>
          <w:rFonts w:ascii="Times New Roman" w:hAnsi="Times New Roman" w:eastAsia="Times New Roman"/>
          <w:i/>
          <w:sz w:val="24"/>
        </w:rPr>
        <w:t>p</w:t>
      </w:r>
      <w:r>
        <w:rPr>
          <w:rFonts w:ascii="Times New Roman" w:hAnsi="Times New Roman" w:eastAsia="Times New Roman"/>
          <w:sz w:val="24"/>
        </w:rPr>
        <w:t xml:space="preserve"> = .045. See Table 4 for full publication-bias assessment.</w:t>
      </w:r>
    </w:p>
    <w:p>
      <w:r>
        <w:br w:type="page"/>
      </w:r>
    </w:p>
    <w:p>
      <w:pPr>
        <w:spacing w:line="480" w:lineRule="auto" w:before="0" w:after="0"/>
      </w:pPr>
      <w:r>
        <w:rPr>
          <w:rFonts w:ascii="Times New Roman" w:hAnsi="Times New Roman"/>
          <w:b/>
          <w:sz w:val="24"/>
        </w:rPr>
        <w:t>Figure 10</w:t>
      </w:r>
    </w:p>
    <w:p>
      <w:pPr>
        <w:spacing w:line="480" w:lineRule="auto" w:before="0" w:after="0"/>
      </w:pPr>
      <w:r>
        <w:rPr>
          <w:rFonts w:ascii="Times New Roman" w:hAnsi="Times New Roman"/>
          <w:i/>
          <w:sz w:val="24"/>
        </w:rPr>
        <w:t>Funnel Plot: Neuroticism and Academic Achievement in Online Learning Environments</w:t>
      </w:r>
    </w:p>
    <w:p>
      <w:pPr>
        <w:jc w:val="center"/>
      </w:pPr>
      <w:r>
        <w:drawing>
          <wp:inline xmlns:a="http://schemas.openxmlformats.org/drawingml/2006/main" xmlns:pic="http://schemas.openxmlformats.org/drawingml/2006/picture">
            <wp:extent cx="4572000" cy="3909391"/>
            <wp:docPr id="10" name="Picture 10"/>
            <wp:cNvGraphicFramePr>
              <a:graphicFrameLocks noChangeAspect="1"/>
            </wp:cNvGraphicFramePr>
            <a:graphic>
              <a:graphicData uri="http://schemas.openxmlformats.org/drawingml/2006/picture">
                <pic:pic>
                  <pic:nvPicPr>
                    <pic:cNvPr id="0" name="funnel_N.png"/>
                    <pic:cNvPicPr/>
                  </pic:nvPicPr>
                  <pic:blipFill>
                    <a:blip r:embed="rId19"/>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Neuroticism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−1.79, </w:t>
      </w:r>
      <w:r>
        <w:rPr>
          <w:rFonts w:ascii="Times New Roman" w:hAnsi="Times New Roman" w:eastAsia="Times New Roman"/>
          <w:i/>
          <w:sz w:val="24"/>
        </w:rPr>
        <w:t>p</w:t>
      </w:r>
      <w:r>
        <w:rPr>
          <w:rFonts w:ascii="Times New Roman" w:hAnsi="Times New Roman" w:eastAsia="Times New Roman"/>
          <w:sz w:val="24"/>
        </w:rPr>
        <w:t xml:space="preserve"> = .304. See Table 4 for full publication-bias assessment.</w:t>
      </w:r>
    </w:p>
    <w:p>
      <w:r>
        <w:br w:type="page"/>
      </w:r>
    </w:p>
    <w:p>
      <w:pPr>
        <w:spacing w:line="480" w:lineRule="auto" w:before="0" w:after="0"/>
      </w:pPr>
      <w:r>
        <w:rPr>
          <w:rFonts w:ascii="Times New Roman" w:hAnsi="Times New Roman"/>
          <w:b/>
          <w:sz w:val="24"/>
        </w:rPr>
        <w:t>Figure 11</w:t>
      </w:r>
    </w:p>
    <w:p>
      <w:pPr>
        <w:spacing w:line="480" w:lineRule="auto" w:before="0" w:after="0"/>
      </w:pPr>
      <w:r>
        <w:rPr>
          <w:rFonts w:ascii="Times New Roman" w:hAnsi="Times New Roman"/>
          <w:i/>
          <w:sz w:val="24"/>
        </w:rPr>
        <w:t>Funnel Plot: Extraversion and Academic Achievement in Online Learning Environments</w:t>
      </w:r>
    </w:p>
    <w:p>
      <w:pPr>
        <w:jc w:val="center"/>
      </w:pPr>
      <w:r>
        <w:drawing>
          <wp:inline xmlns:a="http://schemas.openxmlformats.org/drawingml/2006/main" xmlns:pic="http://schemas.openxmlformats.org/drawingml/2006/picture">
            <wp:extent cx="4572000" cy="3909391"/>
            <wp:docPr id="11" name="Picture 11"/>
            <wp:cNvGraphicFramePr>
              <a:graphicFrameLocks noChangeAspect="1"/>
            </wp:cNvGraphicFramePr>
            <a:graphic>
              <a:graphicData uri="http://schemas.openxmlformats.org/drawingml/2006/picture">
                <pic:pic>
                  <pic:nvPicPr>
                    <pic:cNvPr id="0" name="funnel_E.png"/>
                    <pic:cNvPicPr/>
                  </pic:nvPicPr>
                  <pic:blipFill>
                    <a:blip r:embed="rId20"/>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Extraversion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2.29, </w:t>
      </w:r>
      <w:r>
        <w:rPr>
          <w:rFonts w:ascii="Times New Roman" w:hAnsi="Times New Roman" w:eastAsia="Times New Roman"/>
          <w:i/>
          <w:sz w:val="24"/>
        </w:rPr>
        <w:t>p</w:t>
      </w:r>
      <w:r>
        <w:rPr>
          <w:rFonts w:ascii="Times New Roman" w:hAnsi="Times New Roman" w:eastAsia="Times New Roman"/>
          <w:sz w:val="24"/>
        </w:rPr>
        <w:t xml:space="preserve"> = .255. See Table 4 for full publication-bias assessment.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