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systematic review and meta-analysis offers a first, preliminary quantitative synthesis dedicated to online learning environments. Following PRISMA 2020 standards, 25 primary studies were retained for systematic synthesis (cataloguing 31 full-text records in Table 1, including 6 documented post-eligibility exclusions for PRISMA transparency) reporting Big Five personality and academic achievement in online, blended, or MOOC environments. Ten studies (pooled </w:t>
      </w:r>
      <w:r>
        <w:rPr>
          <w:rFonts w:ascii="Times New Roman" w:hAnsi="Times New Roman" w:eastAsia="Times New Roman"/>
          <w:i/>
          <w:sz w:val="24"/>
        </w:rPr>
        <w:t>N</w:t>
      </w:r>
      <w:r>
        <w:rPr>
          <w:rFonts w:ascii="Times New Roman" w:hAnsi="Times New Roman" w:eastAsia="Times New Roman"/>
          <w:sz w:val="24"/>
        </w:rPr>
        <w:t xml:space="preserve"> = 3,384) contributed direct or β-converted Pearson correlations to the primary achievement pool,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Conscientiousness was the strongest predictor (pooled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Two pre-registered subgroup contrasts showed large between-group differences on Extraversion — by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by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 but these contrasts rest on a small number of studies per subgroup and should be treated as exploratory rather than confirmatory. The findings are broadly consistent with the Personality-Achievement Saturation Hypothesis (Meyer et al., 2023) extended to technology-mediated learning, but the small primary pool (</w:t>
      </w:r>
      <w:r>
        <w:rPr>
          <w:rFonts w:ascii="Times New Roman" w:hAnsi="Times New Roman" w:eastAsia="Times New Roman"/>
          <w:i/>
          <w:sz w:val="24"/>
        </w:rPr>
        <w:t>k</w:t>
      </w:r>
      <w:r>
        <w:rPr>
          <w:rFonts w:ascii="Times New Roman" w:hAnsi="Times New Roman" w:eastAsia="Times New Roman"/>
          <w:sz w:val="24"/>
        </w:rPr>
        <w:t xml:space="preserve"> = 10), substantial heterogeneity, and wide prediction intervals (which include zero for most traits) mean that this consistency does not yet constitute strong confirmation. GRADE confidence ranged from Moderate (Conscientiousness, Extraversion) to Low (Openness, Agreeableness, Neuroticism). The synthesis offers a tentative empirical reference point and identifies a priority research agenda — replication with a larger and more linguistically inclusive corpus, facet-level analyses, and explicit modality contrasts — but the conclusions should not be over-extrapolated to practical pedagogical recommendations on the basis of the present evidence base.</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systematic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predictors of academic achievement that were established in face-to-face classrooms retain their predictive validity when instruction is mediated by technology? Personality traits, and in particular the Big Five (Five-Factor Model) dimensions of Conscientiousness, Openness to Experience, Extraversion, Agreeableness, and Neuroticism, are among the most widely studied non-cognitive predictors of academic achievement (Mammadov, 2022; Poropat, 2009). Yet the accumulated meta-analytic evidence, as reviewed below, has been produced almost entirely from samples in which delivery modality is treated as noise rather than as a substantive moderator. The present review is , to the author's knowledge,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predicts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predictor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predictor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predictions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predictions are theoretically grounded,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predicting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predict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prediction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predictors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predictors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systematic review and meta-analysis is, to our knowledge, the first quantitative synthesis of the association between Big Five personality traits and academic achievement that focuses specifically on online learning environments. Our review addresses three research questions and evaluates five directional hypotheses. The research questions are as follows. First (RQ1), what is the pooled magnitude of the association between each Big Five trait and academic achievement in online learning environments, and how does this magnitude compare with published face-to-face benchmarks? Second (RQ2), does the personality-achievement association vary systematically across learning modality, education level, region, era, outcome type, and personality instrument? Third (RQ3), is the personality-achievement association in online environments fully accounted for by mediating constructs such as self-efficacy and self-regulation, or does it exhibit direct effects beyond these mediators?</w:t>
      </w:r>
    </w:p>
    <w:p>
      <w:pPr>
        <w:spacing w:line="480" w:lineRule="auto" w:before="0" w:after="0"/>
        <w:ind w:firstLine="720"/>
      </w:pPr>
      <w:r>
        <w:rPr>
          <w:rFonts w:ascii="Times New Roman" w:hAnsi="Times New Roman" w:eastAsia="Times New Roman"/>
          <w:sz w:val="24"/>
        </w:rPr>
        <w:t xml:space="preserve">Five directional hypotheses, pre-specified in the OSF registration (https://osf.io/e5w47/), are evaluated. Hypothesis 1 (H1) states that Conscientiousness will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Hypothesis 2 (H2) states that Openness will show the second-strongest positive correlation, potentially stronger than in face-to-face contexts, reflecting the premium placed on self-directed exploration in online environments. Hypothesis 3 (H3) states that Agreeableness will show a small positive correlation, potentially weaker than in face-to-face contexts because cooperative group behaviors are less central in asynchronous online environments. Hypothesis 4 (H4) states that Neuroticism will show a negative correlation, more pronounced in fully online than in blended modalities, reflecting the isolating and technology-mediated nature of fully online environments. Hypothesis 5 (H5) states that Extraversion will show a null or weak negative correlation, with possible facet-level cancellation between sociability (expected negative) and assertiveness (expected positive) components, reflecting the reduced social presence of online environments. Hypotheses H2, H4, and H5 constitute the novel contribution of this review, as they predict modality-specific divergences from established patterns observed in face-to-face meta-analyses.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 to the author's knowledge, the first quantitative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systematic review and meta-analysis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Systematic Review and Meta-Analysis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 2020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The pre-registered search plan specified six electronic databases—PubMed/MEDLINE, PsycINFO, the Education Resources Information Center (ERIC), Web of Science (Core Collection), Scopus, and ProQuest Dissertations &amp; Theses Global—supplemented by Google Scholar (first 200 hits per query) and forward/backward citation snowballing. Because the review was executed in a computing environment that did not have institutional access to the subscription-gated databases (Scopus, Web of Science, PsycINFO), and because the direct E-utilities and OpenAlex APIs were unavailable due to network allowlist restrictions, the final search was executed through a web-based search interface equivalent in coverage to Google Scholar, combined with targeted retrieval from open-access repositories (PubMed Central, Frontiers, MDPI, Open Praxis). This constitutes a deviation from the pre-registered protocol and is discussed transparently under “Deviations from the Pre-registered Protocol.” The deviation was mitigated by applying the same pre-specified three-concept Boolean search strategy across all executed queries and by retaining the original retrieval logs on the OSF project.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 2020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primary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primary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primary pooling models were re-estimated (a) excluding studies with a risk-of-bias aggregate score below 5; (b) excluding the present author's own prior primary study (Tokiwa, 2025)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Publication bias was assessed per trait using four complementary procedures: visual inspection of funnel plots with pseudo-95% confidence bounds; Egger's regression asymmetry test (Egger et al., 1997); Peters' regression test adapted for correlation effect sizes; and Duval and Tweedie's (2000) trim-and-fill procedure, reported as a sensitivity check rather than as a point-estimate correction. In addition, p-curve analysis (Simonsohn et al., 2014) was performed to evaluate the evidential value of the statistically significant primary findings. Grey literature—doctoral dissertations and peer-reviewed conference proceedings—was included in the primary synthesis to partially mitigate publication bias arising from the file-drawer problem, while unpublished manuscripts and non-peer-reviewed preprints were excluded for quality reasons; this trade-off is acknowledged as a limitation in the Discussion.</w:t>
      </w:r>
    </w:p>
    <w:p>
      <w:pPr>
        <w:pStyle w:val="Heading2"/>
        <w:spacing w:line="480" w:lineRule="auto" w:before="0" w:after="0"/>
      </w:pPr>
      <w:r>
        <w:t>Confidence in Cumulative Evidence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core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primary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(13 of 25 retained studies); NEO-family, IPIP, HEXACO, and TIPI/TIPI-J together contributed fewer than three studies each in the retained set. Within the primary achievement pool, Conscientiousness estimates were comparable across BFI-44 studies (</w:t>
      </w:r>
      <w:r>
        <w:rPr>
          <w:rFonts w:ascii="Times New Roman" w:hAnsi="Times New Roman" w:eastAsia="Times New Roman"/>
          <w:i/>
          <w:sz w:val="24"/>
        </w:rPr>
        <w:t>r</w:t>
      </w:r>
      <w:r>
        <w:rPr>
          <w:rFonts w:ascii="Times New Roman" w:hAnsi="Times New Roman" w:eastAsia="Times New Roman"/>
          <w:sz w:val="24"/>
        </w:rPr>
        <w:t xml:space="preserve"> range from .068 in Bahçekapılı &amp; Karaman, 2020 to .37 in Abe, 2020 paper-grade outcome),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(Yu, 2021 and Kaspar et al., 2023). Consistent with McAbee and Oswald (2013), the short-form Mini-IPIP and TIPI produced smaller magnitudes than full BFI-family instruments, but the k-per-instrument was insufficient for inferential testing. (b) Publication year: the retained studies spanned 2003 to 2025, with concentration in 2020–2023. A scatter-plot inspection of year vs. effect size (not reported) indicated no systematic trend. (c) Log-sample size: among the 10 studies in the primary quantitative pool, larger samples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Zheng &amp; Zheng, 2023 </w:t>
      </w:r>
      <w:r>
        <w:rPr>
          <w:rFonts w:ascii="Times New Roman" w:hAnsi="Times New Roman" w:eastAsia="Times New Roman"/>
          <w:i/>
          <w:sz w:val="24"/>
        </w:rPr>
        <w:t>N</w:t>
      </w:r>
      <w:r>
        <w:rPr>
          <w:rFonts w:ascii="Times New Roman" w:hAnsi="Times New Roman" w:eastAsia="Times New Roman"/>
          <w:sz w:val="24"/>
        </w:rPr>
        <w:t xml:space="preserve"> = 282; Rodrigues et al., 2024 </w:t>
      </w:r>
      <w:r>
        <w:rPr>
          <w:rFonts w:ascii="Times New Roman" w:hAnsi="Times New Roman" w:eastAsia="Times New Roman"/>
          <w:i/>
          <w:sz w:val="24"/>
        </w:rPr>
        <w:t>N</w:t>
      </w:r>
      <w:r>
        <w:rPr>
          <w:rFonts w:ascii="Times New Roman" w:hAnsi="Times New Roman" w:eastAsia="Times New Roman"/>
          <w:sz w:val="24"/>
        </w:rPr>
        <w:t xml:space="preserve"> = 260; Alkış &amp; Taşkaya Temizel, 2018 online subsample </w:t>
      </w:r>
      <w:r>
        <w:rPr>
          <w:rFonts w:ascii="Times New Roman" w:hAnsi="Times New Roman" w:eastAsia="Times New Roman"/>
          <w:i/>
          <w:sz w:val="24"/>
        </w:rPr>
        <w:t>N</w:t>
      </w:r>
      <w:r>
        <w:rPr>
          <w:rFonts w:ascii="Times New Roman" w:hAnsi="Times New Roman" w:eastAsia="Times New Roman"/>
          <w:sz w:val="24"/>
        </w:rPr>
        <w:t xml:space="preserve"> = 189)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two smallest pool members (Abe, 2020 </w:t>
      </w:r>
      <w:r>
        <w:rPr>
          <w:rFonts w:ascii="Times New Roman" w:hAnsi="Times New Roman" w:eastAsia="Times New Roman"/>
          <w:i/>
          <w:sz w:val="24"/>
        </w:rPr>
        <w:t>N</w:t>
      </w:r>
      <w:r>
        <w:rPr>
          <w:rFonts w:ascii="Times New Roman" w:hAnsi="Times New Roman" w:eastAsia="Times New Roman"/>
          <w:sz w:val="24"/>
        </w:rPr>
        <w:t xml:space="preserve"> = 92; Elvers et al., 2003 online subset </w:t>
      </w:r>
      <w:r>
        <w:rPr>
          <w:rFonts w:ascii="Times New Roman" w:hAnsi="Times New Roman" w:eastAsia="Times New Roman"/>
          <w:i/>
          <w:sz w:val="24"/>
        </w:rPr>
        <w:t>N</w:t>
      </w:r>
      <w:r>
        <w:rPr>
          <w:rFonts w:ascii="Times New Roman" w:hAnsi="Times New Roman" w:eastAsia="Times New Roman"/>
          <w:sz w:val="24"/>
        </w:rPr>
        <w:t xml:space="preserve"> = 21;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among the 25 retained studies, only one was not-explicitly-online (A-13 Dang et al., 2025; general learning-engagement scale not online-specific) and one (A-02 Alkış &amp; Taşkaya Temizel, 2018) contributed both online (</w:t>
      </w:r>
      <w:r>
        <w:rPr>
          <w:rFonts w:ascii="Times New Roman" w:hAnsi="Times New Roman" w:eastAsia="Times New Roman"/>
          <w:i/>
          <w:sz w:val="24"/>
        </w:rPr>
        <w:t>N</w:t>
      </w:r>
      <w:r>
        <w:rPr>
          <w:rFonts w:ascii="Times New Roman" w:hAnsi="Times New Roman" w:eastAsia="Times New Roman"/>
          <w:sz w:val="24"/>
        </w:rPr>
        <w:t xml:space="preserve"> = 189) and blended (</w:t>
      </w:r>
      <w:r>
        <w:rPr>
          <w:rFonts w:ascii="Times New Roman" w:hAnsi="Times New Roman" w:eastAsia="Times New Roman"/>
          <w:i/>
          <w:sz w:val="24"/>
        </w:rPr>
        <w:t>N</w:t>
      </w:r>
      <w:r>
        <w:rPr>
          <w:rFonts w:ascii="Times New Roman" w:hAnsi="Times New Roman" w:eastAsia="Times New Roman"/>
          <w:sz w:val="24"/>
        </w:rPr>
        <w:t xml:space="preserve"> = 127) subsamples. A-28 Yu's MOOC context is itself a form of online learning. The </w:t>
      </w:r>
      <w:r>
        <w:rPr>
          <w:rFonts w:ascii="Times New Roman" w:hAnsi="Times New Roman" w:eastAsia="Times New Roman"/>
          <w:i/>
          <w:sz w:val="24"/>
        </w:rPr>
        <w:t>k</w:t>
      </w:r>
      <w:r>
        <w:rPr>
          <w:rFonts w:ascii="Times New Roman" w:hAnsi="Times New Roman" w:eastAsia="Times New Roman"/>
          <w:sz w:val="24"/>
        </w:rPr>
        <w:t xml:space="preserve"> for any non-fully-online cell was insufficient for quantitative modality moderation. (f) Education level: 2 K-12 studies were retained (A-25 Tokiwa, 2025; A-26 Wang et al., 2023), with an additional K-12 record (A-10 Boonyapison et al., 2025) excluded for face-to-face modality. Neither retained K-12 study contributed direct or β-converted </w:t>
      </w:r>
      <w:r>
        <w:rPr>
          <w:rFonts w:ascii="Times New Roman" w:hAnsi="Times New Roman" w:eastAsia="Times New Roman"/>
          <w:i/>
          <w:sz w:val="24"/>
        </w:rPr>
        <w:t>r</w:t>
      </w:r>
      <w:r>
        <w:rPr>
          <w:rFonts w:ascii="Times New Roman" w:hAnsi="Times New Roman" w:eastAsia="Times New Roman"/>
          <w:sz w:val="24"/>
        </w:rPr>
        <w:t xml:space="preserve"> to the primary quantitative achievement pool: A-25 reported test-completion outcomes without extractable achievement </w:t>
      </w:r>
      <w:r>
        <w:rPr>
          <w:rFonts w:ascii="Times New Roman" w:hAnsi="Times New Roman" w:eastAsia="Times New Roman"/>
          <w:i/>
          <w:sz w:val="24"/>
        </w:rPr>
        <w:t>r</w:t>
      </w:r>
      <w:r>
        <w:rPr>
          <w:rFonts w:ascii="Times New Roman" w:hAnsi="Times New Roman" w:eastAsia="Times New Roman"/>
          <w:sz w:val="24"/>
        </w:rPr>
        <w:t xml:space="preserve">, and A-26 reported only a </w:t>
      </w:r>
      <w:r>
        <w:rPr>
          <w:rFonts w:ascii="Times New Roman" w:hAnsi="Times New Roman" w:eastAsia="Times New Roman"/>
          <w:i/>
          <w:sz w:val="24"/>
        </w:rPr>
        <w:t>β</w:t>
      </w:r>
      <w:r>
        <w:rPr>
          <w:rFonts w:ascii="Times New Roman" w:hAnsi="Times New Roman" w:eastAsia="Times New Roman"/>
          <w:sz w:val="24"/>
        </w:rPr>
        <w:t xml:space="preserve"> path through engagement (no direct trait–achievement </w:t>
      </w:r>
      <w:r>
        <w:rPr>
          <w:rFonts w:ascii="Times New Roman" w:hAnsi="Times New Roman" w:eastAsia="Times New Roman"/>
          <w:i/>
          <w:sz w:val="24"/>
        </w:rPr>
        <w:t>r</w:t>
      </w:r>
      <w:r>
        <w:rPr>
          <w:rFonts w:ascii="Times New Roman" w:hAnsi="Times New Roman" w:eastAsia="Times New Roman"/>
          <w:sz w:val="24"/>
        </w:rPr>
        <w:t>). The K-12 contribution to the present synthesis is therefore narrative-only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 xml:space="preserve">All quantitative analyses were performed in Python (version ≥ 3.11) using the scientific Python stack as the primary engine for random-effects meta-analysis, mixed-effects meta-regression, and heterogeneity diagnostics: NumPy and SciPy for numerical primitives (REML </w:t>
      </w:r>
      <w:r>
        <w:rPr>
          <w:rFonts w:ascii="Times New Roman" w:hAnsi="Times New Roman" w:eastAsia="Times New Roman"/>
          <w:i/>
          <w:sz w:val="24"/>
        </w:rPr>
        <w:t>τ²</w:t>
      </w:r>
      <w:r>
        <w:rPr>
          <w:rFonts w:ascii="Times New Roman" w:hAnsi="Times New Roman" w:eastAsia="Times New Roman"/>
          <w:sz w:val="24"/>
        </w:rPr>
        <w:t xml:space="preserve"> estimation, Fisher-z transformations, Hartung-Knapp-Sidik-Jonkman confidence-interval adjustment, Q-statistic and </w:t>
      </w:r>
      <w:r>
        <w:rPr>
          <w:rFonts w:ascii="Times New Roman" w:hAnsi="Times New Roman" w:eastAsia="Times New Roman"/>
          <w:i/>
          <w:sz w:val="24"/>
        </w:rPr>
        <w:t>I²</w:t>
      </w:r>
      <w:r>
        <w:rPr>
          <w:rFonts w:ascii="Times New Roman" w:hAnsi="Times New Roman" w:eastAsia="Times New Roman"/>
          <w:sz w:val="24"/>
        </w:rPr>
        <w:t xml:space="preserve"> computation, prediction-interval calculation), pandas for the extraction-CSV data layer, statsmodels for ancillary regression and trim-and-fill calculations, and Matplotlib for forest, funnel, and bubble plots. The clubSandwich approach to cluster-robust variance estimation (Pustejovsky, 2023; Tipton, 2015) was re-implemented in Python following the published mathematical specification rather than via the R package, and was validated against the canonical Harrer et al. (2021) worked examples. All analysis code, the deposited extraction CSV, and pinned package versions (uv.lock) are deposited on the associated OSF project (https://doi.org/10.17605/OSF.IO/79M5J), specifically in the 06_analysis component (https://doi.org/10.17605/OSF.IO/Q4XKB), and are mirrored at https://github.com/etoki/paper for version control. Any interested researcher can reproduce every analytic step reported in this paper from the deposited extraction CSV and the Python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 2020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Bahçekapılı &amp; Karaman, 2020; A-30 Kaspar et al., 2023; A-31 Rivers, 2021; A-37 Zheng &amp; Zheng, 2023) were added, for a total of 31 primary studies catalogued in this review (Table 1). Of these 31 catalogued records, 25 were retained for qualitative synthesis (10 contributing direct or β-converted Pearson correlations to the primary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primary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Yu, 2021 and A-30 Kaspar et al., 2023), and one was flagged as a conflict-of-interest study because it is the present author's own prior primary research (A-25 Tokiwa, 2025; Tokiwa is in the qualitative-synthesis 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primary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25 retained primary studies (and the 6 post-eligibility exclusions documented for transparency) are presented in Table 1. Publication years ranged from 2003 to 2025, with a marked acceleration in the COVID-19 era (2020–2022), during which roughly half of the retained studies were conducted. Analytic sample sizes (retained 25)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260. The 10 studies contributing direct or β-converted Pearson correlations to the primary achievement pool aggregated a total sample of 3,384 participants (</w:t>
      </w:r>
      <w:r>
        <w:rPr>
          <w:rFonts w:ascii="Times New Roman" w:hAnsi="Times New Roman" w:eastAsia="Times New Roman"/>
          <w:i/>
          <w:sz w:val="24"/>
        </w:rPr>
        <w:t>k</w:t>
      </w:r>
      <w:r>
        <w:rPr>
          <w:rFonts w:ascii="Times New Roman" w:hAnsi="Times New Roman" w:eastAsia="Times New Roman"/>
          <w:sz w:val="24"/>
        </w:rPr>
        <w:t xml:space="preserve"> = 10 for Conscientiousness and Neuroticism; </w:t>
      </w:r>
      <w:r>
        <w:rPr>
          <w:rFonts w:ascii="Times New Roman" w:hAnsi="Times New Roman" w:eastAsia="Times New Roman"/>
          <w:i/>
          <w:sz w:val="24"/>
        </w:rPr>
        <w:t>k</w:t>
      </w:r>
      <w:r>
        <w:rPr>
          <w:rFonts w:ascii="Times New Roman" w:hAnsi="Times New Roman" w:eastAsia="Times New Roman"/>
          <w:sz w:val="24"/>
        </w:rPr>
        <w:t xml:space="preserve"> = 9 for Openness, Extraversion, Agreeableness — A-15 Elvers reported only C and </w:t>
      </w:r>
      <w:r>
        <w:rPr>
          <w:rFonts w:ascii="Times New Roman" w:hAnsi="Times New Roman" w:eastAsia="Times New Roman"/>
          <w:i/>
          <w:sz w:val="24"/>
        </w:rPr>
        <w:t>N</w:t>
      </w:r>
      <w:r>
        <w:rPr>
          <w:rFonts w:ascii="Times New Roman" w:hAnsi="Times New Roman" w:eastAsia="Times New Roman"/>
          <w:sz w:val="24"/>
        </w:rPr>
        <w:t>).</w:t>
      </w:r>
    </w:p>
    <w:p>
      <w:pPr>
        <w:spacing w:line="480" w:lineRule="auto" w:before="0" w:after="0"/>
        <w:ind w:firstLine="720"/>
      </w:pPr>
      <w:r>
        <w:rPr>
          <w:rFonts w:ascii="Times New Roman" w:hAnsi="Times New Roman" w:eastAsia="Times New Roman"/>
          <w:sz w:val="24"/>
        </w:rPr>
        <w:t xml:space="preserve">Among the 25 retained studies, learning modality was overwhelmingly fully online (24 of 25 studies); the remaining study (A-13 Dang) used a Big Five-engagement scale that was not explicitly online-specific and is included with that caveat. The asynchronous/synchronous distinction was explicitly reported for a minority of records. Education levels comprised K-12 (2 studies: A-25 Tokiwa, A-26 Wang), undergraduate (15 studies), mixed undergraduate/graduate (5 studies: A-08, A-18, A-20, A-28, A-30), graduate only (2 studies: A-07 Cohen &amp; Baruth, 2017; A-37 Zheng &amp; Zheng, 2023), and mixed secondary/post-secondary (1 study: A-11 Cheng et al., 2023). Regional distribution, important for the pre-registered Asian-amplification moderator analysis, was Asia (12 studies; includes East Asian and Middle Eastern samples), Europe (7 studies), and North America (6 studies); within the primary quantitative pool the Asian subset is reduced to </w:t>
      </w:r>
      <w:r>
        <w:rPr>
          <w:rFonts w:ascii="Times New Roman" w:hAnsi="Times New Roman" w:eastAsia="Times New Roman"/>
          <w:i/>
          <w:sz w:val="24"/>
        </w:rPr>
        <w:t>k</w:t>
      </w:r>
      <w:r>
        <w:rPr>
          <w:rFonts w:ascii="Times New Roman" w:hAnsi="Times New Roman" w:eastAsia="Times New Roman"/>
          <w:sz w:val="24"/>
        </w:rPr>
        <w:t xml:space="preserve"> = 2. Era coding for the era moderator yielded 8 pre-COVID, 12 COVID-era, 4 post-COVID, and 1 mixed-era (A-37 Zheng &amp; Zheng, spanning pre/during/post lockdown) retained studies.</w:t>
      </w:r>
    </w:p>
    <w:p>
      <w:pPr>
        <w:spacing w:line="480" w:lineRule="auto" w:before="0" w:after="0"/>
        <w:ind w:firstLine="720"/>
      </w:pPr>
      <w:r>
        <w:rPr>
          <w:rFonts w:ascii="Times New Roman" w:hAnsi="Times New Roman" w:eastAsia="Times New Roman"/>
          <w:sz w:val="24"/>
        </w:rPr>
        <w:t>Personality measurement instruments used across the 25 retained studies comprised the Big Five Inventory family (BFI-44, BFI-2, BFI-S; 13 studies), the NEO Personality Inventory family (NEO-FFI; 2 studies), the International Personality Item Pool (IPIP, Mini-IPIP; 3 studies), the HEXACO Personality Inventory (1 study: A-19 MacLean, 2022), the Ten-Item Personality Inventory (TIPI, TIPI-J; 2 studies: A-31 Rivers, A-37 Zheng &amp; Zheng), and other validated Big Five–aligned scales (Sahinidis and Tsaknis's (2021) 30-item custom scale, Chinese-language Big Five scales of A-20 Mustafa et al. (2022) and A-26 Wang et al. (2023), and McCrae's 40-item scale used in A-28 Yu; 4 studies in total). Achievement outcomes in the 10-study primary pool were operationalized as GPA or course grade (6 studies: A-02 Alkis, A-23 Rodrigues, A-29 Bahçekapılı, A-31 Rivers, A-37 Zheng &amp; Zheng, plus the paper-grade subscale of A-01 Abe), standardized exam (1 study: A-15 Elvers Intro-Psych exam), MOOC platform composite (1 study: A-28 Yu), and self-rated performance (2 studies: A-22 Quigley OSES subscale; A-30 Kaspar self-rated performance composite). Secondary outcomes — satisfaction, engagement, preference, or perception — were the only available outcome in the remaining 15 retained studies and were not pooled into the primary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25 retained studies was 5.44 (</w:t>
      </w:r>
      <w:r>
        <w:rPr>
          <w:rFonts w:ascii="Times New Roman" w:hAnsi="Times New Roman" w:eastAsia="Times New Roman"/>
          <w:i/>
          <w:sz w:val="24"/>
        </w:rPr>
        <w:t>SD</w:t>
      </w:r>
      <w:r>
        <w:rPr>
          <w:rFonts w:ascii="Times New Roman" w:hAnsi="Times New Roman" w:eastAsia="Times New Roman"/>
          <w:sz w:val="24"/>
        </w:rPr>
        <w:t xml:space="preserve"> = 0.87, range = 4–7). Twenty-one studies scored at or above the pre-specified low-bias threshold of 5, while four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Primary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supporting Hypothesis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confirming the ordinal prediction of H1,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predicted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Hypothesis 5 (H5), which predicted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Hypothesis 3 (H3), which predicted a weaker Agreeableness effect in online than in face-to-face contexts. Within the primary pool the largest Agreeableness contribution came from a single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confirmed Yu as the most influential study for the Agreeableness estimate (removal shifts </w:t>
      </w:r>
      <w:r>
        <w:rPr>
          <w:rFonts w:ascii="Times New Roman" w:hAnsi="Times New Roman" w:eastAsia="Times New Roman"/>
          <w:i/>
          <w:sz w:val="24"/>
        </w:rPr>
        <w:t>r</w:t>
      </w:r>
      <w:r>
        <w:rPr>
          <w:rFonts w:ascii="Times New Roman" w:hAnsi="Times New Roman" w:eastAsia="Times New Roman"/>
          <w:sz w:val="24"/>
        </w:rPr>
        <w:t xml:space="preserve"> from .112 to .038).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and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provide narrative support for Agreeableness amplification in East Asian and Israeli samples respectively, but neither contributed direct correlations to the primary pool.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prediction of Hypothesis 4 (H4), which expected a negative effect more pronounced in fully online than in blended modalities; H4 was not supported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Within the 10-study primary Neuroticism pool, signs were mixed: Rodrigues et al. (2024) reported a negative direct association with sign-flipped GPA (</w:t>
      </w:r>
      <w:r>
        <w:rPr>
          <w:rFonts w:ascii="Times New Roman" w:hAnsi="Times New Roman" w:eastAsia="Times New Roman"/>
          <w:i/>
          <w:sz w:val="24"/>
        </w:rPr>
        <w:t>r</w:t>
      </w:r>
      <w:r>
        <w:rPr>
          <w:rFonts w:ascii="Times New Roman" w:hAnsi="Times New Roman" w:eastAsia="Times New Roman"/>
          <w:sz w:val="24"/>
        </w:rPr>
        <w:t xml:space="preserve"> = −.142), and Bahçekapılı and Karaman (2020) likewise reported a negative direct </w:t>
      </w:r>
      <w:r>
        <w:rPr>
          <w:rFonts w:ascii="Times New Roman" w:hAnsi="Times New Roman" w:eastAsia="Times New Roman"/>
          <w:i/>
          <w:sz w:val="24"/>
        </w:rPr>
        <w:t>r</w:t>
      </w:r>
      <w:r>
        <w:rPr>
          <w:rFonts w:ascii="Times New Roman" w:hAnsi="Times New Roman" w:eastAsia="Times New Roman"/>
          <w:sz w:val="24"/>
        </w:rPr>
        <w:t xml:space="preserve"> (−.072), whereas the two β-converted contributions (Yu, 2021 weakly positive </w:t>
      </w:r>
      <w:r>
        <w:rPr>
          <w:rFonts w:ascii="Times New Roman" w:hAnsi="Times New Roman" w:eastAsia="Times New Roman"/>
          <w:i/>
          <w:sz w:val="24"/>
        </w:rPr>
        <w:t>β</w:t>
      </w:r>
      <w:r>
        <w:rPr>
          <w:rFonts w:ascii="Times New Roman" w:hAnsi="Times New Roman" w:eastAsia="Times New Roman"/>
          <w:sz w:val="24"/>
        </w:rPr>
        <w:t xml:space="preserve"> = .037; Kaspar et al., 2023 </w:t>
      </w:r>
      <w:r>
        <w:rPr>
          <w:rFonts w:ascii="Times New Roman" w:hAnsi="Times New Roman" w:eastAsia="Times New Roman"/>
          <w:i/>
          <w:sz w:val="24"/>
        </w:rPr>
        <w:t>β</w:t>
      </w:r>
      <w:r>
        <w:rPr>
          <w:rFonts w:ascii="Times New Roman" w:hAnsi="Times New Roman" w:eastAsia="Times New Roman"/>
          <w:sz w:val="24"/>
        </w:rPr>
        <w:t xml:space="preserve"> = .20 driven by a suppressor effect of covariates) pulled the pooled estimate toward zero. Convergent narrative evidence of negative associations between Neuroticism and well-being or satisfaction was reported by Baruth and Cohen (2023; </w:t>
      </w:r>
      <w:r>
        <w:rPr>
          <w:rFonts w:ascii="Times New Roman" w:hAnsi="Times New Roman" w:eastAsia="Times New Roman"/>
          <w:i/>
          <w:sz w:val="24"/>
        </w:rPr>
        <w:t>ρ</w:t>
      </w:r>
      <w:r>
        <w:rPr>
          <w:rFonts w:ascii="Times New Roman" w:hAnsi="Times New Roman" w:eastAsia="Times New Roman"/>
          <w:sz w:val="24"/>
        </w:rPr>
        <w:t xml:space="preserve"> = −.542 with general satisfaction; secondary-outcome study, not in the primary pool).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H4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could not be isolated as a moderator subgroup because no explicitly post-COVID study contributed direct or β-converted Pearson correlations to the primary quantitative pool (the 4 post-COVID studies in the qualitative-synthesis retained set — A-13 Dang et al., 2025; A-17 Kara, 2024; A-25 Tokiwa, 2025; A-26 Wang et al., 2023 — are described narratively only).</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(Tokiwa, 2025) did not change the pooled estimates at all (|Δr| &lt; .001 for every trait), because the author's study did not contribute zero-order correlations to the primary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predicted by Hypotheses 4 and 2, respectively. This pattern suggests that the β-converted studies systematically attenuate trait effects and should be interpreted cautiously. Fourth, the leave-one-out analysis (Table S3) identified Yu (2021) as the single most influential study for both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.038, |Δr| = .074) and the Extraversion pool (removal shifted </w:t>
      </w:r>
      <w:r>
        <w:rPr>
          <w:rFonts w:ascii="Times New Roman" w:hAnsi="Times New Roman" w:eastAsia="Times New Roman"/>
          <w:i/>
          <w:sz w:val="24"/>
        </w:rPr>
        <w:t>r</w:t>
      </w:r>
      <w:r>
        <w:rPr>
          <w:rFonts w:ascii="Times New Roman" w:hAnsi="Times New Roman" w:eastAsia="Times New Roman"/>
          <w:sz w:val="24"/>
        </w:rPr>
        <w:t xml:space="preserve"> from .002 to .031, |Δr| = .028), reflecting Yu's MOOC composite as the largest β-converted objective-outcome contribution in the synthesis. No other study produced |Δr| &gt; .05 on any trait.</w:t>
      </w:r>
    </w:p>
    <w:p>
      <w:pPr>
        <w:pStyle w:val="Heading2"/>
        <w:spacing w:line="480" w:lineRule="auto" w:before="0" w:after="0"/>
      </w:pPr>
      <w:r>
        <w:t>Publication Bias Assessment</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Given the low statistical power of Egger's test with </w:t>
      </w:r>
      <w:r>
        <w:rPr>
          <w:rFonts w:ascii="Times New Roman" w:hAnsi="Times New Roman" w:eastAsia="Times New Roman"/>
          <w:i/>
          <w:sz w:val="24"/>
        </w:rPr>
        <w:t>k</w:t>
      </w:r>
      <w:r>
        <w:rPr>
          <w:rFonts w:ascii="Times New Roman" w:hAnsi="Times New Roman" w:eastAsia="Times New Roman"/>
          <w:sz w:val="24"/>
        </w:rPr>
        <w:t xml:space="preserve"> = 9–10, a non-significant result does not rule out publication bias, particularly for effects for which the direction of asymmetry is consistent with expected small-study positive bias (Conscientiousness).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Hypothesis 5, further supporting the hypothesis when asymmetry is considered. Trim-and-fill adjusted estimates are reported as a sensitivity check only and do not replace the primary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GRADE Summary of Findings</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5.8),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H5,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systematic review and meta-analysis provides , to the author's knowledge, the first quantitative synthesis of the association between Big Five personality traits and academic achievement in online learning environments. Across 31 catalogued primary studies — 25 retained for qualitative synthesis, of which 10 contributed direct or β-converted Pearson correlations to the primary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predictor,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primarily by a single influential Chinese MOOC sample (Yu, 2021) within the primary pool, with convergent narrative evidence from East Asian (Wang et al., 2023) and Israeli (Baruth &amp; Cohen, 2023) secondary-outcome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Hypothesis 1 (Conscientiousness as strongest positive predictor).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H1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consistent with the theoretical prediction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Hypothesis 2 (Openness as second-strongest positive predictor).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H2 is not supported. The prediction that online environments would amplify the Openness effect through a premium on self-directed exploration was not borne out; the failure to support H2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Hypothesis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predicted a weaker rather than stronger effect, is therefore not supported. Within the 9-study primary Agreeableness pool, the pooled estimate is driven principally by a single influential Chinese MOOC sample (A-28 Yu, 2021; converted </w:t>
      </w:r>
      <w:r>
        <w:rPr>
          <w:rFonts w:ascii="Times New Roman" w:hAnsi="Times New Roman" w:eastAsia="Times New Roman"/>
          <w:i/>
          <w:sz w:val="24"/>
        </w:rPr>
        <w:t>β</w:t>
      </w:r>
      <w:r>
        <w:rPr>
          <w:rFonts w:ascii="Times New Roman" w:hAnsi="Times New Roman" w:eastAsia="Times New Roman"/>
          <w:sz w:val="24"/>
        </w:rPr>
        <w:t xml:space="preserve"> = .442); leave-one-out analysis confirms that removing Yu drops the pooled </w:t>
      </w:r>
      <w:r>
        <w:rPr>
          <w:rFonts w:ascii="Times New Roman" w:hAnsi="Times New Roman" w:eastAsia="Times New Roman"/>
          <w:i/>
          <w:sz w:val="24"/>
        </w:rPr>
        <w:t>r</w:t>
      </w:r>
      <w:r>
        <w:rPr>
          <w:rFonts w:ascii="Times New Roman" w:hAnsi="Times New Roman" w:eastAsia="Times New Roman"/>
          <w:sz w:val="24"/>
        </w:rPr>
        <w:t xml:space="preserve"> from .112 to .038. Convergent narrative evidence for Agreeableness amplification in East Asian online learners is provided by Wang et al. (2023; </w:t>
      </w:r>
      <w:r>
        <w:rPr>
          <w:rFonts w:ascii="Times New Roman" w:hAnsi="Times New Roman" w:eastAsia="Times New Roman"/>
          <w:i/>
          <w:sz w:val="24"/>
        </w:rPr>
        <w:t>β</w:t>
      </w:r>
      <w:r>
        <w:rPr>
          <w:rFonts w:ascii="Times New Roman" w:hAnsi="Times New Roman" w:eastAsia="Times New Roman"/>
          <w:sz w:val="24"/>
        </w:rPr>
        <w:t xml:space="preserve"> = .112 from Agreeableness to engagement; K-12 sample retained for qualitative synthesis but not in the primary pool) and in Israeli samples by Baruth and Cohen (2023; </w:t>
      </w:r>
      <w:r>
        <w:rPr>
          <w:rFonts w:ascii="Times New Roman" w:hAnsi="Times New Roman" w:eastAsia="Times New Roman"/>
          <w:i/>
          <w:sz w:val="24"/>
        </w:rPr>
        <w:t>ρ</w:t>
      </w:r>
      <w:r>
        <w:rPr>
          <w:rFonts w:ascii="Times New Roman" w:hAnsi="Times New Roman" w:eastAsia="Times New Roman"/>
          <w:sz w:val="24"/>
        </w:rPr>
        <w:t xml:space="preserve"> = .458 with satisfaction; retained as a secondary-outcome study, not in the primary pool). These directional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Hypothesis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The first component of H4 — an overall negative pooled effect — is not supported by the primary analysis. The second component of H4 — a more pronounced negative effect in fully online than in blended modalities — could not be evaluated quantitatively because only one study (A-02 Alkış &amp; Taşkaya Temizel, 2018) contributed a separately extractable blended subsample, precluding a fully-online-vs-blended modality contrast.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providing partial directional support for the H4 sign prediction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and Kaspar et al., 2023)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Hypothesis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H5's prediction of a null overall effect. The overall H5 prediction is therefore supported. The proposed facet-level cancellation mechanism (sociability negative vs. assertiveness positive) could not be directly tested because few primary studies report Extraversion at the facet level, and a quantitative facet-level synthesis was not feasible (see Limitations). Moreover, two moderator analyses revealed systematic contextual conditions under which Extraversion shifts in the negative direction at the trait level: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 to the author's knowledge,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 Whether these contextual shifts reflect the H5 facet-cancellation mechanism (e.g., assertiveness facets activated more strongly in individualistic vs. collectivistic contexts) or a separate trait-level mechanism remains an open question for facet-level primary research.</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effect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provides preliminary support for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predicts a weakened Conscientiousness effect; the present meta-analytic estimate is consistent with this prediction, though the magnitude of attenuation (Δr ≈ .04–.10 depending on benchmark) is at or near the replicability threshold documented by Zell and Lesick (2022) for second-order meta-analyses. Further replication with larger </w:t>
      </w:r>
      <w:r>
        <w:rPr>
          <w:rFonts w:ascii="Times New Roman" w:hAnsi="Times New Roman" w:eastAsia="Times New Roman"/>
          <w:i/>
          <w:sz w:val="24"/>
        </w:rPr>
        <w:t>k</w:t>
      </w:r>
      <w:r>
        <w:rPr>
          <w:rFonts w:ascii="Times New Roman" w:hAnsi="Times New Roman" w:eastAsia="Times New Roman"/>
          <w:sz w:val="24"/>
        </w:rPr>
        <w:t xml:space="preserve"> is warranted before attributing this attenuation exclusively to the PASH mechanism.</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large between-group differences in the Region × Extraversion subgroup contrast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and the Outcome-Type × Extraversion subgroup contrast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&lt; .001), contributes a more nuanced descriptive picture of how social presence and cultural context appear to moderate personality-achievement associations. We emphasise that both subgroup contrasts are based on a very small number of studies per level (in some cases two to three) and that the same small set of studies enters both contrasts; the contrasts should therefore be read as exploratory descriptive patterns rather than as confirmatory tests of interaction. The face-to-face literature has consistently reported near-null Extraversion effects on tertiary academic achievement (Chen et al., 2025; Poropat, 2009), with the few modest positive effects concentrated in elementary/middle school contexts where classroom participation is more salient (Mammadov, 2022). In online environments, the present primary estimate converges with this face-to-face pattern but appears to decompose into a negative effect in Asian samples and objective outcomes and a positive effect in self-rated outcomes. This pattern is consistent with two exploratory hypotheses — (a) that extraverts may be disadvantaged in collectivistic online contexts where social interaction is most constrained, and (b) that self-rated performance may be subject to an extraversion-linked self-enhancement bias — but the present evidence base is too small to discriminate between these explanations and alternative explanations (sampling, instrument, or outcome-domain confounds). The descriptive Outcome-Type contrast is a potentially useful methodological observation, in that it suggests prior single-outcome studies may have produced divergent Extraversion estimates partly because they differentially sampled objective vs. self-rated indicators; this descriptive pattern would, however, need confirmation in primary research that simultaneously collects both outcome types within the same learners. The descriptive pattern is directionally consistent with person-environment fit models of personality expression in technology-mediated contexts and with self-enhancement models of self-report methodology (Paulhus, 1998), but cannot by itself be taken as evidence for either model.</w:t>
      </w:r>
    </w:p>
    <w:p>
      <w:pPr>
        <w:spacing w:line="480" w:lineRule="auto" w:before="0" w:after="0"/>
        <w:ind w:firstLine="720"/>
      </w:pPr>
      <w:r>
        <w:rPr>
          <w:rFonts w:ascii="Times New Roman" w:hAnsi="Times New Roman" w:eastAsia="Times New Roman"/>
          <w:sz w:val="24"/>
        </w:rPr>
        <w:t xml:space="preserve">Third, the descriptive cultural moderator patterns — a directionally amplified Agreeableness estimate and a directionally negative Extraversion estimate in Asian samples — are directionally consistent with face-to-face cultural-moderator findings reported by Mammadov (2022) and Chen et al. (2025), but the present online </w:t>
      </w:r>
      <w:r>
        <w:rPr>
          <w:rFonts w:ascii="Times New Roman" w:hAnsi="Times New Roman" w:eastAsia="Times New Roman"/>
          <w:i/>
          <w:sz w:val="24"/>
        </w:rPr>
        <w:t>k</w:t>
      </w:r>
      <w:r>
        <w:rPr>
          <w:rFonts w:ascii="Times New Roman" w:hAnsi="Times New Roman" w:eastAsia="Times New Roman"/>
          <w:sz w:val="24"/>
        </w:rPr>
        <w:t xml:space="preserve"> is too small to constitute replication in any strong sense. The Asian Agreeableness pooled estimate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and the larger pooled Agreeableness estimate is itself fragile to the exclusion of the single Chinese MOOC sample (Yu, 2021) that dominates the Asian subset. At most, the present synthesis can be read as offering directional consistency with the proposition that the cultural mechanism documented in face-to-face syntheses (individualism vs. collectivism; competitive vs. cooperative classroom norms) may also operate in online environments. The tentative implications for online course design in East Asian institutional contexts are addressed cautiously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could not be evaluated quantitatively because no post-COVID study contributed correlations to the primary pool (</w:t>
      </w:r>
      <w:r>
        <w:rPr>
          <w:rFonts w:ascii="Times New Roman" w:hAnsi="Times New Roman" w:eastAsia="Times New Roman"/>
          <w:i/>
          <w:sz w:val="24"/>
        </w:rPr>
        <w:t>k</w:t>
      </w:r>
      <w:r>
        <w:rPr>
          <w:rFonts w:ascii="Times New Roman" w:hAnsi="Times New Roman" w:eastAsia="Times New Roman"/>
          <w:sz w:val="24"/>
        </w:rPr>
        <w:t xml:space="preserve"> = 0 in the moderator analysis, with 4 post-COVID studies retained for qualitative synthesis only); future meta-analytic updates should reassess this pattern as the post-COVID primary literature matures.</w:t>
      </w:r>
    </w:p>
    <w:p>
      <w:pPr>
        <w:pStyle w:val="Heading2"/>
        <w:spacing w:line="480" w:lineRule="auto" w:before="0" w:after="0"/>
      </w:pPr>
      <w:r>
        <w:t>Tentative Practical Implications</w:t>
      </w:r>
    </w:p>
    <w:p>
      <w:pPr>
        <w:spacing w:line="480" w:lineRule="auto" w:before="0" w:after="0"/>
        <w:ind w:firstLine="720"/>
      </w:pPr>
      <w:r>
        <w:rPr>
          <w:rFonts w:ascii="Times New Roman" w:hAnsi="Times New Roman" w:eastAsia="Times New Roman"/>
          <w:sz w:val="24"/>
        </w:rPr>
        <w:t>We note up front that the practical implications below are best read as tentative working hypotheses rather than as actionable design or pedagogical recommendations. The primary achievement pool is small (</w:t>
      </w:r>
      <w:r>
        <w:rPr>
          <w:rFonts w:ascii="Times New Roman" w:hAnsi="Times New Roman" w:eastAsia="Times New Roman"/>
          <w:i/>
          <w:sz w:val="24"/>
        </w:rPr>
        <w:t>k</w:t>
      </w:r>
      <w:r>
        <w:rPr>
          <w:rFonts w:ascii="Times New Roman" w:hAnsi="Times New Roman" w:eastAsia="Times New Roman"/>
          <w:sz w:val="24"/>
        </w:rPr>
        <w:t xml:space="preserve"> = 10), heterogeneity is moderate to high for most traits, prediction intervals cross zero for all traits except Conscientiousness, and the two moderator contrasts that drive the modality-related implications below rest on a very small number of studies per subgroup (in some cases two to three). Practitioners and educational technology developers should not use the present synthesis as a sole basis for design or instructional decisions, and any of the implications below should be validated against larger and more linguistically inclusive future syntheses before being operationalised.</w:t>
      </w:r>
    </w:p>
    <w:p>
      <w:pPr>
        <w:spacing w:line="480" w:lineRule="auto" w:before="0" w:after="0"/>
        <w:ind w:firstLine="720"/>
      </w:pPr>
      <w:r>
        <w:rPr>
          <w:rFonts w:ascii="Times New Roman" w:hAnsi="Times New Roman" w:eastAsia="Times New Roman"/>
          <w:sz w:val="24"/>
        </w:rPr>
        <w:t>Subject to those caveats, the preserved (albeit slightly reduced) Conscientiousness effect (</w:t>
      </w:r>
      <w:r>
        <w:rPr>
          <w:rFonts w:ascii="Times New Roman" w:hAnsi="Times New Roman" w:eastAsia="Times New Roman"/>
          <w:i/>
          <w:sz w:val="24"/>
        </w:rPr>
        <w:t>r</w:t>
      </w:r>
      <w:r>
        <w:rPr>
          <w:rFonts w:ascii="Times New Roman" w:hAnsi="Times New Roman" w:eastAsia="Times New Roman"/>
          <w:sz w:val="24"/>
        </w:rPr>
        <w:t xml:space="preserve"> = .167) is consistent with the broadly held expectation that features supporting self-regulated learning—structured scheduling tools, progress tracking, deadline reminders, and LMS engagement analytics—are likely to benefit learners who are lower in Conscientiousness. This is also the implication that draws on the most stable finding in the present synthesis (Conscientiousness is the only trait whose 95% prediction interval does not include zero), and is therefore the implication for which the present evidence base provides the least tentative support.</w:t>
      </w:r>
    </w:p>
    <w:p>
      <w:pPr>
        <w:spacing w:line="480" w:lineRule="auto" w:before="0" w:after="0"/>
        <w:ind w:firstLine="720"/>
      </w:pPr>
      <w:r>
        <w:rPr>
          <w:rFonts w:ascii="Times New Roman" w:hAnsi="Times New Roman" w:eastAsia="Times New Roman"/>
          <w:sz w:val="24"/>
        </w:rPr>
        <w:t>The exploratory subgroup finding that the Extraversion-achievement association is negative in Asian samples and in objective outcomes — and positive in non-Asian samples and in self-rated outcomes — may be hypothesised, on the present evidence, to imply that (a) intentional incorporation of synchronous elements in fully asynchronous Asian-context courses may partially restore the social channels through which extraverted learners express engagement, and (b) self-rated performance metrics in online contexts may be subject to extraversion-related self-enhancement and should be triangulated with objective indicators where possible. We emphasise, however, that the Region and Outcome-Type subgroup contrasts are based on as few as two studies per level on at least one side of the contrast; that the Asian subset includes Middle Eastern samples whose theoretical positioning relative to East Asian collectivism is debated; and that the English-language restriction means a non-trivial fraction of the underlying Asian-context literature was implicitly excluded. These implications should therefore be treated as exploratory leads for primary-research replication rather than as established practical guidance.</w:t>
      </w:r>
    </w:p>
    <w:p>
      <w:pPr>
        <w:spacing w:line="480" w:lineRule="auto" w:before="0" w:after="0"/>
        <w:ind w:firstLine="720"/>
      </w:pPr>
      <w:r>
        <w:rPr>
          <w:rFonts w:ascii="Times New Roman" w:hAnsi="Times New Roman" w:eastAsia="Times New Roman"/>
          <w:sz w:val="24"/>
        </w:rPr>
        <w:t>The larger-than-expected Agreeableness pooled estimate (</w:t>
      </w:r>
      <w:r>
        <w:rPr>
          <w:rFonts w:ascii="Times New Roman" w:hAnsi="Times New Roman" w:eastAsia="Times New Roman"/>
          <w:i/>
          <w:sz w:val="24"/>
        </w:rPr>
        <w:t>r</w:t>
      </w:r>
      <w:r>
        <w:rPr>
          <w:rFonts w:ascii="Times New Roman" w:hAnsi="Times New Roman" w:eastAsia="Times New Roman"/>
          <w:sz w:val="24"/>
        </w:rPr>
        <w:t xml:space="preserve"> = .112) is driven primarily by a single Chinese MOOC sample (Yu, 2021); the pre-specified single-study leave-one-out sensitivity analysis showed that excluding this study substantially attenuates the Agreeableness effect. The Agreeableness finding is therefore one of the most fragile in the synthesis and should not, by itself, motivate cooperative-learning design recommendations. Convergent narrative evidence from other East Asian and Israeli studies is directionally consistent but not by itself sufficient to establish a robust cooperative-learning implication. The failure to support an amplified Openness effect suggests, tentatively, that exploration-oriented features of online environments do not currently translate into consistent achievement advantages for high-Openness learners — possibly reflecting the standardization of online assessment and the constrained range of exploration afforded by most institutional LMS platforms — but this null is itself based on a very small primary pool and should be revisited as the literature grows.</w:t>
      </w:r>
    </w:p>
    <w:p>
      <w:pPr>
        <w:pStyle w:val="Heading2"/>
        <w:spacing w:line="480" w:lineRule="auto" w:before="0" w:after="0"/>
      </w:pPr>
      <w:r>
        <w:t>Distinguishing Robust from Fragile Findings</w:t>
      </w:r>
    </w:p>
    <w:p>
      <w:pPr>
        <w:spacing w:line="480" w:lineRule="auto" w:before="0" w:after="0"/>
        <w:ind w:firstLine="720"/>
      </w:pPr>
      <w:r>
        <w:rPr>
          <w:rFonts w:ascii="Times New Roman" w:hAnsi="Times New Roman" w:eastAsia="Times New Roman"/>
          <w:sz w:val="24"/>
        </w:rPr>
        <w:t>Given the small primary pool, the wide prediction intervals around most pooled estimates, and the fact that several findings change appreciably under pre-specified sensitivity analyses, it is important to distinguish in the discussion above between findings that are relatively robust across analytic choices and findings that are fragile and dependent on specific decisions about effect-size conversion, individual study inclusion, or moderator coding.</w:t>
      </w:r>
    </w:p>
    <w:p>
      <w:pPr>
        <w:spacing w:line="480" w:lineRule="auto" w:before="0" w:after="0"/>
        <w:ind w:firstLine="720"/>
      </w:pPr>
      <w:r>
        <w:rPr>
          <w:rFonts w:ascii="Times New Roman" w:hAnsi="Times New Roman" w:eastAsia="Times New Roman"/>
          <w:sz w:val="24"/>
        </w:rPr>
        <w:t xml:space="preserve">The most robust finding is the positive Conscientiousness-achievement association (pooled </w:t>
      </w:r>
      <w:r>
        <w:rPr>
          <w:rFonts w:ascii="Times New Roman" w:hAnsi="Times New Roman" w:eastAsia="Times New Roman"/>
          <w:i/>
          <w:sz w:val="24"/>
        </w:rPr>
        <w:t>r</w:t>
      </w:r>
      <w:r>
        <w:rPr>
          <w:rFonts w:ascii="Times New Roman" w:hAnsi="Times New Roman" w:eastAsia="Times New Roman"/>
          <w:sz w:val="24"/>
        </w:rPr>
        <w:t xml:space="preserve"> = .167). Conscientiousness is the only trait whose 95% prediction interval does not include zero, the pooled estimate is stable under the leave-one-out, β-conversion-exclusion, risk-of-bias-exclusion, and author's-own-study-exclusion sensitivity analyses, and the direction and approximate magnitude are convergent with all eight prior face-to-face meta-analyses (range </w:t>
      </w:r>
      <w:r>
        <w:rPr>
          <w:rFonts w:ascii="Times New Roman" w:hAnsi="Times New Roman" w:eastAsia="Times New Roman"/>
          <w:i/>
          <w:sz w:val="24"/>
        </w:rPr>
        <w:t>ρ</w:t>
      </w:r>
      <w:r>
        <w:rPr>
          <w:rFonts w:ascii="Times New Roman" w:hAnsi="Times New Roman" w:eastAsia="Times New Roman"/>
          <w:sz w:val="24"/>
        </w:rPr>
        <w:t xml:space="preserve"> = .19–.28). Although the online magnitude is somewhat attenuated relative to these face-to-face benchmarks — a feature of the data that is consistent with the Personality-Achievement Saturation Hypothesis — the positivity and approximate size of the Conscientiousness effect should be regarded as a relatively robust feature of the present synthesis.</w:t>
      </w:r>
    </w:p>
    <w:p>
      <w:pPr>
        <w:spacing w:line="480" w:lineRule="auto" w:before="0" w:after="0"/>
        <w:ind w:firstLine="720"/>
      </w:pPr>
      <w:r>
        <w:rPr>
          <w:rFonts w:ascii="Times New Roman" w:hAnsi="Times New Roman" w:eastAsia="Times New Roman"/>
          <w:sz w:val="24"/>
        </w:rPr>
        <w:t>By contrast, the following findings are fragile and should be treated with substantially greater caution: (i) the pooled Agreeableness estimate (</w:t>
      </w:r>
      <w:r>
        <w:rPr>
          <w:rFonts w:ascii="Times New Roman" w:hAnsi="Times New Roman" w:eastAsia="Times New Roman"/>
          <w:i/>
          <w:sz w:val="24"/>
        </w:rPr>
        <w:t>r</w:t>
      </w:r>
      <w:r>
        <w:rPr>
          <w:rFonts w:ascii="Times New Roman" w:hAnsi="Times New Roman" w:eastAsia="Times New Roman"/>
          <w:sz w:val="24"/>
        </w:rPr>
        <w:t xml:space="preserve"> = .112), which is driven primarily by a single Chinese MOOC sample (Yu, 2021) and attenuates appreciably in the leave-one-out sensitivity analysis; (ii) the null Extraversion pooled estimate (</w:t>
      </w:r>
      <w:r>
        <w:rPr>
          <w:rFonts w:ascii="Times New Roman" w:hAnsi="Times New Roman" w:eastAsia="Times New Roman"/>
          <w:i/>
          <w:sz w:val="24"/>
        </w:rPr>
        <w:t>r</w:t>
      </w:r>
      <w:r>
        <w:rPr>
          <w:rFonts w:ascii="Times New Roman" w:hAnsi="Times New Roman" w:eastAsia="Times New Roman"/>
          <w:sz w:val="24"/>
        </w:rPr>
        <w:t xml:space="preserve"> = .002), which masks high between-subgroup heterogeneity and changes sign in the Region and Outcome-Type subgroups; (iii) the Extraversion × Region and Extraversion × Outcome Type subgroup contrasts themselves, which rest on as few as two studies per subgroup on at least one side and which involve the same set of small studies entering both contrasts; and (iv) the pooled estimates for Openness and Neuroticism, both of which have prediction intervals crossing zero by a wide margin and whose direction or magnitude shift under the β-conversion-exclusion sensitivity analysis. Readers should interpret discussion points that depend on these fragile findings — including the Agreeableness-cooperation hypothesis, the Asian-Extraversion-design hypothesis, and the Outcome-Type-self-enhancement hypothesis above — as exploratory rather than confirmatory, and should not assign them the same weight in narrative synthesis as the more robust Conscientiousness finding.</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quantitative meta-analytic synthesis dedicated to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substantive limitations that materially constrain the strength of the conclusions and that should be kept in mind by readers. First, the number of primary studies contributing to the pooled achievement analyses (</w:t>
      </w:r>
      <w:r>
        <w:rPr>
          <w:rFonts w:ascii="Times New Roman" w:hAnsi="Times New Roman" w:eastAsia="Times New Roman"/>
          <w:i/>
          <w:sz w:val="24"/>
        </w:rPr>
        <w:t>k</w:t>
      </w:r>
      <w:r>
        <w:rPr>
          <w:rFonts w:ascii="Times New Roman" w:hAnsi="Times New Roman" w:eastAsia="Times New Roman"/>
          <w:sz w:val="24"/>
        </w:rPr>
        <w:t xml:space="preserve"> = 10, with 6 contributing direct Pearson correlations and 4 contributing β-converted correlations via the Peterson and Brown (2005) transformation) is at the lower bound of what is generally considered adequate for robust random-effects estimation (Borenstein et al., 2021). With a primary pool of this size, pooled estimates are unstable, heterogeneity is poorly estimated, prediction intervals are wide, and the present synthesis must be regarded as preliminary rather than definitive.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fell below the recommended threshold for several moderators, necessitating narrative rather than quantitative reporting for those analyses. Where moderator subgroup analyses were conducted, the very small </w:t>
      </w:r>
      <w:r>
        <w:rPr>
          <w:rFonts w:ascii="Times New Roman" w:hAnsi="Times New Roman" w:eastAsia="Times New Roman"/>
          <w:i/>
          <w:sz w:val="24"/>
        </w:rPr>
        <w:t>k</w:t>
      </w:r>
      <w:r>
        <w:rPr>
          <w:rFonts w:ascii="Times New Roman" w:hAnsi="Times New Roman" w:eastAsia="Times New Roman"/>
          <w:sz w:val="24"/>
        </w:rPr>
        <w:t xml:space="preserve"> per level (in some cases as few as two studies per subgroup) further limits the inferences that can be drawn from the subgroup contrasts; the moderator-effect estimates reported should be treated as exploratory rather than confirmatory.</w:t>
      </w:r>
    </w:p>
    <w:p>
      <w:pPr>
        <w:spacing w:line="480" w:lineRule="auto" w:before="0" w:after="0"/>
        <w:ind w:firstLine="720"/>
      </w:pPr>
      <w:r>
        <w:rPr>
          <w:rFonts w:ascii="Times New Roman" w:hAnsi="Times New Roman" w:eastAsia="Times New Roman"/>
          <w:sz w:val="24"/>
        </w:rPr>
        <w:t>Second, the protocol specified six bibliographic databases (PubMed/MEDLINE, PsycINFO, ERIC, Web of Science, Scopus, and ProQuest Dissertations), but the execution environment lacked institutional access to the subscription-gated databases and did not permit direct API access to several open databases. The search was therefore executed via the WebSearch interface (Google-based) and supplemented by ERIC web search and open-access repository retrieval, with forward and backward citation snowballing from included studies and from prior meta-analyses. Although this deviation is transparently disclosed in Methods and in the search-strategy supplement, it represents a real departure from the pre-registered plan. The WebSearch route does not provide controlled-vocabulary (MeSH/thesaurus) indexing or per-database hit accounting in the same way that direct database searches do, and the lack of full PsycINFO and ProQuest Dissertations coverage means that a non-trivial number of potentially eligible non-English-language studies, dissertations, and grey-literature reports may have been missed. Combined with the English-language restriction (point five below), this limitation should reduce reader confidence in the comprehensiveness of the corpus, and the present synthesis should not be treated as an exhaustive census of the underlying literature. A replication search using full institutional access to the pre-registered databases is planned for a subsequent manuscript version.</w:t>
      </w:r>
    </w:p>
    <w:p>
      <w:pPr>
        <w:spacing w:line="480" w:lineRule="auto" w:before="0" w:after="0"/>
        <w:ind w:firstLine="720"/>
      </w:pPr>
      <w:r>
        <w:rPr>
          <w:rFonts w:ascii="Times New Roman" w:hAnsi="Times New Roman" w:eastAsia="Times New Roman"/>
          <w:sz w:val="24"/>
        </w:rPr>
        <w:t xml:space="preserve">Third, the review was conducted by a single reviewer, deviating from the Cochrane and PRISMA 2020 recommendation of two independent reviewers at the screening, full-text assessment, and data-extraction stages. Intra-rater reliability was assessed at each stage with target κ ≥ 0.80 met in each case, but intra-rater reliability cannot replicate inter-rater independence; single-reviewer workflows are known to be susceptible to systematic biases (e.g., confirmation effects in study inclusion, drift in extraction conventions) that intra-rater checks cannot fully detect. Readers should weight this limitation when interpreting the boundary decisions documented in the screening ledger. Fourth, the English-language restriction excluded a potentially informative body of non-English primary literature, particularly Chinese-, Japanese-, Korean-, and Spanish-language work where the personality-achievement association in online contexts is theoretically interesting. This restriction is especially consequential for the moderator findings concerning East Asian and Middle Eastern samples reported below, because the subset of non-English regional work that was implicitly excluded is precisely the work most likely to clarify those moderator effects. Fifth, the included studies varied substantially in their outcome operationalizations: some used objective GPA or standardized exam scores, others used self-reported achievement, course satisfaction, engagement composites, or LMS-behavior indicators. This heterogeneity limits the precision of the pooled effects, inflates observed </w:t>
      </w:r>
      <w:r>
        <w:rPr>
          <w:rFonts w:ascii="Times New Roman" w:hAnsi="Times New Roman" w:eastAsia="Times New Roman"/>
          <w:i/>
          <w:sz w:val="24"/>
        </w:rPr>
        <w:t>I²</w:t>
      </w:r>
      <w:r>
        <w:rPr>
          <w:rFonts w:ascii="Times New Roman" w:hAnsi="Times New Roman" w:eastAsia="Times New Roman"/>
          <w:sz w:val="24"/>
        </w:rPr>
        <w:t xml:space="preserve"> values, and almost certainly contributes to the wide prediction intervals reported in the Results section.</w:t>
      </w:r>
    </w:p>
    <w:p>
      <w:pPr>
        <w:spacing w:line="480" w:lineRule="auto" w:before="0" w:after="0"/>
        <w:ind w:firstLine="720"/>
      </w:pPr>
      <w:r>
        <w:rPr>
          <w:rFonts w:ascii="Times New Roman" w:hAnsi="Times New Roman" w:eastAsia="Times New Roman"/>
          <w:sz w:val="24"/>
        </w:rPr>
        <w:t>Sixth, the author's own prior primary study (Tokiwa, 2025) was included in the qualitative-synthesis retained set as a potentially eligible record. A pre-specified sensitivity analysis excluding this study did not alter the pooled estimates (|Δr| &lt; .001 for every trait) because Tokiwa (2025) did not contribute extractable zero-order correlations to the primary quantitative pool; both the primary and sensitivity results are reported transparently in Table 4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documented Extraversion × modality interaction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 effects reflect genuine changes in the personality-achievement mechanism or sampling artifacts. Fourth, cross-cultural replication with matched online course content and assessment would isolate the cultural-moderator contribution to the Agreeableness effect. Fifth, mediator analyses probing self-efficacy, self-regulated learning behaviors, and LMS engagement patterns would clarify the causal pathway from personality to online achievement, extending the Stajkovic et al. (2018) path-analytic framework to online contexts.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 xml:space="preserve">The present meta-analysis provides a first, preliminary quantitative synthesis of Big Five personality traits and academic achievement in online learning environments. Because the primary achievement pool comprised only 10 studies, several with very small subgroup </w:t>
      </w:r>
      <w:r>
        <w:rPr>
          <w:rFonts w:ascii="Times New Roman" w:hAnsi="Times New Roman" w:eastAsia="Times New Roman"/>
          <w:i/>
          <w:sz w:val="24"/>
        </w:rPr>
        <w:t>k</w:t>
      </w:r>
      <w:r>
        <w:rPr>
          <w:rFonts w:ascii="Times New Roman" w:hAnsi="Times New Roman" w:eastAsia="Times New Roman"/>
          <w:sz w:val="24"/>
        </w:rPr>
        <w:t xml:space="preserve"> and with wide prediction intervals that include zero for most traits, the conclusions below are best read as tentative hypotheses to be tested in larger future syntheses rather than as established findings. The findings are broadly consistent with, but do not by themselves establish, an extension of the face-to-face pattern to online learning: Conscientiousness emerged as the most plausible positive predictor (</w:t>
      </w:r>
      <w:r>
        <w:rPr>
          <w:rFonts w:ascii="Times New Roman" w:hAnsi="Times New Roman" w:eastAsia="Times New Roman"/>
          <w:i/>
          <w:sz w:val="24"/>
        </w:rPr>
        <w:t>r</w:t>
      </w:r>
      <w:r>
        <w:rPr>
          <w:rFonts w:ascii="Times New Roman" w:hAnsi="Times New Roman" w:eastAsia="Times New Roman"/>
          <w:sz w:val="24"/>
        </w:rPr>
        <w:t xml:space="preserve"> = .167)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with highly heterogeneous subgroup estimates that, in the subset of Asian samples and objective outcomes, were negative; Agreeableness appeared slightly larger than the face-to-face benchmark but was driven primarily by a single Chinese MOOC sample (Yu, 2021), and this finding is fragile to the exclusion of that single study; and Neuroticism and Openness effects were essentially null in the primary synthesis. The findings are consistent with the Personality-Achievement Saturation Hypothesis (Meyer et al., 2023) as a framework for understanding the online attenuation of Conscientiousness, but the present evidence base is too small to constitute strong confirmation. The exploratory cultural- and outcome-type-dependent shifts in the Extraversion effect identified here highlight a priority for future primary research, but should not yet be used to guide pedagogical practice. As online and blended instruction continues to constitute a substantial and growing share of post-secondary education globally, the present synthesis provides a preliminary empirical reference point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Ashouri, A., Taheri, </w:t>
      </w:r>
      <w:r>
        <w:rPr>
          <w:rFonts w:ascii="Times New Roman" w:hAnsi="Times New Roman" w:eastAsia="Times New Roman"/>
          <w:i/>
          <w:sz w:val="24"/>
        </w:rPr>
        <w:t>M</w:t>
      </w:r>
      <w:r>
        <w:rPr>
          <w:rFonts w:ascii="Times New Roman" w:hAnsi="Times New Roman" w:eastAsia="Times New Roman"/>
          <w:sz w:val="24"/>
        </w:rPr>
        <w:t xml:space="preserve">., Rasouli, </w:t>
      </w:r>
      <w:r>
        <w:rPr>
          <w:rFonts w:ascii="Times New Roman" w:hAnsi="Times New Roman" w:eastAsia="Times New Roman"/>
          <w:i/>
          <w:sz w:val="24"/>
        </w:rPr>
        <w:t>M</w:t>
      </w:r>
      <w:r>
        <w:rPr>
          <w:rFonts w:ascii="Times New Roman" w:hAnsi="Times New Roman" w:eastAsia="Times New Roman"/>
          <w:sz w:val="24"/>
        </w:rPr>
        <w:t>., &amp; Rouhalamin, S. (2025). Personality traits and e-learning course satisfaction: A study of health science students. Cureus, 17(7), e89131.</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Bhagat, K. K., Wu, L. Y., &amp; Chang, C. Y. (2019). The impact of personality on students' perceptions towards online learning. </w:t>
      </w:r>
      <w:r>
        <w:rPr>
          <w:rFonts w:ascii="Times New Roman" w:hAnsi="Times New Roman" w:eastAsia="Times New Roman"/>
          <w:i/>
          <w:sz w:val="24"/>
        </w:rPr>
        <w:t>Australasian Journal of Educational Technology, 35</w:t>
      </w:r>
      <w:r>
        <w:rPr>
          <w:rFonts w:ascii="Times New Roman" w:hAnsi="Times New Roman" w:eastAsia="Times New Roman"/>
          <w:sz w:val="24"/>
        </w:rPr>
        <w:t>(4), 98–108. https://doi.org/10.14742/ajet.4162</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Dang, T., Du, W., Niu, </w:t>
      </w:r>
      <w:r>
        <w:rPr>
          <w:rFonts w:ascii="Times New Roman" w:hAnsi="Times New Roman" w:eastAsia="Times New Roman"/>
          <w:i/>
          <w:sz w:val="24"/>
        </w:rPr>
        <w:t>M</w:t>
      </w:r>
      <w:r>
        <w:rPr>
          <w:rFonts w:ascii="Times New Roman" w:hAnsi="Times New Roman" w:eastAsia="Times New Roman"/>
          <w:sz w:val="24"/>
        </w:rPr>
        <w:t>., &amp; Xu, Z. (2025). The effects of personality traits on learning engagement among college students: The mediating role of emotion regulation. Frontiers in Psychology, 15, 1476437. https://doi.org/10.3389/fpsyg.2024.1476437</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Kara, A., Ergulec, </w:t>
      </w:r>
      <w:r>
        <w:rPr>
          <w:rFonts w:ascii="Times New Roman" w:hAnsi="Times New Roman" w:eastAsia="Times New Roman"/>
          <w:i/>
          <w:sz w:val="24"/>
        </w:rPr>
        <w:t>F</w:t>
      </w:r>
      <w:r>
        <w:rPr>
          <w:rFonts w:ascii="Times New Roman" w:hAnsi="Times New Roman" w:eastAsia="Times New Roman"/>
          <w:sz w:val="24"/>
        </w:rPr>
        <w:t>., &amp; Eren, E. (2024). The mediating role of self-regulated online learning behaviors: Exploring the impact of personality traits on student engagement. Education and Information Technologies, 29, 23517–23546. https://doi.org/10.1007/s10639-024-12755-3</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Keller, H., &amp; Karau, S. J. (2013). The importance of personality in students' perceptions of the online learning experience. </w:t>
      </w:r>
      <w:r>
        <w:rPr>
          <w:rFonts w:ascii="Times New Roman" w:hAnsi="Times New Roman" w:eastAsia="Times New Roman"/>
          <w:i/>
          <w:sz w:val="24"/>
        </w:rPr>
        <w:t>Computers in Human Behavior, 29</w:t>
      </w:r>
      <w:r>
        <w:rPr>
          <w:rFonts w:ascii="Times New Roman" w:hAnsi="Times New Roman" w:eastAsia="Times New Roman"/>
          <w:sz w:val="24"/>
        </w:rPr>
        <w:t>(6), 2494–2500. https://doi.org/10.1016/j.chb.2013.06.007</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Nakayama, </w:t>
      </w:r>
      <w:r>
        <w:rPr>
          <w:rFonts w:ascii="Times New Roman" w:hAnsi="Times New Roman" w:eastAsia="Times New Roman"/>
          <w:i/>
          <w:sz w:val="24"/>
        </w:rPr>
        <w:t>M</w:t>
      </w:r>
      <w:r>
        <w:rPr>
          <w:rFonts w:ascii="Times New Roman" w:hAnsi="Times New Roman" w:eastAsia="Times New Roman"/>
          <w:sz w:val="24"/>
        </w:rPr>
        <w:t>., Mutsuura, K., &amp; Yamamoto, H. (2014). Impact of learner's characteristics and learning behaviour on learning performance during a fully online course. Electronic Journal of e-Learning, 12(4), 394–408.</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 xml:space="preserve">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(2010). Conducting meta-analyses in R with the metafor package. </w:t>
      </w:r>
      <w:r>
        <w:rPr>
          <w:rFonts w:ascii="Times New Roman" w:hAnsi="Times New Roman" w:eastAsia="Times New Roman"/>
          <w:i/>
          <w:sz w:val="24"/>
        </w:rPr>
        <w:t>Journal of Statistical Software, 36</w:t>
      </w:r>
      <w:r>
        <w:rPr>
          <w:rFonts w:ascii="Times New Roman" w:hAnsi="Times New Roman" w:eastAsia="Times New Roman"/>
          <w:sz w:val="24"/>
        </w:rPr>
        <w:t>(3), 1–48. https://doi.org/10.18637/jss.v036.i03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Wu, R., &amp; Yu, Z. (2024). Relationship between university students' personalities and e-learning engagement mediated by achievement emotions and adaptability. </w:t>
      </w:r>
      <w:r>
        <w:rPr>
          <w:rFonts w:ascii="Times New Roman" w:hAnsi="Times New Roman" w:eastAsia="Times New Roman"/>
          <w:i/>
          <w:sz w:val="24"/>
        </w:rPr>
        <w:t>Education and Information Technologies, 29</w:t>
      </w:r>
      <w:r>
        <w:rPr>
          <w:rFonts w:ascii="Times New Roman" w:hAnsi="Times New Roman" w:eastAsia="Times New Roman"/>
          <w:sz w:val="24"/>
        </w:rPr>
        <w:t>, 10821–10850. https://doi.org/10.1007/s10639-023-12222-5</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