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Table 1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Characteristics of the 31 Included Primary Studies and Their Contributions to the Quantitative Synthesis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Author (Year)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Country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Mode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Level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Era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Region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Instrument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Outcome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Inclusion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RoB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A-01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Abe (2020)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92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US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North_America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course_grade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Alkis (2018)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189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Turkey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course_grade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Ashouri (2025)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183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Iran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satisfaction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Audet (2021)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350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Canada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North_America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engagement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Audet (2023)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678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Canada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North_America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engagement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Exc-dup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A-06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Sahinidis (2021)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555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Greece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Custom 30-item Big Five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satisfaction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A-07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Cohen (2017)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72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Israel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Grad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 Hebrew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satisfaction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A-08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Keller (2013)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250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US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UG/Grad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North_America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IPIP-50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perception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A-09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Bhattacharjee (2025)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384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India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FtF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post-COVID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GPA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Boonyapison (2025)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203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Thailand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FtF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K-12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post-COVID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GPA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A-11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Cheng (2023)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746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Taiwan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Sec/Post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BFI_C_only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procrastination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Baruth (2023)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108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Israel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 Hebrew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satisfaction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Dang (2025)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235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China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Online*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post-COVID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NEO-FFI_Chinese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engagement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Elvers (2003)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47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US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North_America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NEO-FFI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procrastination_exam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Inc-pri*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A-16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Hidalgo-Fuentes (2024)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457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Honduras+Spain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FtF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post-COVID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BFI-2-S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procrastination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A-17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Kara (2024)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437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Turkey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post-COVID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engagement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A-18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Bhagat (2019)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208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Taiwan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UG/Grad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Mini-IPIP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perception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A-19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MacLean (2022)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465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Canada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North_America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HEXACO-PI-R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preference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Mustafa (2022)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718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China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UG/Grad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Chinese Big Five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satisfaction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A-21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Nakayama (2014)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Japan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IPIP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test_score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Quigley (2022)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301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UK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engagement_performance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Inc-pri*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Rodrigues (2024)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260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Germany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BFI-S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GPA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7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Tlili (2023)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Tunisia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Other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navigational_behavior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Tokiwa (2025)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103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Japan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K-12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post-COVID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BFI-2-J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test_completion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 (COI)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A-26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Wang (2023)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1625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China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K-12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post-COVID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Chinese Big Five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achievement_self_report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Inc-pri*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A-27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Wu_Yu (2024)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1004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China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e_learning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—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—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Big Five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engagement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—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—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A-28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Yu (2021)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1152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China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UG/Grad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Big Five Scale (McCrae)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MOOC_composite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7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A-29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Bahcekapili (2020)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525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Turkey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 Turkish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GPA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A-30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Kaspar (2023)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413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Germany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UG/Grad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BFI-S German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performance_self_rated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Inc-pri*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A-31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Rivers (2021)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149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Japan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TIPI-J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course_grade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A-37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Zheng (2023)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282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US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Grad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Mixed_3era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North_America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TIPI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course_grade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Inc-pri*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</w:t>
            </w:r>
          </w:p>
        </w:tc>
      </w:tr>
    </w:tbl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ID = study identifier in the deep-reading-notes ledger (A-XX sequence). </w:t>
      </w:r>
      <w:r>
        <w:rPr>
          <w:rFonts w:ascii="Times New Roman" w:hAnsi="Times New Roman" w:eastAsia="Times New Roman"/>
          <w:i/>
          <w:sz w:val="24"/>
        </w:rPr>
        <w:t>N</w:t>
      </w:r>
      <w:r>
        <w:rPr>
          <w:rFonts w:ascii="Times New Roman" w:hAnsi="Times New Roman" w:eastAsia="Times New Roman"/>
          <w:sz w:val="24"/>
        </w:rPr>
        <w:t xml:space="preserve"> = analytic sample size. Mode (modality): Online = fully online; FtF = face-to-face (excluded at modality screening); Mixed = blended or mode-comparing design; Online* = mode not explicitly specified in the source. Level (education level): UG = undergraduate; Grad = graduate; UG/Grad = mixed undergraduate-graduate; K-12 = elementary through high school; Sec/Post = mixed secondary-postsecondary. Era: pre-COVID ≤ 2019; COVID = 2020–2022; post-COVID ≥ 2023. Region: classified per country of data collection. Instrument: abbreviated personality inventory label. Outcome: abbreviated outcome construct. Inclusion column groups studies into three tiers: (1) QUANTITATIVE PRIMARY POOL (</w:t>
      </w:r>
      <w:r>
        <w:rPr>
          <w:rFonts w:ascii="Times New Roman" w:hAnsi="Times New Roman" w:eastAsia="Times New Roman"/>
          <w:i/>
          <w:sz w:val="24"/>
        </w:rPr>
        <w:t>k</w:t>
      </w:r>
      <w:r>
        <w:rPr>
          <w:rFonts w:ascii="Times New Roman" w:hAnsi="Times New Roman" w:eastAsia="Times New Roman"/>
          <w:sz w:val="24"/>
        </w:rPr>
        <w:t xml:space="preserve"> = 10) — Inc-pri = included in primary achievement pool with direct r; Inc-pri* = included with caveat (β-converted, partial trait coverage, or conditional outcome proxy); Inc (COI) = included with conflict-of-interest flag (author's own prior study, sensitivity analysis excludes). (2) QUALITATIVE / SECONDARY SYNTHESIS (retained for narrative) — Inc-sec = retained in the systematic review for secondary outcomes (satisfaction, engagement, preference, perception) but no extractable </w:t>
      </w:r>
      <w:r>
        <w:rPr>
          <w:rFonts w:ascii="Times New Roman" w:hAnsi="Times New Roman" w:eastAsia="Times New Roman"/>
          <w:i/>
          <w:sz w:val="24"/>
        </w:rPr>
        <w:t>r</w:t>
      </w:r>
      <w:r>
        <w:rPr>
          <w:rFonts w:ascii="Times New Roman" w:hAnsi="Times New Roman" w:eastAsia="Times New Roman"/>
          <w:sz w:val="24"/>
        </w:rPr>
        <w:t xml:space="preserve"> for the primary achievement pool. (3) EXCLUDED POST-ELIGIBILITY (documented for PRISMA transparency, NOT in synthesis) — Exc = excluded at eligibility (face-to-face modality, or no extractable effect size); Exc-dup = excluded due to sample overlap with an already-included study; — = PDF could not be retrieved. The 31 catalogued studies decompose as: 10 primary + 15 secondary = 25 retained, plus 6 documented post-eligibility exclusions. RoB = aggregate score on the Joanna Briggs Institute 8-item critical appraisal checklist (0–8; higher = lower risk). A-14 Eilam (2009) and A-27 Wu &amp; Yu (2024) are omitted from the table because the former was excluded at the modality screening stage (face-to-face) and the latter was not available as a retrievable PDF; both are disclosed in the PRISMA flow (Figure 1). Author-correction notes for studies whose original bibliographic metadata differed from the verified author, year, or country (A-06, A-07, A-08, A-12, A-13, A-16, A-18, A-20) are provided in the OSF project (Supplementary Material).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Table 2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Random-Effects Pooled Correlations Between Big Five Personality Traits and Academic Achievement in Online Learning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Trait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k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N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r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95% CI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95% PI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I²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τ²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Q(</w:t>
            </w:r>
            <w:r>
              <w:rPr>
                <w:rFonts w:ascii="Times New Roman" w:hAnsi="Times New Roman" w:eastAsia="Times New Roman"/>
                <w:i/>
                <w:sz w:val="24"/>
              </w:rPr>
              <w:t>df</w:t>
            </w:r>
            <w:r>
              <w:rPr>
                <w:rFonts w:ascii="Times New Roman" w:hAnsi="Times New Roman" w:eastAsia="Times New Roman"/>
                <w:sz w:val="24"/>
              </w:rPr>
              <w:t xml:space="preserve">),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</w:p>
        </w:tc>
      </w:tr>
      <w:tr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Conscientiousness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3,384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.167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[.089, .243]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[−.020, .343]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65.1%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.006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25.79(9), .002</w:t>
            </w:r>
          </w:p>
        </w:tc>
      </w:tr>
      <w:tr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Agreeableness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3,363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.112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[−.031, .250]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[−.310, .496]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96.2%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.030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208.49(8), &lt;.001</w:t>
            </w:r>
          </w:p>
        </w:tc>
      </w:tr>
      <w:tr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Openness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3,363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.086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[−.044, .214]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[−.273, .425]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92.0%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.021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100.17(8), &lt;.001</w:t>
            </w:r>
          </w:p>
        </w:tc>
      </w:tr>
      <w:tr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Neuroticism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3,384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.018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[−.079, .114]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[−.229, .263]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79.0%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.010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42.76(9), &lt;.001</w:t>
            </w:r>
          </w:p>
        </w:tc>
      </w:tr>
      <w:tr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Extraversion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3,363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.002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[−.076, .080]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[−.195, .200]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75.5%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.006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32.66(8), &lt;.001</w:t>
            </w:r>
          </w:p>
        </w:tc>
      </w:tr>
    </w:tbl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</w:t>
      </w:r>
      <w:r>
        <w:rPr>
          <w:rFonts w:ascii="Times New Roman" w:hAnsi="Times New Roman" w:eastAsia="Times New Roman"/>
          <w:i/>
          <w:sz w:val="24"/>
        </w:rPr>
        <w:t>k</w:t>
      </w:r>
      <w:r>
        <w:rPr>
          <w:rFonts w:ascii="Times New Roman" w:hAnsi="Times New Roman" w:eastAsia="Times New Roman"/>
          <w:sz w:val="24"/>
        </w:rPr>
        <w:t xml:space="preserve"> = number of independent samples contributing a direct Pearson </w:t>
      </w:r>
      <w:r>
        <w:rPr>
          <w:rFonts w:ascii="Times New Roman" w:hAnsi="Times New Roman" w:eastAsia="Times New Roman"/>
          <w:i/>
          <w:sz w:val="24"/>
        </w:rPr>
        <w:t>r</w:t>
      </w:r>
      <w:r>
        <w:rPr>
          <w:rFonts w:ascii="Times New Roman" w:hAnsi="Times New Roman" w:eastAsia="Times New Roman"/>
          <w:sz w:val="24"/>
        </w:rPr>
        <w:t xml:space="preserve"> or Peterson-Brown-converted </w:t>
      </w:r>
      <w:r>
        <w:rPr>
          <w:rFonts w:ascii="Times New Roman" w:hAnsi="Times New Roman" w:eastAsia="Times New Roman"/>
          <w:i/>
          <w:sz w:val="24"/>
        </w:rPr>
        <w:t>β</w:t>
      </w:r>
      <w:r>
        <w:rPr>
          <w:rFonts w:ascii="Times New Roman" w:hAnsi="Times New Roman" w:eastAsia="Times New Roman"/>
          <w:sz w:val="24"/>
        </w:rPr>
        <w:t xml:space="preserve"> to the trait pool. </w:t>
      </w:r>
      <w:r>
        <w:rPr>
          <w:rFonts w:ascii="Times New Roman" w:hAnsi="Times New Roman" w:eastAsia="Times New Roman"/>
          <w:i/>
          <w:sz w:val="24"/>
        </w:rPr>
        <w:t>N</w:t>
      </w:r>
      <w:r>
        <w:rPr>
          <w:rFonts w:ascii="Times New Roman" w:hAnsi="Times New Roman" w:eastAsia="Times New Roman"/>
          <w:sz w:val="24"/>
        </w:rPr>
        <w:t xml:space="preserve"> = total pooled sample size. </w:t>
      </w:r>
      <w:r>
        <w:rPr>
          <w:rFonts w:ascii="Times New Roman" w:hAnsi="Times New Roman" w:eastAsia="Times New Roman"/>
          <w:i/>
          <w:sz w:val="24"/>
        </w:rPr>
        <w:t>r</w:t>
      </w:r>
      <w:r>
        <w:rPr>
          <w:rFonts w:ascii="Times New Roman" w:hAnsi="Times New Roman" w:eastAsia="Times New Roman"/>
          <w:sz w:val="24"/>
        </w:rPr>
        <w:t xml:space="preserve"> = random-effects REML pooled correlation on the Fisher </w:t>
      </w:r>
      <w:r>
        <w:rPr>
          <w:rFonts w:ascii="Times New Roman" w:hAnsi="Times New Roman" w:eastAsia="Times New Roman"/>
          <w:i/>
          <w:sz w:val="24"/>
        </w:rPr>
        <w:t>z</w:t>
      </w:r>
      <w:r>
        <w:rPr>
          <w:rFonts w:ascii="Times New Roman" w:hAnsi="Times New Roman" w:eastAsia="Times New Roman"/>
          <w:sz w:val="24"/>
        </w:rPr>
        <w:t xml:space="preserve"> scale, back-transformed to </w:t>
      </w:r>
      <w:r>
        <w:rPr>
          <w:rFonts w:ascii="Times New Roman" w:hAnsi="Times New Roman" w:eastAsia="Times New Roman"/>
          <w:i/>
          <w:sz w:val="24"/>
        </w:rPr>
        <w:t>r</w:t>
      </w:r>
      <w:r>
        <w:rPr>
          <w:rFonts w:ascii="Times New Roman" w:hAnsi="Times New Roman" w:eastAsia="Times New Roman"/>
          <w:sz w:val="24"/>
        </w:rPr>
        <w:t xml:space="preserve"> for display. 95% CI = Hartung-Knapp-Sidik-Jonkman–adjusted confidence interval. 95% PI = prediction interval for true effects in a new study. </w:t>
      </w:r>
      <w:r>
        <w:rPr>
          <w:rFonts w:ascii="Times New Roman" w:hAnsi="Times New Roman" w:eastAsia="Times New Roman"/>
          <w:i/>
          <w:sz w:val="24"/>
        </w:rPr>
        <w:t>I²</w:t>
      </w:r>
      <w:r>
        <w:rPr>
          <w:rFonts w:ascii="Times New Roman" w:hAnsi="Times New Roman" w:eastAsia="Times New Roman"/>
          <w:sz w:val="24"/>
        </w:rPr>
        <w:t xml:space="preserve"> = Higgins &amp; Thompson's heterogeneity index. </w:t>
      </w:r>
      <w:r>
        <w:rPr>
          <w:rFonts w:ascii="Times New Roman" w:hAnsi="Times New Roman" w:eastAsia="Times New Roman"/>
          <w:i/>
          <w:sz w:val="24"/>
        </w:rPr>
        <w:t>τ²</w:t>
      </w:r>
      <w:r>
        <w:rPr>
          <w:rFonts w:ascii="Times New Roman" w:hAnsi="Times New Roman" w:eastAsia="Times New Roman"/>
          <w:sz w:val="24"/>
        </w:rPr>
        <w:t xml:space="preserve"> = REML between-study variance. </w:t>
      </w:r>
      <w:r>
        <w:rPr>
          <w:rFonts w:ascii="Times New Roman" w:hAnsi="Times New Roman" w:eastAsia="Times New Roman"/>
          <w:i/>
          <w:sz w:val="24"/>
        </w:rPr>
        <w:t>Q</w:t>
      </w:r>
      <w:r>
        <w:rPr>
          <w:rFonts w:ascii="Times New Roman" w:hAnsi="Times New Roman" w:eastAsia="Times New Roman"/>
          <w:sz w:val="24"/>
        </w:rPr>
        <w:t xml:space="preserve"> = Cochran's heterogeneity statistic; </w:t>
      </w:r>
      <w:r>
        <w:rPr>
          <w:rFonts w:ascii="Times New Roman" w:hAnsi="Times New Roman" w:eastAsia="Times New Roman"/>
          <w:i/>
          <w:sz w:val="24"/>
        </w:rPr>
        <w:t>df</w:t>
      </w:r>
      <w:r>
        <w:rPr>
          <w:rFonts w:ascii="Times New Roman" w:hAnsi="Times New Roman" w:eastAsia="Times New Roman"/>
          <w:sz w:val="24"/>
        </w:rPr>
        <w:t xml:space="preserve"> = degrees of freedom;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= associated p-value. Traits are sorted by pooled </w:t>
      </w:r>
      <w:r>
        <w:rPr>
          <w:rFonts w:ascii="Times New Roman" w:hAnsi="Times New Roman" w:eastAsia="Times New Roman"/>
          <w:i/>
          <w:sz w:val="24"/>
        </w:rPr>
        <w:t>r</w:t>
      </w:r>
      <w:r>
        <w:rPr>
          <w:rFonts w:ascii="Times New Roman" w:hAnsi="Times New Roman" w:eastAsia="Times New Roman"/>
          <w:sz w:val="24"/>
        </w:rPr>
        <w:t xml:space="preserve"> (descending).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Table 3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Subgroup Moderator Analyses: Region, Era, and Outcome Type per Big Five Trait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Moderator / Trait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Level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k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r [95% CI]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Q_between(</w:t>
            </w:r>
            <w:r>
              <w:rPr>
                <w:rFonts w:ascii="Times New Roman" w:hAnsi="Times New Roman" w:eastAsia="Times New Roman"/>
                <w:i/>
                <w:sz w:val="24"/>
              </w:rPr>
              <w:t>df</w:t>
            </w:r>
            <w:r>
              <w:rPr>
                <w:rFonts w:ascii="Times New Roman" w:hAnsi="Times New Roman" w:eastAsia="Times New Roman"/>
                <w:sz w:val="24"/>
              </w:rPr>
              <w:t xml:space="preserve">),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Region: Conscientiousness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non-Asia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.185 [.082, .284]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2.68(1), .102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.111 [−.039, .257]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Region: Openness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non-Asia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.053 [−.060, .164]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0.26(1), .612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.164 [−.989, .994]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Region: Extraversion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non-Asia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.050 [−.004, .104]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46.43(1), &lt;.001 †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−.131 [−.314, .061]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Region: Agreeableness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non-Asia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.030 [−.047, .106]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2.17(1), .140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.330 [−.981, .995]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Region: Neuroticism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non-Asia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−.007 [−.130, .117]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3.31(1), .069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.089 [.008, .169]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Era: Conscientiousness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pre-COVID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4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.208 [−.041, .434]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0.13(1), .716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COVID-era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.179 [.095, .260]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Era: Openness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pre-COVID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.098 [−.423, .570]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0.00(1), .994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COVID-era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.097 [−.123, .308]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Era: Extraversion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pre-COVID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.033 [.002, .063]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0.59(1), .443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COVID-era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−.014 [−.180, .153]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Era: Agreeableness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pre-COVID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.033 [−.162, .225]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1.09(1), .296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COVID-era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.153 [−.141, .422]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Era: Neuroticism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pre-COVID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4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−.050 [−.173, .074]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2.04(1), .153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COVID-era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.060 [−.125, .240]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Outcome: Conscientiousness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objective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.147 [.048, .243]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2.40(1), .121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self-rated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.225 [−.167, .556]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Outcome: Openness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objective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.092 [−.086, .265]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0.04(1), .839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self-rated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.072 [−.637, .715]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Outcome: Extraversion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objective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−.038 [−.115, .039]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17.30(1), &lt;.001 †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self-rated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.117 [−.136, .356]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Outcome: Agreeableness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objective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.131 [−.054, .308]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0.49(1), .485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self-rated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.041 [−.862, .881]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Outcome: Neuroticism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objective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−.009 [−.097, .080]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0.82(1), .364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self-rated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.120 [−.926, .954]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</w:t>
      </w:r>
      <w:r>
        <w:rPr>
          <w:rFonts w:ascii="Times New Roman" w:hAnsi="Times New Roman" w:eastAsia="Times New Roman"/>
          <w:i/>
          <w:sz w:val="24"/>
        </w:rPr>
        <w:t>k</w:t>
      </w:r>
      <w:r>
        <w:rPr>
          <w:rFonts w:ascii="Times New Roman" w:hAnsi="Times New Roman" w:eastAsia="Times New Roman"/>
          <w:sz w:val="24"/>
        </w:rPr>
        <w:t xml:space="preserve"> = number of studies contributing to each subgroup. </w:t>
      </w:r>
      <w:r>
        <w:rPr>
          <w:rFonts w:ascii="Times New Roman" w:hAnsi="Times New Roman" w:eastAsia="Times New Roman"/>
          <w:i/>
          <w:sz w:val="24"/>
        </w:rPr>
        <w:t>Q_between</w:t>
      </w:r>
      <w:r>
        <w:rPr>
          <w:rFonts w:ascii="Times New Roman" w:hAnsi="Times New Roman" w:eastAsia="Times New Roman"/>
          <w:sz w:val="24"/>
        </w:rPr>
        <w:t xml:space="preserve"> = between-subgroup heterogeneity statistic testing whether subgroups' pooled effects differ significantly. Dagger (†) indicates the two significant subgroup differences at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&lt; .001 after Holm-Bonferroni correction within the Extraversion trait pool. Categorical levels: Asia = East or Middle Eastern samples; non-Asia = European, North American, or Other regions. Era: pre-COVID = data collected ≤2019; COVID-era = 2020–2022. Post-COVID studies (</w:t>
      </w:r>
      <w:r>
        <w:rPr>
          <w:rFonts w:ascii="Times New Roman" w:hAnsi="Times New Roman" w:eastAsia="Times New Roman"/>
          <w:i/>
          <w:sz w:val="24"/>
        </w:rPr>
        <w:t>k</w:t>
      </w:r>
      <w:r>
        <w:rPr>
          <w:rFonts w:ascii="Times New Roman" w:hAnsi="Times New Roman" w:eastAsia="Times New Roman"/>
          <w:sz w:val="24"/>
        </w:rPr>
        <w:t xml:space="preserve"> = 2) were insufficient for subgroup isolation. Outcome type: objective = GPA, course grade, standardized exam, or MOOC platform composite; self-rated = student self-reported performance.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Table 4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Pre-Specified Sensitivity Analyses of the Primary Pooled Effect Sizes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Trait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Analysis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k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r [95% CI]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Δr vs primary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Conscientiousness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Primary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.167 [.089, .243]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Tokiwa (COI)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.167 [.089, .243]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β-converted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.203 [.105, .298]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+.036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RoB &lt; 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.182 [.111, .252]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+.015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Egger regression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 xml:space="preserve">intercept = 2.14,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 xml:space="preserve"> = .094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Trim-and-fill adjusted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.167 [.089, .243]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Openness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Primary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.086 [−.044, .214]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Tokiwa (COI)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.086 [−.044, .214]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β-converted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6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.031 [−.117, .178]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−.055 ‡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RoB &lt; 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.097 [−.052, .242]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+.011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Egger regression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 xml:space="preserve">intercept = −6.41,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 xml:space="preserve"> = .045 †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Trim-and-fill adjusted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.107 [−.017, .228]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+.021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Extraversion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Primary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.002 [−.076, .080]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Tokiwa (COI)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.002 [−.076, .080]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β-converted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6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.018 [−.087, .122]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+.016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RoB &lt; 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.003 [−.088, .093]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+.001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Egger regression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 xml:space="preserve">intercept = 2.29,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 xml:space="preserve"> = .255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Trim-and-fill adjusted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11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−.036 [−.117, .046]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−.038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Agreeableness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Primary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.112 [−.031, .250]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Tokiwa (COI)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.112 [−.031, .250]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β-converted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6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.067 [−.015, .148]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−.045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RoB &lt; 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.126 [−.036, .281]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+.014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Egger regression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 xml:space="preserve">intercept = −8.53,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 xml:space="preserve"> = .072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Trim-and-fill adjusted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.112 [−.031, .250]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Neuroticism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Primary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.018 [−.079, .114]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Tokiwa (COI)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.018 [−.079, .114]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β-converted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−.043 [−.126, .040]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−.061 ‡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RoB &lt; 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.019 [−.093, .130]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+.001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Egger regression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 xml:space="preserve">intercept = −1.79,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 xml:space="preserve"> = .304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Trim-and-fill adjusted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.018 [−.079, .114]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</w:tbl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Δr = change in pooled correlation from the primary analysis. A double dagger (‡) denotes a sensitivity-analysis-induced shift exceeding |Δr| = .05, which is considered potentially influential per the pre-registered threshold. A single dagger (†) denotes a significant Egger test at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&lt; .05. "Exclude Tokiwa (COI)" removes the present author's prior primary study (Tokiwa, 2025); the zero delta reflects that this study did not contribute a direct </w:t>
      </w:r>
      <w:r>
        <w:rPr>
          <w:rFonts w:ascii="Times New Roman" w:hAnsi="Times New Roman" w:eastAsia="Times New Roman"/>
          <w:i/>
          <w:sz w:val="24"/>
        </w:rPr>
        <w:t>r</w:t>
      </w:r>
      <w:r>
        <w:rPr>
          <w:rFonts w:ascii="Times New Roman" w:hAnsi="Times New Roman" w:eastAsia="Times New Roman"/>
          <w:sz w:val="24"/>
        </w:rPr>
        <w:t xml:space="preserve"> to the primary pool. "Exclude β-converted" restricts the pool to studies reporting direct Pearson </w:t>
      </w:r>
      <w:r>
        <w:rPr>
          <w:rFonts w:ascii="Times New Roman" w:hAnsi="Times New Roman" w:eastAsia="Times New Roman"/>
          <w:i/>
          <w:sz w:val="24"/>
        </w:rPr>
        <w:t>r</w:t>
      </w:r>
      <w:r>
        <w:rPr>
          <w:rFonts w:ascii="Times New Roman" w:hAnsi="Times New Roman" w:eastAsia="Times New Roman"/>
          <w:sz w:val="24"/>
        </w:rPr>
        <w:t xml:space="preserve"> or Spearman </w:t>
      </w:r>
      <w:r>
        <w:rPr>
          <w:rFonts w:ascii="Times New Roman" w:hAnsi="Times New Roman" w:eastAsia="Times New Roman"/>
          <w:i/>
          <w:sz w:val="24"/>
        </w:rPr>
        <w:t>ρ</w:t>
      </w:r>
      <w:r>
        <w:rPr>
          <w:rFonts w:ascii="Times New Roman" w:hAnsi="Times New Roman" w:eastAsia="Times New Roman"/>
          <w:sz w:val="24"/>
        </w:rPr>
        <w:t>. "Exclude RoB &lt; 5" removes studies scoring below the pre-specified low-bias threshold of 5 on the JBI 8-item checklist.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Table 5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GRADE Summary of Findings: Confidence in the Pooled Associations Between Big Five Personality Traits and Academic Achievement in Online Learning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Trait (</w:t>
            </w:r>
            <w:r>
              <w:rPr>
                <w:rFonts w:ascii="Times New Roman" w:hAnsi="Times New Roman" w:eastAsia="Times New Roman"/>
                <w:i/>
                <w:sz w:val="24"/>
              </w:rPr>
              <w:t>k</w:t>
            </w:r>
            <w:r>
              <w:rPr>
                <w:rFonts w:ascii="Times New Roman" w:hAnsi="Times New Roman" w:eastAsia="Times New Roman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i/>
                <w:sz w:val="24"/>
              </w:rPr>
              <w:t>N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Risk of Bias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Inconsistency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Indirectness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Imprecision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Publication Bias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Magnitude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GRADE</w:t>
            </w:r>
          </w:p>
        </w:tc>
      </w:tr>
      <w:tr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Conscientiousness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k</w:t>
            </w:r>
            <w:r>
              <w:rPr>
                <w:rFonts w:ascii="Times New Roman" w:hAnsi="Times New Roman" w:eastAsia="Times New Roman"/>
                <w:sz w:val="24"/>
              </w:rPr>
              <w:t xml:space="preserve">=10, </w:t>
            </w:r>
            <w:r>
              <w:rPr>
                <w:rFonts w:ascii="Times New Roman" w:hAnsi="Times New Roman" w:eastAsia="Times New Roman"/>
                <w:i/>
                <w:sz w:val="24"/>
              </w:rPr>
              <w:t>N</w:t>
            </w:r>
            <w:r>
              <w:rPr>
                <w:rFonts w:ascii="Times New Roman" w:hAnsi="Times New Roman" w:eastAsia="Times New Roman"/>
                <w:sz w:val="24"/>
              </w:rPr>
              <w:t>=3,384)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  <w:br/>
              <w:t>(mean JBI=5.80)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Serious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I²</w:t>
            </w:r>
            <w:r>
              <w:rPr>
                <w:rFonts w:ascii="Times New Roman" w:hAnsi="Times New Roman" w:eastAsia="Times New Roman"/>
                <w:sz w:val="24"/>
              </w:rPr>
              <w:t>=65.1%)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  <w:br/>
              <w:t>(CI width=.15)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Not serious</w:t>
              <w:br/>
              <w:t xml:space="preserve">(Egger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>=.094)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Small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r</w:t>
            </w:r>
            <w:r>
              <w:rPr>
                <w:rFonts w:ascii="Times New Roman" w:hAnsi="Times New Roman" w:eastAsia="Times New Roman"/>
                <w:sz w:val="24"/>
              </w:rPr>
              <w:t>=.167)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Moderate</w:t>
            </w:r>
          </w:p>
        </w:tc>
      </w:tr>
      <w:tr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Openness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k</w:t>
            </w:r>
            <w:r>
              <w:rPr>
                <w:rFonts w:ascii="Times New Roman" w:hAnsi="Times New Roman" w:eastAsia="Times New Roman"/>
                <w:sz w:val="24"/>
              </w:rPr>
              <w:t xml:space="preserve">=9, </w:t>
            </w:r>
            <w:r>
              <w:rPr>
                <w:rFonts w:ascii="Times New Roman" w:hAnsi="Times New Roman" w:eastAsia="Times New Roman"/>
                <w:i/>
                <w:sz w:val="24"/>
              </w:rPr>
              <w:t>N</w:t>
            </w:r>
            <w:r>
              <w:rPr>
                <w:rFonts w:ascii="Times New Roman" w:hAnsi="Times New Roman" w:eastAsia="Times New Roman"/>
                <w:sz w:val="24"/>
              </w:rPr>
              <w:t>=3,363)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  <w:br/>
              <w:t>(mean JBI=5.78)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Very serious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I²</w:t>
            </w:r>
            <w:r>
              <w:rPr>
                <w:rFonts w:ascii="Times New Roman" w:hAnsi="Times New Roman" w:eastAsia="Times New Roman"/>
                <w:sz w:val="24"/>
              </w:rPr>
              <w:t>=92.0%)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Serious</w:t>
              <w:br/>
              <w:t>(CI crosses 0)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Serious</w:t>
              <w:br/>
              <w:t xml:space="preserve">(Egger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>=.045) †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Small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r</w:t>
            </w:r>
            <w:r>
              <w:rPr>
                <w:rFonts w:ascii="Times New Roman" w:hAnsi="Times New Roman" w:eastAsia="Times New Roman"/>
                <w:sz w:val="24"/>
              </w:rPr>
              <w:t>=.086)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Low</w:t>
            </w:r>
          </w:p>
        </w:tc>
      </w:tr>
      <w:tr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Extraversion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k</w:t>
            </w:r>
            <w:r>
              <w:rPr>
                <w:rFonts w:ascii="Times New Roman" w:hAnsi="Times New Roman" w:eastAsia="Times New Roman"/>
                <w:sz w:val="24"/>
              </w:rPr>
              <w:t xml:space="preserve">=9, </w:t>
            </w:r>
            <w:r>
              <w:rPr>
                <w:rFonts w:ascii="Times New Roman" w:hAnsi="Times New Roman" w:eastAsia="Times New Roman"/>
                <w:i/>
                <w:sz w:val="24"/>
              </w:rPr>
              <w:t>N</w:t>
            </w:r>
            <w:r>
              <w:rPr>
                <w:rFonts w:ascii="Times New Roman" w:hAnsi="Times New Roman" w:eastAsia="Times New Roman"/>
                <w:sz w:val="24"/>
              </w:rPr>
              <w:t>=3,363)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  <w:br/>
              <w:t>(mean JBI=5.78)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Serious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I²</w:t>
            </w:r>
            <w:r>
              <w:rPr>
                <w:rFonts w:ascii="Times New Roman" w:hAnsi="Times New Roman" w:eastAsia="Times New Roman"/>
                <w:sz w:val="24"/>
              </w:rPr>
              <w:t>=75.5%)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  <w:br/>
              <w:t>(null robust)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Not serious</w:t>
              <w:br/>
              <w:t xml:space="preserve">(Egger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>=.255)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Null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r</w:t>
            </w:r>
            <w:r>
              <w:rPr>
                <w:rFonts w:ascii="Times New Roman" w:hAnsi="Times New Roman" w:eastAsia="Times New Roman"/>
                <w:sz w:val="24"/>
              </w:rPr>
              <w:t>=.002)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Moderate</w:t>
            </w:r>
          </w:p>
        </w:tc>
      </w:tr>
      <w:tr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Agreeableness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k</w:t>
            </w:r>
            <w:r>
              <w:rPr>
                <w:rFonts w:ascii="Times New Roman" w:hAnsi="Times New Roman" w:eastAsia="Times New Roman"/>
                <w:sz w:val="24"/>
              </w:rPr>
              <w:t xml:space="preserve">=9, </w:t>
            </w:r>
            <w:r>
              <w:rPr>
                <w:rFonts w:ascii="Times New Roman" w:hAnsi="Times New Roman" w:eastAsia="Times New Roman"/>
                <w:i/>
                <w:sz w:val="24"/>
              </w:rPr>
              <w:t>N</w:t>
            </w:r>
            <w:r>
              <w:rPr>
                <w:rFonts w:ascii="Times New Roman" w:hAnsi="Times New Roman" w:eastAsia="Times New Roman"/>
                <w:sz w:val="24"/>
              </w:rPr>
              <w:t>=3,363)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  <w:br/>
              <w:t>(mean JBI=5.78)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Very serious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I²</w:t>
            </w:r>
            <w:r>
              <w:rPr>
                <w:rFonts w:ascii="Times New Roman" w:hAnsi="Times New Roman" w:eastAsia="Times New Roman"/>
                <w:sz w:val="24"/>
              </w:rPr>
              <w:t>=96.2%)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Serious</w:t>
              <w:br/>
              <w:t>(CI crosses 0)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Serious</w:t>
              <w:br/>
              <w:t xml:space="preserve">(Egger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>=.072) †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Small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r</w:t>
            </w:r>
            <w:r>
              <w:rPr>
                <w:rFonts w:ascii="Times New Roman" w:hAnsi="Times New Roman" w:eastAsia="Times New Roman"/>
                <w:sz w:val="24"/>
              </w:rPr>
              <w:t>=.112)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Low</w:t>
            </w:r>
          </w:p>
        </w:tc>
      </w:tr>
      <w:tr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Neuroticism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k</w:t>
            </w:r>
            <w:r>
              <w:rPr>
                <w:rFonts w:ascii="Times New Roman" w:hAnsi="Times New Roman" w:eastAsia="Times New Roman"/>
                <w:sz w:val="24"/>
              </w:rPr>
              <w:t xml:space="preserve">=10, </w:t>
            </w:r>
            <w:r>
              <w:rPr>
                <w:rFonts w:ascii="Times New Roman" w:hAnsi="Times New Roman" w:eastAsia="Times New Roman"/>
                <w:i/>
                <w:sz w:val="24"/>
              </w:rPr>
              <w:t>N</w:t>
            </w:r>
            <w:r>
              <w:rPr>
                <w:rFonts w:ascii="Times New Roman" w:hAnsi="Times New Roman" w:eastAsia="Times New Roman"/>
                <w:sz w:val="24"/>
              </w:rPr>
              <w:t>=3,384)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  <w:br/>
              <w:t>(mean JBI=5.80)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Serious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I²</w:t>
            </w:r>
            <w:r>
              <w:rPr>
                <w:rFonts w:ascii="Times New Roman" w:hAnsi="Times New Roman" w:eastAsia="Times New Roman"/>
                <w:sz w:val="24"/>
              </w:rPr>
              <w:t>=79.0%)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Serious</w:t>
              <w:br/>
              <w:t>(null, wide CI)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Not serious</w:t>
              <w:br/>
              <w:t xml:space="preserve">(Egger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>=.304)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Null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r</w:t>
            </w:r>
            <w:r>
              <w:rPr>
                <w:rFonts w:ascii="Times New Roman" w:hAnsi="Times New Roman" w:eastAsia="Times New Roman"/>
                <w:sz w:val="24"/>
              </w:rPr>
              <w:t>=.018)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Low</w:t>
            </w:r>
          </w:p>
        </w:tc>
      </w:tr>
    </w:tbl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Note. GRADE = Grading of Recommendations, Assessment, Development and Evaluations, adapted for observational correlational syntheses (Schünemann et al., 2019). Five standard domains are evaluated per trait: Risk of Bias (mean JBI aggregate score across studies in the pool; serious if mean &lt; 5), Inconsistency (</w:t>
      </w:r>
      <w:r>
        <w:rPr>
          <w:rFonts w:ascii="Times New Roman" w:hAnsi="Times New Roman" w:eastAsia="Times New Roman"/>
          <w:i/>
          <w:sz w:val="24"/>
        </w:rPr>
        <w:t>I²</w:t>
      </w:r>
      <w:r>
        <w:rPr>
          <w:rFonts w:ascii="Times New Roman" w:hAnsi="Times New Roman" w:eastAsia="Times New Roman"/>
          <w:sz w:val="24"/>
        </w:rPr>
        <w:t xml:space="preserve"> and prediction interval; serious if </w:t>
      </w:r>
      <w:r>
        <w:rPr>
          <w:rFonts w:ascii="Times New Roman" w:hAnsi="Times New Roman" w:eastAsia="Times New Roman"/>
          <w:i/>
          <w:sz w:val="24"/>
        </w:rPr>
        <w:t>I²</w:t>
      </w:r>
      <w:r>
        <w:rPr>
          <w:rFonts w:ascii="Times New Roman" w:hAnsi="Times New Roman" w:eastAsia="Times New Roman"/>
          <w:sz w:val="24"/>
        </w:rPr>
        <w:t xml:space="preserve"> &gt; 50%, very serious if </w:t>
      </w:r>
      <w:r>
        <w:rPr>
          <w:rFonts w:ascii="Times New Roman" w:hAnsi="Times New Roman" w:eastAsia="Times New Roman"/>
          <w:i/>
          <w:sz w:val="24"/>
        </w:rPr>
        <w:t>I²</w:t>
      </w:r>
      <w:r>
        <w:rPr>
          <w:rFonts w:ascii="Times New Roman" w:hAnsi="Times New Roman" w:eastAsia="Times New Roman"/>
          <w:sz w:val="24"/>
        </w:rPr>
        <w:t xml:space="preserve"> &gt; 75%), Indirectness (population, exposure, or outcome indirectness relative to the review question), Imprecision (serious if 95% CI crosses the null or is wider than 2 × MOI of |r| = .10), and Publication Bias (serious if Egger's test is significant at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&lt; .05 with asymmetric funnel plot). Magnitude (|r|) is provided for descriptive context but was not grounds for upgrade under the large-magnitude criterion of |r| ≥ .30. Dagger (†) denotes Egger's test intercept suggestive of small-study or publication bias. GRADE ratings: High = further research is very unlikely to change confidence; Moderate = further research is likely to have an important impact; Low = further research is very likely to have an important impact; Very Low = any estimate of effect is very uncertain. All estimates in the present synthesis fall within the Moderate-to-Low confidence range, reflecting the modest </w:t>
      </w:r>
      <w:r>
        <w:rPr>
          <w:rFonts w:ascii="Times New Roman" w:hAnsi="Times New Roman" w:eastAsia="Times New Roman"/>
          <w:i/>
          <w:sz w:val="24"/>
        </w:rPr>
        <w:t>k</w:t>
      </w:r>
      <w:r>
        <w:rPr>
          <w:rFonts w:ascii="Times New Roman" w:hAnsi="Times New Roman" w:eastAsia="Times New Roman"/>
          <w:sz w:val="24"/>
        </w:rPr>
        <w:t xml:space="preserve"> of the available online-specific literature.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Times New Roman" w:hAnsi="Times New Roman" w:eastAsia="Times New Roman"/>
        <w:sz w:val="24"/>
      </w:rPr>
      <w:t>BIG FIVE AND ONLINE LEARNING</w:t>
      <w:tab/>
      <w:tab/>
    </w: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