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AB62B" w14:textId="77777777" w:rsidR="00B156D9" w:rsidRDefault="00B156D9">
      <w:pPr>
        <w:spacing w:after="0" w:line="480" w:lineRule="auto"/>
        <w:jc w:val="center"/>
      </w:pPr>
    </w:p>
    <w:p w14:paraId="330B3815" w14:textId="77777777" w:rsidR="00B156D9" w:rsidRDefault="00B156D9">
      <w:pPr>
        <w:spacing w:after="0" w:line="480" w:lineRule="auto"/>
        <w:jc w:val="center"/>
      </w:pPr>
    </w:p>
    <w:p w14:paraId="50735AC4" w14:textId="77777777" w:rsidR="00B156D9" w:rsidRDefault="00B156D9">
      <w:pPr>
        <w:spacing w:after="0" w:line="480" w:lineRule="auto"/>
        <w:jc w:val="center"/>
      </w:pPr>
    </w:p>
    <w:p w14:paraId="746DF0F5" w14:textId="77777777" w:rsidR="00B156D9" w:rsidRDefault="00B156D9">
      <w:pPr>
        <w:spacing w:after="0" w:line="480" w:lineRule="auto"/>
        <w:jc w:val="center"/>
      </w:pPr>
    </w:p>
    <w:p w14:paraId="38C1EC74" w14:textId="77777777" w:rsidR="00B156D9" w:rsidRDefault="00000000">
      <w:pPr>
        <w:spacing w:after="0" w:line="480" w:lineRule="auto"/>
        <w:jc w:val="center"/>
      </w:pPr>
      <w:r>
        <w:rPr>
          <w:b/>
        </w:rPr>
        <w:t xml:space="preserve">Big Five Personality Traits and Academic Achievement in Online Learning Environments: </w:t>
      </w:r>
      <w:r w:rsidRPr="005825C8">
        <w:rPr>
          <w:b/>
          <w:highlight w:val="yellow"/>
        </w:rPr>
        <w:t>A Scoping Review with Exploratory Quantitative Synthesis</w:t>
      </w:r>
    </w:p>
    <w:p w14:paraId="0298E4F4" w14:textId="77777777" w:rsidR="00B156D9" w:rsidRDefault="00B156D9">
      <w:pPr>
        <w:spacing w:after="0" w:line="480" w:lineRule="auto"/>
        <w:jc w:val="center"/>
      </w:pPr>
    </w:p>
    <w:p w14:paraId="3E940AB4" w14:textId="77777777" w:rsidR="00B156D9" w:rsidRDefault="00000000">
      <w:pPr>
        <w:spacing w:after="0" w:line="480" w:lineRule="auto"/>
        <w:jc w:val="center"/>
      </w:pPr>
      <w:r>
        <w:t>Eisuke Tokiwa</w:t>
      </w:r>
    </w:p>
    <w:p w14:paraId="506B7FB9" w14:textId="77777777" w:rsidR="00B156D9" w:rsidRDefault="00000000">
      <w:pPr>
        <w:spacing w:after="0" w:line="480" w:lineRule="auto"/>
        <w:jc w:val="center"/>
      </w:pPr>
      <w:r>
        <w:t>SUNBLAZE Co., Ltd., Tokyo, Japan</w:t>
      </w:r>
    </w:p>
    <w:p w14:paraId="470FAF01" w14:textId="77777777" w:rsidR="00B156D9" w:rsidRDefault="00B156D9">
      <w:pPr>
        <w:spacing w:after="0" w:line="480" w:lineRule="auto"/>
        <w:jc w:val="center"/>
      </w:pPr>
    </w:p>
    <w:p w14:paraId="3FB98830" w14:textId="77777777" w:rsidR="00B156D9" w:rsidRDefault="00B156D9">
      <w:pPr>
        <w:spacing w:after="0" w:line="480" w:lineRule="auto"/>
        <w:jc w:val="center"/>
      </w:pPr>
    </w:p>
    <w:p w14:paraId="4BAA7693" w14:textId="77777777" w:rsidR="00B156D9" w:rsidRDefault="00000000">
      <w:pPr>
        <w:spacing w:after="0" w:line="480" w:lineRule="auto"/>
        <w:jc w:val="center"/>
      </w:pPr>
      <w:r>
        <w:rPr>
          <w:b/>
        </w:rPr>
        <w:t>Author Note</w:t>
      </w:r>
    </w:p>
    <w:p w14:paraId="6593B6C6" w14:textId="77777777" w:rsidR="00B156D9" w:rsidRDefault="00000000">
      <w:pPr>
        <w:spacing w:after="0" w:line="480" w:lineRule="auto"/>
        <w:ind w:firstLine="720"/>
      </w:pPr>
      <w:r>
        <w:t>Eisuke Tokiwa https://orcid.org/0009-0009-7124-6669</w:t>
      </w:r>
    </w:p>
    <w:p w14:paraId="6ED7ADCE" w14:textId="77777777" w:rsidR="00B156D9" w:rsidRDefault="00000000">
      <w:pPr>
        <w:spacing w:after="0" w:line="480" w:lineRule="auto"/>
        <w:ind w:firstLine="720"/>
      </w:pPr>
      <w:r>
        <w:t>The author has no known conflict of interest to disclose beyond that stated in the Declarations section, where a pre-specified sensitivity analysis addresses the author's own potentially eligible primary study. This research received no external funding. The scoping review was pre-registered on OSF Registries (https://doi.org/10.17605/OSF.IO/E5W47) prior to data extraction, and all data, analysis code, and supplementary materials are publicly available in the associated OSF project (https://doi.org/10.17605/OSF.IO/79M5J).</w:t>
      </w:r>
    </w:p>
    <w:p w14:paraId="6333BCE8" w14:textId="77777777" w:rsidR="00B156D9" w:rsidRDefault="00000000">
      <w:pPr>
        <w:spacing w:after="0" w:line="480" w:lineRule="auto"/>
        <w:ind w:firstLine="720"/>
      </w:pPr>
      <w:r>
        <w:t>Correspondence concerning this article should be addressed to Eisuke Tokiwa, SUNBLAZE Co., Ltd., Tokyo, Japan. Email: eisuke.tokiwa@sunblaze.jp</w:t>
      </w:r>
    </w:p>
    <w:p w14:paraId="52E300E6" w14:textId="77777777" w:rsidR="00B156D9" w:rsidRDefault="00000000">
      <w:r>
        <w:br w:type="page"/>
      </w:r>
    </w:p>
    <w:p w14:paraId="69A6519E" w14:textId="77777777" w:rsidR="00B156D9" w:rsidRDefault="00B156D9">
      <w:pPr>
        <w:spacing w:after="0" w:line="480" w:lineRule="auto"/>
      </w:pPr>
    </w:p>
    <w:p w14:paraId="2C9600FA" w14:textId="77777777" w:rsidR="00B156D9" w:rsidRDefault="00000000">
      <w:pPr>
        <w:spacing w:after="0" w:line="480" w:lineRule="auto"/>
      </w:pPr>
      <w:r>
        <w:rPr>
          <w:b/>
        </w:rPr>
        <w:t>Declarations</w:t>
      </w:r>
    </w:p>
    <w:p w14:paraId="11B043DA" w14:textId="77777777" w:rsidR="00B156D9" w:rsidRDefault="00000000">
      <w:pPr>
        <w:spacing w:after="0" w:line="480" w:lineRule="auto"/>
      </w:pPr>
      <w:r>
        <w:rPr>
          <w:b/>
        </w:rPr>
        <w:t>Conflict of Interest</w:t>
      </w:r>
    </w:p>
    <w:p w14:paraId="3227AB2F" w14:textId="77777777" w:rsidR="00B156D9" w:rsidRDefault="00000000">
      <w:pPr>
        <w:spacing w:after="0" w:line="480" w:lineRule="auto"/>
      </w:pPr>
      <w: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14:paraId="36DEEB43" w14:textId="77777777" w:rsidR="00B156D9" w:rsidRDefault="00B156D9">
      <w:pPr>
        <w:spacing w:after="0" w:line="480" w:lineRule="auto"/>
      </w:pPr>
    </w:p>
    <w:p w14:paraId="20F4443B" w14:textId="77777777" w:rsidR="00B156D9" w:rsidRDefault="00000000">
      <w:pPr>
        <w:spacing w:after="0" w:line="480" w:lineRule="auto"/>
      </w:pPr>
      <w:r>
        <w:rPr>
          <w:b/>
        </w:rPr>
        <w:t>Funding</w:t>
      </w:r>
    </w:p>
    <w:p w14:paraId="55EA4B92" w14:textId="77777777" w:rsidR="00B156D9" w:rsidRDefault="00000000">
      <w:pPr>
        <w:spacing w:after="0" w:line="480" w:lineRule="auto"/>
      </w:pPr>
      <w:r>
        <w:t>This research did not receive any specific grant from funding agencies in the public, commercial, or not-for-profit sectors.</w:t>
      </w:r>
    </w:p>
    <w:p w14:paraId="18620C77" w14:textId="77777777" w:rsidR="00B156D9" w:rsidRDefault="00B156D9">
      <w:pPr>
        <w:spacing w:after="0" w:line="480" w:lineRule="auto"/>
      </w:pPr>
    </w:p>
    <w:p w14:paraId="0484DE57" w14:textId="77777777" w:rsidR="00B156D9" w:rsidRDefault="00000000">
      <w:pPr>
        <w:spacing w:after="0" w:line="480" w:lineRule="auto"/>
      </w:pPr>
      <w:r>
        <w:rPr>
          <w:b/>
        </w:rPr>
        <w:t>Ethics Approval</w:t>
      </w:r>
    </w:p>
    <w:p w14:paraId="7852706A" w14:textId="77777777" w:rsidR="00B156D9" w:rsidRDefault="00000000">
      <w:pPr>
        <w:spacing w:after="0" w:line="480" w:lineRule="auto"/>
      </w:pPr>
      <w:r>
        <w:t>Not applicable. This study is a scoping review with exploratory quantitative synthesis of previously published quantitative research and did not involve any direct collection of data from human participants by the present author. As no new primary data were collected, no Institutional Review Board (IRB) or Research Ethics Committee approval was required for the conduct of this synthesis. The conduct of this review followed the ethical principles outlined in the Declaration of Helsinki (as revised in 2013) and the PRISMA-ScR reporting guidelines for systematic and scoping reviews. Ethical approval for each of the included primary studies was the responsibility of the original investigators of those studies, as documented in their respective publications.</w:t>
      </w:r>
    </w:p>
    <w:p w14:paraId="0DAF9749" w14:textId="77777777" w:rsidR="00B156D9" w:rsidRDefault="00B156D9">
      <w:pPr>
        <w:spacing w:after="0" w:line="480" w:lineRule="auto"/>
      </w:pPr>
    </w:p>
    <w:p w14:paraId="244B79E7" w14:textId="77777777" w:rsidR="00B156D9" w:rsidRDefault="00000000">
      <w:pPr>
        <w:spacing w:after="0" w:line="480" w:lineRule="auto"/>
      </w:pPr>
      <w:r>
        <w:rPr>
          <w:b/>
        </w:rPr>
        <w:t>Consent to Participate</w:t>
      </w:r>
    </w:p>
    <w:p w14:paraId="7E905719" w14:textId="77777777" w:rsidR="00B156D9" w:rsidRDefault="00000000">
      <w:pPr>
        <w:spacing w:after="0" w:line="480" w:lineRule="auto"/>
      </w:pPr>
      <w:r>
        <w:t>Not applicable. This scoping review with exploratory quantitative synthesis did not involve any direct interaction with, or recruitment of, human participants by the present author. Informed consent and consent to participate for the underlying data were obtained by the original investigators of each included primary study at the time of original data collection, in accordance with the institutional and ethical standards applicable at that time.</w:t>
      </w:r>
    </w:p>
    <w:p w14:paraId="026A6587" w14:textId="77777777" w:rsidR="00B156D9" w:rsidRDefault="00B156D9">
      <w:pPr>
        <w:spacing w:after="0" w:line="480" w:lineRule="auto"/>
      </w:pPr>
    </w:p>
    <w:p w14:paraId="46C5A0DE" w14:textId="77777777" w:rsidR="00B156D9" w:rsidRDefault="00000000">
      <w:pPr>
        <w:spacing w:after="0" w:line="480" w:lineRule="auto"/>
      </w:pPr>
      <w:r>
        <w:rPr>
          <w:b/>
        </w:rPr>
        <w:t>Consent for Publication</w:t>
      </w:r>
    </w:p>
    <w:p w14:paraId="26B940AA" w14:textId="77777777" w:rsidR="00B156D9" w:rsidRDefault="00000000">
      <w:pPr>
        <w:spacing w:after="0" w:line="480" w:lineRule="auto"/>
      </w:pPr>
      <w:r>
        <w:t>Not applicable. This manuscript does not contain any individual person's data in any form (including individual details, images, or videos).</w:t>
      </w:r>
    </w:p>
    <w:p w14:paraId="2BF28656" w14:textId="77777777" w:rsidR="00B156D9" w:rsidRDefault="00B156D9">
      <w:pPr>
        <w:spacing w:after="0" w:line="480" w:lineRule="auto"/>
      </w:pPr>
    </w:p>
    <w:p w14:paraId="12185D26" w14:textId="77777777" w:rsidR="00B156D9" w:rsidRDefault="00000000">
      <w:pPr>
        <w:spacing w:after="0" w:line="480" w:lineRule="auto"/>
      </w:pPr>
      <w:r>
        <w:rPr>
          <w:b/>
        </w:rPr>
        <w:t>Human Ethics and Consent to Participate Declarations</w:t>
      </w:r>
    </w:p>
    <w:p w14:paraId="4BBA2E5B" w14:textId="77777777" w:rsidR="00B156D9" w:rsidRDefault="00000000">
      <w:pPr>
        <w:spacing w:after="0" w:line="480" w:lineRule="auto"/>
      </w:pPr>
      <w:r>
        <w:t>Not applicable.</w:t>
      </w:r>
    </w:p>
    <w:p w14:paraId="409131B3" w14:textId="77777777" w:rsidR="00B156D9" w:rsidRDefault="00B156D9">
      <w:pPr>
        <w:spacing w:after="0" w:line="480" w:lineRule="auto"/>
      </w:pPr>
    </w:p>
    <w:p w14:paraId="1D2C754C" w14:textId="77777777" w:rsidR="00B156D9" w:rsidRDefault="00000000">
      <w:pPr>
        <w:spacing w:after="0" w:line="480" w:lineRule="auto"/>
      </w:pPr>
      <w:r>
        <w:rPr>
          <w:b/>
        </w:rPr>
        <w:t>Pre-registration</w:t>
      </w:r>
    </w:p>
    <w:p w14:paraId="4D9CB335" w14:textId="77777777" w:rsidR="00B156D9" w:rsidRDefault="00000000">
      <w:pPr>
        <w:spacing w:after="0" w:line="480" w:lineRule="auto"/>
      </w:pPr>
      <w:r>
        <w:t>This scoping review with exploratory quantitative synthesis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14:paraId="0F93E6DA" w14:textId="77777777" w:rsidR="00B156D9" w:rsidRDefault="00B156D9">
      <w:pPr>
        <w:spacing w:after="0" w:line="480" w:lineRule="auto"/>
      </w:pPr>
    </w:p>
    <w:p w14:paraId="380BF091" w14:textId="77777777" w:rsidR="00B156D9" w:rsidRDefault="00000000">
      <w:pPr>
        <w:spacing w:after="0" w:line="480" w:lineRule="auto"/>
      </w:pPr>
      <w:r>
        <w:rPr>
          <w:b/>
        </w:rPr>
        <w:t>Data Availability Statement</w:t>
      </w:r>
    </w:p>
    <w:p w14:paraId="3D18CD6F" w14:textId="77777777" w:rsidR="00B156D9" w:rsidRDefault="00000000">
      <w:pPr>
        <w:spacing w:after="0" w:line="480" w:lineRule="auto"/>
      </w:pPr>
      <w:r>
        <w:lastRenderedPageBreak/>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and screening decisions; 04_extraction (https://doi.org/10.17605/OSF.IO/5UW98) — data extraction CSV and coding manual; 05_risk_of_bias (https://doi.org/10.17605/OSF.IO/3XYNE) — JBI risk-of-bias ratings for each included study; 06_analysis (https://doi.org/10.17605/OSF.IO/Q4XKB) — Python analysis scripts, pooled results, moderator analyses, sensitivity analyses, and generating code for all tables and figures; and 07_pdf_index (https://doi.org/10.17605/OSF.IO/XZ6PT) — DOI index of included studies.</w:t>
      </w:r>
    </w:p>
    <w:p w14:paraId="7B8DDE3B" w14:textId="77777777" w:rsidR="00B156D9" w:rsidRDefault="00B156D9">
      <w:pPr>
        <w:spacing w:after="0" w:line="480" w:lineRule="auto"/>
      </w:pPr>
    </w:p>
    <w:p w14:paraId="0C938582" w14:textId="77777777" w:rsidR="00B156D9" w:rsidRDefault="00000000">
      <w:pPr>
        <w:spacing w:after="0" w:line="480" w:lineRule="auto"/>
      </w:pPr>
      <w:r>
        <w:rPr>
          <w:b/>
        </w:rPr>
        <w:t>Authors' contributions</w:t>
      </w:r>
    </w:p>
    <w:p w14:paraId="12757A50" w14:textId="77777777" w:rsidR="00B156D9" w:rsidRDefault="00000000">
      <w:pPr>
        <w:spacing w:after="0" w:line="480" w:lineRule="auto"/>
      </w:pPr>
      <w: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14:paraId="3FE1F760" w14:textId="77777777" w:rsidR="00B156D9" w:rsidRDefault="00B156D9">
      <w:pPr>
        <w:spacing w:after="0" w:line="480" w:lineRule="auto"/>
      </w:pPr>
    </w:p>
    <w:p w14:paraId="5ADBED13" w14:textId="77777777" w:rsidR="00B156D9" w:rsidRDefault="00000000">
      <w:pPr>
        <w:spacing w:after="0" w:line="480" w:lineRule="auto"/>
      </w:pPr>
      <w:r>
        <w:rPr>
          <w:b/>
        </w:rPr>
        <w:t>Preprint Statement</w:t>
      </w:r>
    </w:p>
    <w:p w14:paraId="4222CB84" w14:textId="77777777" w:rsidR="00B156D9" w:rsidRDefault="00000000">
      <w:pPr>
        <w:spacing w:after="0" w:line="480" w:lineRule="auto"/>
      </w:pPr>
      <w:r>
        <w:t xml:space="preserve">A preprint version of this manuscript has been deposited on Research Square (https://doi.org/10.21203/rs.3.rs-9513298). This preprint has not been peer-reviewed by a journal. </w:t>
      </w:r>
      <w:r>
        <w:lastRenderedPageBreak/>
        <w:t>Any substantive revisions introduced during peer review are reflected in the present journal version and in a versioned preprint update.</w:t>
      </w:r>
    </w:p>
    <w:p w14:paraId="4BE66A15" w14:textId="77777777" w:rsidR="00B156D9" w:rsidRDefault="00B156D9">
      <w:pPr>
        <w:spacing w:after="0" w:line="480" w:lineRule="auto"/>
      </w:pPr>
    </w:p>
    <w:p w14:paraId="61808D61" w14:textId="77777777" w:rsidR="00B156D9" w:rsidRDefault="00000000">
      <w:pPr>
        <w:spacing w:after="0" w:line="480" w:lineRule="auto"/>
      </w:pPr>
      <w:r>
        <w:rPr>
          <w:b/>
        </w:rPr>
        <w:t>Acknowledgments</w:t>
      </w:r>
    </w:p>
    <w:p w14:paraId="1BBCB5B5" w14:textId="77777777" w:rsidR="00B156D9" w:rsidRDefault="00000000">
      <w:pPr>
        <w:spacing w:after="0" w:line="480" w:lineRule="auto"/>
      </w:pPr>
      <w: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14:paraId="319390B6" w14:textId="77777777" w:rsidR="00B156D9" w:rsidRDefault="00B156D9">
      <w:pPr>
        <w:spacing w:after="0" w:line="480" w:lineRule="auto"/>
      </w:pPr>
    </w:p>
    <w:p w14:paraId="05235330" w14:textId="77777777" w:rsidR="00B156D9" w:rsidRDefault="00000000">
      <w:r>
        <w:br w:type="page"/>
      </w:r>
    </w:p>
    <w:p w14:paraId="373B0D56" w14:textId="77777777" w:rsidR="00B156D9" w:rsidRDefault="00000000">
      <w:pPr>
        <w:pStyle w:val="1"/>
        <w:spacing w:line="480" w:lineRule="auto"/>
      </w:pPr>
      <w:r>
        <w:lastRenderedPageBreak/>
        <w:t>Abstract</w:t>
      </w:r>
    </w:p>
    <w:p w14:paraId="6F7B7F38" w14:textId="77777777" w:rsidR="00B156D9" w:rsidRDefault="00000000">
      <w:pPr>
        <w:spacing w:after="0" w:line="480" w:lineRule="auto"/>
      </w:pPr>
      <w:r>
        <w:t xml:space="preserve">Existing meta-analyses of Big Five personality traits and academic achievement have pooled face-to-face, blended, and online samples without testing delivery mode as a moderator. This pre-registered </w:t>
      </w:r>
      <w:r w:rsidRPr="005825C8">
        <w:rPr>
          <w:highlight w:val="yellow"/>
        </w:rPr>
        <w:t>scoping review</w:t>
      </w:r>
      <w:r>
        <w:t xml:space="preserve"> maps the available evidence on the Big Five-achievement association specifically in online, blended, and MOOC learning environments and provides an exploratory quantitative synthesis of the subset of studies amenable to meta-analysis. Following the </w:t>
      </w:r>
      <w:r w:rsidRPr="005825C8">
        <w:rPr>
          <w:highlight w:val="yellow"/>
        </w:rPr>
        <w:t>PRISMA-ScR</w:t>
      </w:r>
      <w:r>
        <w:t xml:space="preserve"> extension for </w:t>
      </w:r>
      <w:r w:rsidRPr="005825C8">
        <w:rPr>
          <w:highlight w:val="yellow"/>
        </w:rPr>
        <w:t>scoping reviews</w:t>
      </w:r>
      <w:r>
        <w:t xml:space="preserve"> (Tricco et al., 2018), the evidence base was charted via a targeted web-based search and open-access repository retrieval — the pre-registered subscription-gated bibliographic databases (PsycINFO, Scopus, Web of Science, ProQuest Dissertations) could not be accessed in the execution environment and are not searched here, a limitation discussed transparently throughout. 25 reports retained for the scoping map (and 31 full-text records catalogued in Table 1 with 6 documented post-eligibility exclusions) describe Big Five personality and academic achievement in online, blended, or MOOC environments. Ten of these contributed direct or β-converted Pearson correlations to an exploratory quantitative pool (pooled </w:t>
      </w:r>
      <w:r>
        <w:rPr>
          <w:i/>
        </w:rPr>
        <w:t>N</w:t>
      </w:r>
      <w:r>
        <w:t xml:space="preserve"> = 3,384), analysed with random-effects meta-analysis using Hartung-Knapp-Sidik-Jonkman adjustment on the Fisher </w:t>
      </w:r>
      <w:r>
        <w:rPr>
          <w:i/>
        </w:rPr>
        <w:t>z</w:t>
      </w:r>
      <w:r>
        <w:t xml:space="preserve"> scale. Within this small and potentially incomplete map, Conscientiousness showed the largest exploratory pooled estimate (</w:t>
      </w:r>
      <w:r>
        <w:rPr>
          <w:i/>
        </w:rPr>
        <w:t>r</w:t>
      </w:r>
      <w:r>
        <w:t xml:space="preserve"> = .167, 95% CI [.089, .243]; </w:t>
      </w:r>
      <w:r>
        <w:rPr>
          <w:i/>
        </w:rPr>
        <w:t>I²</w:t>
      </w:r>
      <w:r>
        <w:t xml:space="preserve"> = 65.1%), followed by Agreeableness (</w:t>
      </w:r>
      <w:r>
        <w:rPr>
          <w:i/>
        </w:rPr>
        <w:t>r</w:t>
      </w:r>
      <w:r>
        <w:t xml:space="preserve"> = .112 [−.031, .250]), Openness (</w:t>
      </w:r>
      <w:r>
        <w:rPr>
          <w:i/>
        </w:rPr>
        <w:t>r</w:t>
      </w:r>
      <w:r>
        <w:t xml:space="preserve"> = .086 [−.044, .214]), Neuroticism (</w:t>
      </w:r>
      <w:r>
        <w:rPr>
          <w:i/>
        </w:rPr>
        <w:t>r</w:t>
      </w:r>
      <w:r>
        <w:t xml:space="preserve"> = .018), and Extraversion (</w:t>
      </w:r>
      <w:r>
        <w:rPr>
          <w:i/>
        </w:rPr>
        <w:t>r</w:t>
      </w:r>
      <w:r>
        <w:t xml:space="preserve"> = .002). Pre-registered exploratory subgroup contrasts described large between-group differences on Extraversion — by Region (Asian samples </w:t>
      </w:r>
      <w:r>
        <w:rPr>
          <w:i/>
        </w:rPr>
        <w:t>r</w:t>
      </w:r>
      <w:r>
        <w:t xml:space="preserve"> = −.131 vs. non-Asian </w:t>
      </w:r>
      <w:r>
        <w:rPr>
          <w:i/>
        </w:rPr>
        <w:t>r</w:t>
      </w:r>
      <w:r>
        <w:t xml:space="preserve"> = .050) and by Outcome Type (objective </w:t>
      </w:r>
      <w:r>
        <w:rPr>
          <w:i/>
        </w:rPr>
        <w:t>r</w:t>
      </w:r>
      <w:r>
        <w:t xml:space="preserve"> = −.038 vs. self-rated </w:t>
      </w:r>
      <w:r>
        <w:rPr>
          <w:i/>
        </w:rPr>
        <w:t>r</w:t>
      </w:r>
      <w:r>
        <w:t xml:space="preserve"> = .117) — but rest on as few as two studies per subgroup and should be treated as descriptive observations within the scoping map rather than as </w:t>
      </w:r>
      <w:r>
        <w:lastRenderedPageBreak/>
        <w:t>confirmatory tests of interaction. The map is broadly consistent with the Personality-Achievement Saturation Hypothesis (Meyer et al., 2023) tentatively extended to technology-mediated learning, but the small mappable pool (</w:t>
      </w:r>
      <w:r>
        <w:rPr>
          <w:i/>
        </w:rPr>
        <w:t>k</w:t>
      </w:r>
      <w:r>
        <w:t xml:space="preserve"> = 10), the limited reach of the executed search, and wide prediction intervals (which include zero for most traits) mean this consistency does not constitute confirmation. The review's primary contribution is a charted map of what is and is not yet known about Big Five effects in online learning, together with a concrete research agenda — a subscription-gated-database replication search, a linguistically inclusive corpus expansion, facet-level primary studies, and direct within-learner modality contrasts — rather than an established quantitative effect-size estimate. The exploratory pooled estimates and subgroup contrasts should not be used as a basis for pedagogical or design recommendations on the present evidence base.</w:t>
      </w:r>
    </w:p>
    <w:p w14:paraId="6FCC8585" w14:textId="77777777" w:rsidR="00B156D9" w:rsidRDefault="00B156D9">
      <w:pPr>
        <w:spacing w:after="0" w:line="480" w:lineRule="auto"/>
      </w:pPr>
    </w:p>
    <w:p w14:paraId="142B3B07" w14:textId="77777777" w:rsidR="00B156D9" w:rsidRDefault="00000000">
      <w:pPr>
        <w:spacing w:after="0" w:line="480" w:lineRule="auto"/>
      </w:pPr>
      <w:r>
        <w:t>Keywords: Big Five, Five-Factor Model, online learning, e-learning, MOOC, academic achievement, meta-analysis, scoping review, PRISMA</w:t>
      </w:r>
    </w:p>
    <w:p w14:paraId="59842AD2" w14:textId="77777777" w:rsidR="00B156D9" w:rsidRDefault="00000000">
      <w:pPr>
        <w:pStyle w:val="1"/>
        <w:spacing w:line="480" w:lineRule="auto"/>
      </w:pPr>
      <w:r>
        <w:t>Introduction</w:t>
      </w:r>
    </w:p>
    <w:p w14:paraId="3E6BABBB" w14:textId="77777777" w:rsidR="00B156D9" w:rsidRDefault="00000000">
      <w:pPr>
        <w:spacing w:after="0" w:line="480" w:lineRule="auto"/>
        <w:ind w:firstLine="720"/>
      </w:pPr>
      <w:r>
        <w:t xml:space="preserve">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w:t>
      </w:r>
      <w:r>
        <w:lastRenderedPageBreak/>
        <w:t>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 to the author's knowledge, the first to address this gap quantitatively.</w:t>
      </w:r>
    </w:p>
    <w:p w14:paraId="43A7FEEC" w14:textId="77777777" w:rsidR="00B156D9" w:rsidRDefault="00000000">
      <w:pPr>
        <w:pStyle w:val="21"/>
        <w:spacing w:line="480" w:lineRule="auto"/>
      </w:pPr>
      <w:r>
        <w:t>Personality and Academic Achievement in Face-to-Face Contexts</w:t>
      </w:r>
    </w:p>
    <w:p w14:paraId="1EEB8358" w14:textId="77777777" w:rsidR="00B156D9" w:rsidRDefault="00000000">
      <w:pPr>
        <w:spacing w:after="0" w:line="480" w:lineRule="auto"/>
        <w:ind w:firstLine="720"/>
      </w:pPr>
      <w: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i/>
        </w:rPr>
        <w:t>ρ</w:t>
      </w:r>
      <w:r>
        <w:t xml:space="preserve"> = .22 between Conscientiousness and academic performance, with smaller but significant effects for Openness (</w:t>
      </w:r>
      <w:r>
        <w:rPr>
          <w:i/>
        </w:rPr>
        <w:t>ρ</w:t>
      </w:r>
      <w:r>
        <w:t xml:space="preserve"> = .12) and Agreeableness (</w:t>
      </w:r>
      <w:r>
        <w:rPr>
          <w:i/>
        </w:rPr>
        <w:t>ρ</w:t>
      </w:r>
      <w:r>
        <w:t xml:space="preserve"> = .07), and essentially null effects for Extraversion (</w:t>
      </w:r>
      <w:r>
        <w:rPr>
          <w:i/>
        </w:rPr>
        <w:t>ρ</w:t>
      </w:r>
      <w:r>
        <w:t xml:space="preserve"> = −.01) and Neuroticism (</w:t>
      </w:r>
      <w:r>
        <w:rPr>
          <w:i/>
        </w:rPr>
        <w:t>ρ</w:t>
      </w:r>
      <w:r>
        <w:t xml:space="preserve"> = .02). These findings were replicated and extended by McAbee and Oswald (2013; </w:t>
      </w:r>
      <w:r>
        <w:rPr>
          <w:i/>
        </w:rPr>
        <w:t>k</w:t>
      </w:r>
      <w:r>
        <w:t xml:space="preserve"> = 57, </w:t>
      </w:r>
      <w:r>
        <w:rPr>
          <w:i/>
        </w:rPr>
        <w:t>N</w:t>
      </w:r>
      <w:r>
        <w:t xml:space="preserve"> = 26,382; C </w:t>
      </w:r>
      <w:r>
        <w:rPr>
          <w:i/>
        </w:rPr>
        <w:t>ρ</w:t>
      </w:r>
      <w:r>
        <w:t xml:space="preserve"> = .26) and by Vedel (2014; </w:t>
      </w:r>
      <w:r>
        <w:rPr>
          <w:i/>
        </w:rPr>
        <w:t>k</w:t>
      </w:r>
      <w:r>
        <w:t xml:space="preserve"> = 21, </w:t>
      </w:r>
      <w:r>
        <w:rPr>
          <w:i/>
        </w:rPr>
        <w:t>N</w:t>
      </w:r>
      <w:r>
        <w:t xml:space="preserve"> = 17,717; C </w:t>
      </w:r>
      <w:r>
        <w:rPr>
          <w:i/>
        </w:rPr>
        <w:t>ρ</w:t>
      </w:r>
      <w: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i/>
        </w:rPr>
        <w:t>β</w:t>
      </w:r>
      <w:r>
        <w:t xml:space="preserve"> = .24 to .33).</w:t>
      </w:r>
    </w:p>
    <w:p w14:paraId="4C1A981E" w14:textId="77777777" w:rsidR="00B156D9" w:rsidRDefault="00000000">
      <w:pPr>
        <w:spacing w:after="0" w:line="480" w:lineRule="auto"/>
        <w:ind w:firstLine="720"/>
      </w:pPr>
      <w:r>
        <w:t xml:space="preserve">More recent syntheses have substantially expanded the evidence base. Mammadov (2022), in the largest meta-analysis to date (267 independent samples, </w:t>
      </w:r>
      <w:r>
        <w:rPr>
          <w:i/>
        </w:rPr>
        <w:t>N</w:t>
      </w:r>
      <w:r>
        <w:t xml:space="preserve"> = 413,074), reported a corrected pooled correlation of </w:t>
      </w:r>
      <w:r>
        <w:rPr>
          <w:i/>
        </w:rPr>
        <w:t>ρ</w:t>
      </w:r>
      <w:r>
        <w:t xml:space="preserve"> = .27 for Conscientiousness and </w:t>
      </w:r>
      <w:r>
        <w:rPr>
          <w:i/>
        </w:rPr>
        <w:t>ρ</w:t>
      </w:r>
      <w:r>
        <w:t xml:space="preserve"> = .16 for Openness, and documented a striking cultural moderation effect in which Asian samples showed markedly </w:t>
      </w:r>
      <w:r>
        <w:lastRenderedPageBreak/>
        <w:t xml:space="preserve">stronger associations (C </w:t>
      </w:r>
      <w:r>
        <w:rPr>
          <w:i/>
        </w:rPr>
        <w:t>ρ</w:t>
      </w:r>
      <w:r>
        <w:t xml:space="preserve"> = .35; A </w:t>
      </w:r>
      <w:r>
        <w:rPr>
          <w:i/>
        </w:rPr>
        <w:t>ρ</w:t>
      </w:r>
      <w:r>
        <w:t xml:space="preserve"> = .23; </w:t>
      </w:r>
      <w:r>
        <w:rPr>
          <w:i/>
        </w:rPr>
        <w:t>N</w:t>
      </w:r>
      <w:r>
        <w:t xml:space="preserve"> </w:t>
      </w:r>
      <w:r>
        <w:rPr>
          <w:i/>
        </w:rPr>
        <w:t>ρ</w:t>
      </w:r>
      <w:r>
        <w:t xml:space="preserve"> = −.19). Meyer et al. (2023), focusing exclusively on K-12 samples (110 samples, </w:t>
      </w:r>
      <w:r>
        <w:rPr>
          <w:i/>
        </w:rPr>
        <w:t>N</w:t>
      </w:r>
      <w:r>
        <w:t xml:space="preserve"> = 500,218), obtained even larger estimates (C </w:t>
      </w:r>
      <w:r>
        <w:rPr>
          <w:i/>
        </w:rPr>
        <w:t>ρ</w:t>
      </w:r>
      <w:r>
        <w:t xml:space="preserve"> = .24; O </w:t>
      </w:r>
      <w:r>
        <w:rPr>
          <w:i/>
        </w:rPr>
        <w:t>ρ</w:t>
      </w:r>
      <w: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i/>
        </w:rPr>
        <w:t>ρ</w:t>
      </w:r>
      <w:r>
        <w:t xml:space="preserve"> = .28 and E </w:t>
      </w:r>
      <w:r>
        <w:rPr>
          <w:i/>
        </w:rPr>
        <w:t>ρ</w:t>
      </w:r>
      <w:r>
        <w:t xml:space="preserve"> = −.01. Most recently, Chen et al. (2025), examining 84 articles and 370 independent correlations restricted to university students with samples of at least 200 participants, reported somewhat smaller estimates (C </w:t>
      </w:r>
      <w:r>
        <w:rPr>
          <w:i/>
        </w:rPr>
        <w:t>r</w:t>
      </w:r>
      <w:r>
        <w:t xml:space="preserve"> = .206; O </w:t>
      </w:r>
      <w:r>
        <w:rPr>
          <w:i/>
        </w:rPr>
        <w:t>r</w:t>
      </w:r>
      <w:r>
        <w:t xml:space="preserve"> = .081; A </w:t>
      </w:r>
      <w:r>
        <w:rPr>
          <w:i/>
        </w:rPr>
        <w:t>r</w:t>
      </w:r>
      <w:r>
        <w:t xml:space="preserve"> = .082; E </w:t>
      </w:r>
      <w:r>
        <w:rPr>
          <w:i/>
        </w:rPr>
        <w:t>r</w:t>
      </w:r>
      <w:r>
        <w:t xml:space="preserve"> = −.009; </w:t>
      </w:r>
      <w:r>
        <w:rPr>
          <w:i/>
        </w:rPr>
        <w:t>N</w:t>
      </w:r>
      <w:r>
        <w:t xml:space="preserve"> </w:t>
      </w:r>
      <w:r>
        <w:rPr>
          <w:i/>
        </w:rPr>
        <w:t>r</w:t>
      </w:r>
      <w:r>
        <w:t xml:space="preserve"> = −.029), consistent with the idea that stricter methodological inclusion criteria attenuate apparent trait-performance relationships.</w:t>
      </w:r>
    </w:p>
    <w:p w14:paraId="334A85E0" w14:textId="77777777" w:rsidR="00B156D9" w:rsidRDefault="00000000">
      <w:pPr>
        <w:spacing w:after="0" w:line="480" w:lineRule="auto"/>
        <w:ind w:firstLine="720"/>
      </w:pPr>
      <w:r>
        <w:t>Across these eight meta-analyses, a convergent picture emerges: Conscientiousness is the dominant predictor of academic achievement (</w:t>
      </w:r>
      <w:r>
        <w:rPr>
          <w:i/>
        </w:rPr>
        <w:t>ρ</w:t>
      </w:r>
      <w:r>
        <w:t xml:space="preserve"> = .19 to .28), with Openness serving as a reliable secondary predictor (</w:t>
      </w:r>
      <w:r>
        <w:rPr>
          <w:i/>
        </w:rPr>
        <w:t>ρ</w:t>
      </w:r>
      <w:r>
        <w:t xml:space="preserve"> = .07 to .21). Agreeableness exhibits small positive effects (</w:t>
      </w:r>
      <w:r>
        <w:rPr>
          <w:i/>
        </w:rPr>
        <w:t>ρ</w:t>
      </w:r>
      <w: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14:paraId="4CFEA715" w14:textId="77777777" w:rsidR="00B156D9" w:rsidRDefault="00000000">
      <w:pPr>
        <w:pStyle w:val="21"/>
        <w:spacing w:line="480" w:lineRule="auto"/>
      </w:pPr>
      <w:r>
        <w:lastRenderedPageBreak/>
        <w:t>The Shift to Online Learning Environments</w:t>
      </w:r>
    </w:p>
    <w:p w14:paraId="605CC01F" w14:textId="77777777" w:rsidR="00B156D9" w:rsidRDefault="00000000">
      <w:pPr>
        <w:spacing w:after="0" w:line="480" w:lineRule="auto"/>
        <w:ind w:firstLine="720"/>
      </w:pPr>
      <w: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14:paraId="614349E4" w14:textId="77777777" w:rsidR="00B156D9" w:rsidRDefault="00000000">
      <w:pPr>
        <w:spacing w:after="0" w:line="480" w:lineRule="auto"/>
        <w:ind w:firstLine="720"/>
      </w:pPr>
      <w: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i/>
        </w:rPr>
        <w:t>ρ</w:t>
      </w:r>
      <w:r>
        <w:t xml:space="preserve"> = .22–.27 reflects, in </w:t>
      </w:r>
      <w:r>
        <w:lastRenderedPageBreak/>
        <w:t>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14:paraId="6D76877E" w14:textId="77777777" w:rsidR="00B156D9" w:rsidRDefault="00000000">
      <w:pPr>
        <w:pStyle w:val="21"/>
        <w:spacing w:line="480" w:lineRule="auto"/>
      </w:pPr>
      <w:r>
        <w:t>Big Five Personality Traits in Online Learning: Fragmented Evidence</w:t>
      </w:r>
    </w:p>
    <w:p w14:paraId="7738DA8A" w14:textId="77777777" w:rsidR="00B156D9" w:rsidRDefault="00000000">
      <w:pPr>
        <w:spacing w:after="0" w:line="480" w:lineRule="auto"/>
        <w:ind w:firstLine="720"/>
      </w:pPr>
      <w: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14:paraId="5B24E461" w14:textId="77777777" w:rsidR="00B156D9" w:rsidRDefault="00000000">
      <w:pPr>
        <w:spacing w:after="0" w:line="480" w:lineRule="auto"/>
        <w:ind w:firstLine="720"/>
      </w:pPr>
      <w:r>
        <w:t xml:space="preserve">Examining the primary literature directly reveals considerable heterogeneity in reported effect sizes. In fully online asynchronous contexts, Abe (2020) reported strong correlations </w:t>
      </w:r>
      <w:r>
        <w:lastRenderedPageBreak/>
        <w:t>between Conscientiousness and both quiz performance (</w:t>
      </w:r>
      <w:r>
        <w:rPr>
          <w:i/>
        </w:rPr>
        <w:t>r</w:t>
      </w:r>
      <w:r>
        <w:t xml:space="preserve"> = .48) and paper grades (</w:t>
      </w:r>
      <w:r>
        <w:rPr>
          <w:i/>
        </w:rPr>
        <w:t>r</w:t>
      </w:r>
      <w:r>
        <w:t xml:space="preserve"> = .37), with Openness also predicting paper grades (</w:t>
      </w:r>
      <w:r>
        <w:rPr>
          <w:i/>
        </w:rPr>
        <w:t>r</w:t>
      </w:r>
      <w:r>
        <w:t xml:space="preserve"> = .35). Alkış and Taşkaya Temizel (2018), comparing online and blended sections of the same course, found Conscientiousness to predict course grades in both modalities (online </w:t>
      </w:r>
      <w:r>
        <w:rPr>
          <w:i/>
        </w:rPr>
        <w:t>r</w:t>
      </w:r>
      <w:r>
        <w:t xml:space="preserve"> = .205; blended </w:t>
      </w:r>
      <w:r>
        <w:rPr>
          <w:i/>
        </w:rPr>
        <w:t>r</w:t>
      </w:r>
      <w:r>
        <w:t xml:space="preserve"> = .244), with other traits exhibiting only null effects. In the COVID-era German higher education context, Rodrigues et al. (2024) reported a moderate negative correlation between Conscientiousness and self-reported GPA (</w:t>
      </w:r>
      <w:r>
        <w:rPr>
          <w:i/>
        </w:rPr>
        <w:t>r</w:t>
      </w:r>
      <w: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i/>
        </w:rPr>
        <w:t>N</w:t>
      </w:r>
      <w:r>
        <w:t xml:space="preserve"> = 149), reported a direct negative effect of Extraversion on course achievement (</w:t>
      </w:r>
      <w:r>
        <w:rPr>
          <w:i/>
        </w:rPr>
        <w:t>β</w:t>
      </w:r>
      <w:r>
        <w:t xml:space="preserve"> = −.168, </w:t>
      </w:r>
      <w:r>
        <w:rPr>
          <w:i/>
        </w:rPr>
        <w:t>p</w:t>
      </w:r>
      <w:r>
        <w:t xml:space="preserve"> &lt; .01), consistent with the prediction that social-cue deprivation in asynchronous environments disadvantages extraverted learners.</w:t>
      </w:r>
    </w:p>
    <w:p w14:paraId="315A4E02" w14:textId="77777777" w:rsidR="00B156D9" w:rsidRDefault="00000000">
      <w:pPr>
        <w:spacing w:after="0" w:line="480" w:lineRule="auto"/>
        <w:ind w:firstLine="720"/>
      </w:pPr>
      <w:r>
        <w:t xml:space="preserve">Other primary studies reveal patterns that diverge from conventional face-to-face findings. In a large Chinese K-12 sample studied by Wang, Wang, and Li (2023; </w:t>
      </w:r>
      <w:r>
        <w:rPr>
          <w:i/>
        </w:rPr>
        <w:t>N</w:t>
      </w:r>
      <w:r>
        <w:t xml:space="preserve"> = 1,625), Big Five traits were associated with academic achievement only indirectly through online learning engagement, with Conscientiousness (</w:t>
      </w:r>
      <w:r>
        <w:rPr>
          <w:i/>
        </w:rPr>
        <w:t>β</w:t>
      </w:r>
      <w:r>
        <w:t xml:space="preserve"> = .322) and Openness (</w:t>
      </w:r>
      <w:r>
        <w:rPr>
          <w:i/>
        </w:rPr>
        <w:t>β</w:t>
      </w:r>
      <w:r>
        <w:t xml:space="preserve"> = .253) serving as the strongest predictors of engagement. Yu (2021), in a Chinese MOOC platform sample (</w:t>
      </w:r>
      <w:r>
        <w:rPr>
          <w:i/>
        </w:rPr>
        <w:t>N</w:t>
      </w:r>
      <w:r>
        <w:t xml:space="preserve"> = 1,152), reported that Agreeableness (</w:t>
      </w:r>
      <w:r>
        <w:rPr>
          <w:i/>
        </w:rPr>
        <w:t>β</w:t>
      </w:r>
      <w:r>
        <w:t xml:space="preserve"> = .442) and Openness (</w:t>
      </w:r>
      <w:r>
        <w:rPr>
          <w:i/>
        </w:rPr>
        <w:t>β</w:t>
      </w:r>
      <w:r>
        <w:t xml:space="preserve"> = .305) were stronger predictors of objective MOOC composite scores than Conscientiousness (</w:t>
      </w:r>
      <w:r>
        <w:rPr>
          <w:i/>
        </w:rPr>
        <w:t>β</w:t>
      </w:r>
      <w:r>
        <w:t xml:space="preserve"> = .057), suggesting that cooperative behaviors and novelty orientation may be especially salient in Chinese collectivistic contexts (cf. Mammadov, 2022; Chen et al., 2025). Bahçekapılı and Karaman (2020), in a Turkish distance-education context (</w:t>
      </w:r>
      <w:r>
        <w:rPr>
          <w:i/>
        </w:rPr>
        <w:t>N</w:t>
      </w:r>
      <w:r>
        <w:t xml:space="preserve"> = 525), found that all five Big Five traits exhibited non-significant direct </w:t>
      </w:r>
      <w:r>
        <w:lastRenderedPageBreak/>
        <w:t>correlations with GPA, with their effects fully mediated through self-efficacy and external locus of control.</w:t>
      </w:r>
    </w:p>
    <w:p w14:paraId="706F645C" w14:textId="77777777" w:rsidR="00B156D9" w:rsidRDefault="00000000">
      <w:pPr>
        <w:spacing w:after="0" w:line="480" w:lineRule="auto"/>
        <w:ind w:firstLine="720"/>
      </w:pPr>
      <w: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14:paraId="7C6A221E" w14:textId="77777777" w:rsidR="00B156D9" w:rsidRDefault="00000000">
      <w:pPr>
        <w:pStyle w:val="21"/>
        <w:spacing w:line="480" w:lineRule="auto"/>
      </w:pPr>
      <w:r>
        <w:t>Potential Moderators of the Personality-Achievement Association in Online Contexts</w:t>
      </w:r>
    </w:p>
    <w:p w14:paraId="0EABCD1E" w14:textId="77777777" w:rsidR="00B156D9" w:rsidRDefault="00000000">
      <w:pPr>
        <w:spacing w:after="0" w:line="480" w:lineRule="auto"/>
        <w:ind w:firstLine="720"/>
      </w:pPr>
      <w:r>
        <w:t xml:space="preserve">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w:t>
      </w:r>
      <w:r>
        <w:lastRenderedPageBreak/>
        <w:t>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14:paraId="6FE8A0E2" w14:textId="77777777" w:rsidR="00B156D9" w:rsidRDefault="00000000">
      <w:pPr>
        <w:pStyle w:val="21"/>
        <w:spacing w:line="480" w:lineRule="auto"/>
      </w:pPr>
      <w:r>
        <w:t>The Present Study</w:t>
      </w:r>
    </w:p>
    <w:p w14:paraId="4A70E5A7" w14:textId="77777777" w:rsidR="00B156D9" w:rsidRDefault="00000000">
      <w:pPr>
        <w:spacing w:after="0" w:line="480" w:lineRule="auto"/>
        <w:ind w:firstLine="720"/>
      </w:pPr>
      <w:r>
        <w:t xml:space="preserve">The present scoping review with exploratory quantitative synthesis is, to our knowledge, the first scoping mapping of the association between Big Five personality traits and academic achievement that focuses specifically on online learning environments. Consistent with PRISMA-ScR convention (Tricco et al., 2018), the review is organised around </w:t>
      </w:r>
      <w:r w:rsidRPr="005825C8">
        <w:rPr>
          <w:highlight w:val="yellow"/>
        </w:rPr>
        <w:t>mapping questions</w:t>
      </w:r>
      <w:r>
        <w:t xml:space="preserve"> and directional priors rather than around hypothesis tests. Three </w:t>
      </w:r>
      <w:r w:rsidRPr="005825C8">
        <w:rPr>
          <w:highlight w:val="yellow"/>
        </w:rPr>
        <w:t>mapping questions</w:t>
      </w:r>
      <w:r>
        <w:t xml:space="preserve"> are addressed. First </w:t>
      </w:r>
      <w:r w:rsidRPr="005825C8">
        <w:rPr>
          <w:highlight w:val="yellow"/>
        </w:rPr>
        <w:t>(MQ1)</w:t>
      </w:r>
      <w:r>
        <w:t xml:space="preserve">, how large is the available pooled estimate of the association between each Big Five trait and academic achievement in online learning environments within the mappable evidence base, and how does this estimate compare with published face-to-face benchmarks? Second (MQ2), does the association vary descriptively across learning modality, education level, region, era, outcome type, and personality instrument within the mappable evidence base? Third (MQ3), is the personality-achievement association in online environments </w:t>
      </w:r>
      <w:r>
        <w:lastRenderedPageBreak/>
        <w:t xml:space="preserve">fully accounted for by mediating constructs such as self-efficacy and self-regulation, or does it exhibit direct effects beyond these mediators? Because the evidence base is small and the executed search is incomplete relative to the pre-registered information-source plan, all three </w:t>
      </w:r>
      <w:r w:rsidRPr="005825C8">
        <w:rPr>
          <w:highlight w:val="yellow"/>
        </w:rPr>
        <w:t>mapping questions</w:t>
      </w:r>
      <w:r>
        <w:t xml:space="preserve"> are addressed descriptively rather than as confirmatory tests.</w:t>
      </w:r>
    </w:p>
    <w:p w14:paraId="682712B4" w14:textId="56C078A3" w:rsidR="00B156D9" w:rsidRDefault="00000000">
      <w:pPr>
        <w:spacing w:after="0" w:line="480" w:lineRule="auto"/>
        <w:ind w:firstLine="720"/>
      </w:pPr>
      <w:r>
        <w:t xml:space="preserve">Five directional priors, pre-specified in the OSF registration (https://osf.io/e5w47/) as hypotheses, are reframed here as </w:t>
      </w:r>
      <w:r w:rsidR="005825C8" w:rsidRPr="005825C8">
        <w:rPr>
          <w:highlight w:val="yellow"/>
        </w:rPr>
        <w:t>Mapping Prior</w:t>
      </w:r>
      <w:r w:rsidRPr="005825C8">
        <w:rPr>
          <w:highlight w:val="yellow"/>
        </w:rPr>
        <w:t>s (MP1 through MP5)</w:t>
      </w:r>
      <w:r>
        <w:t xml:space="preserve"> that describe expectations against which the mapped evidence can be compared descriptively. </w:t>
      </w:r>
      <w:r w:rsidRPr="005825C8">
        <w:rPr>
          <w:highlight w:val="yellow"/>
        </w:rPr>
        <w:t>Mapping Prior 1 (MP1)</w:t>
      </w:r>
      <w:r>
        <w:t xml:space="preserve"> states that Conscientiousness is expected to show the strongest positive pooled correlation with academic achievement in online learning environments, with an expected pooled </w:t>
      </w:r>
      <w:r>
        <w:rPr>
          <w:i/>
        </w:rPr>
        <w:t>ρ</w:t>
      </w:r>
      <w:r>
        <w:t xml:space="preserve"> of .20 to .35, consistent with the face-to-face benchmarks reviewed above and potentially amplified in Asian samples. </w:t>
      </w:r>
      <w:r w:rsidR="005825C8" w:rsidRPr="005825C8">
        <w:rPr>
          <w:highlight w:val="yellow"/>
        </w:rPr>
        <w:t>Mapping Prior</w:t>
      </w:r>
      <w:r w:rsidRPr="005825C8">
        <w:rPr>
          <w:highlight w:val="yellow"/>
        </w:rPr>
        <w:t xml:space="preserve"> 2 (MP2)</w:t>
      </w:r>
      <w:r>
        <w:t xml:space="preserve"> states that Openness is expected to show the second-strongest positive correlation, potentially stronger than in face-to-face contexts, reflecting the premium placed on self-directed exploration in online environments. </w:t>
      </w:r>
      <w:r w:rsidRPr="005825C8">
        <w:rPr>
          <w:highlight w:val="yellow"/>
        </w:rPr>
        <w:t>Mapping Prior 3 (MP3)</w:t>
      </w:r>
      <w:r>
        <w:t xml:space="preserve"> states that Agreeableness is expected to show a small positive correlation, potentially weaker than in face-to-face contexts because cooperative group behaviors are less central in asynchronous online environments. </w:t>
      </w:r>
      <w:r w:rsidRPr="005825C8">
        <w:rPr>
          <w:highlight w:val="yellow"/>
        </w:rPr>
        <w:t>Mapping Prior 4 (MP4)</w:t>
      </w:r>
      <w:r>
        <w:t xml:space="preserve"> states that Neuroticism is expected to show a negative correlation, more pronounced in fully online than in blended modalities, reflecting the isolating and technology-mediated nature of fully online environments. </w:t>
      </w:r>
      <w:r w:rsidRPr="005825C8">
        <w:rPr>
          <w:highlight w:val="yellow"/>
        </w:rPr>
        <w:t>Mapping Prior 5 (MP5)</w:t>
      </w:r>
      <w:r>
        <w:t xml:space="preserve"> states that Extraversion is expected to show a null or weak negative correlation, with possible facet-level cancellation between sociability (expected negative) and assertiveness (expected positive) components, reflecting the reduced social presence of online environments. </w:t>
      </w:r>
      <w:r w:rsidRPr="005825C8">
        <w:rPr>
          <w:highlight w:val="yellow"/>
        </w:rPr>
        <w:t>Mapping Priors MP2</w:t>
      </w:r>
      <w:r>
        <w:t>, MP4, and MP5 constitute the modality-specific contribution of this review, as they describe expected modality-related divergences from established patterns observed in face-to-face meta-</w:t>
      </w:r>
      <w:r>
        <w:lastRenderedPageBreak/>
        <w:t>analyses; the review evaluates the available evidence descriptively against these priors rather than performing formal hypothesis tests.</w:t>
      </w:r>
    </w:p>
    <w:p w14:paraId="3E0577D4" w14:textId="77777777" w:rsidR="00B156D9" w:rsidRDefault="00000000">
      <w:pPr>
        <w:spacing w:after="0" w:line="480" w:lineRule="auto"/>
        <w:ind w:firstLine="720"/>
      </w:pPr>
      <w:r>
        <w:t>A null result for any of these hypotheses would itself be informative, indicating that online and face-to-face personality-achievement relationships are equivalent in the corresponding dimension. The present review therefore offers , to the author's knowledge, the first scoping evaluation of whether personality operates differently across learning modalities, and provides a necessary empirical foundation for both theoretical refinement and evidence-informed educational practice in the post-pandemic era.</w:t>
      </w:r>
    </w:p>
    <w:p w14:paraId="72D2E431" w14:textId="77777777" w:rsidR="00B156D9" w:rsidRDefault="00000000">
      <w:pPr>
        <w:pStyle w:val="1"/>
        <w:spacing w:line="480" w:lineRule="auto"/>
      </w:pPr>
      <w:r>
        <w:t>Methods</w:t>
      </w:r>
    </w:p>
    <w:p w14:paraId="1F892663" w14:textId="77777777" w:rsidR="00B156D9" w:rsidRDefault="00000000">
      <w:pPr>
        <w:pStyle w:val="21"/>
        <w:spacing w:line="480" w:lineRule="auto"/>
      </w:pPr>
      <w:r>
        <w:t>Pre-registration and Reporting Standards</w:t>
      </w:r>
    </w:p>
    <w:p w14:paraId="6B925DBB" w14:textId="77777777" w:rsidR="00B156D9" w:rsidRDefault="00000000">
      <w:pPr>
        <w:spacing w:after="0" w:line="480" w:lineRule="auto"/>
        <w:ind w:firstLine="720"/>
      </w:pPr>
      <w:r>
        <w:t>The protocol for this scoping review with exploratory quantitative synthesis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Scoping Review with Exploratory Quantitative Synthesis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PRISMA-ScR checklist is provided as Supplementary Material on the OSF project page (https://osf.io/79m5j/). Any deviations from the pre-registered protocol are transparently disclosed in a dedicated subsection below.</w:t>
      </w:r>
    </w:p>
    <w:p w14:paraId="6922D0DB" w14:textId="77777777" w:rsidR="00B156D9" w:rsidRDefault="00000000">
      <w:pPr>
        <w:pStyle w:val="21"/>
        <w:spacing w:line="480" w:lineRule="auto"/>
      </w:pPr>
      <w:r>
        <w:lastRenderedPageBreak/>
        <w:t>Eligibility Criteria</w:t>
      </w:r>
    </w:p>
    <w:p w14:paraId="77B3608F" w14:textId="77777777" w:rsidR="00B156D9" w:rsidRDefault="00000000">
      <w:pPr>
        <w:spacing w:after="0" w:line="480" w:lineRule="auto"/>
        <w:ind w:firstLine="720"/>
      </w:pPr>
      <w:r>
        <w:t xml:space="preserve">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w:t>
      </w:r>
      <w:r>
        <w:lastRenderedPageBreak/>
        <w:t>review, and single-case studies with fewer than 10 participants were excluded, although the reference lists of narrative reviews were hand-searched for original primary studies.</w:t>
      </w:r>
    </w:p>
    <w:p w14:paraId="378C4995" w14:textId="77777777" w:rsidR="00B156D9" w:rsidRDefault="00000000">
      <w:pPr>
        <w:spacing w:after="0" w:line="480" w:lineRule="auto"/>
        <w:ind w:firstLine="720"/>
      </w:pPr>
      <w: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14:paraId="1BEFA7E2" w14:textId="77777777" w:rsidR="00B156D9" w:rsidRDefault="00000000">
      <w:pPr>
        <w:pStyle w:val="21"/>
        <w:spacing w:line="480" w:lineRule="auto"/>
      </w:pPr>
      <w:r>
        <w:t>Information Sources and Search Strategy</w:t>
      </w:r>
    </w:p>
    <w:p w14:paraId="540838E8" w14:textId="77777777" w:rsidR="00B156D9" w:rsidRDefault="00000000">
      <w:pPr>
        <w:spacing w:after="0" w:line="480" w:lineRule="auto"/>
        <w:ind w:firstLine="720"/>
      </w:pPr>
      <w:r>
        <w:t xml:space="preserve">Scoping reviews are designed to map the available evidence on a topic — including its breadth, conceptual boundaries, methodological characteristics, and gaps — rather than to provide an exhaustive synthesis of every relevant primary study (Munn et al., 2018; Tricco et al., 2018). The information-source plan for the present scoping review was originally pre-registered as a six-database systematic search (PubMed/MEDLINE, PsycINFO, ERIC, Web of Science, Scopus, and ProQuest Dissertations &amp; Theses Global), supplemented by Google Scholar and forward/backward citation snowballing. At execution time, however, three of those databases (PsycINFO, Scopus, Web of Science) and ProQuest Dissertations require institutional subscription access that was not available, and the direct E-utilities, OpenAlex, and Semantic Scholar APIs were blocked by the execution environment's network allowlist. Individual subscriptions to the three subscription-gated providers are not offered by Clarivate, Elsevier, or </w:t>
      </w:r>
      <w:r>
        <w:lastRenderedPageBreak/>
        <w:t>the American Psychological Association, so the absence of access could not be remedied by personal purchase. The actually executed search therefore consisted of: (a) a targeted web-based search interface equivalent in coverage to Google Scholar, executed April 23, 2026, applying the pre-specified three-concept Boolean strategy split into eight queries; (b) ERIC web search; (c) targeted retrieval from open-access repositories (PubMed Central, Frontiers, MDPI, Open Praxis); and (d) forward and backward citation snowballing from included primary studies and from the eight prior face-to-face Big Five-achievement meta-analyses that constitute the comparison corpus. Reframing the review as a scoping review (in place of a systematic review) is the direct consequence of this information-source gap: the executed search is sufficient to map the visible landscape of online-modality Big Five-achievement work, but is not sufficient to claim exhaustive coverage of the underlying literature, and the review is reported accordingly. The full search log with executed query syntax, dates, and hit counts is deposited on the associated OSF project (02_search component).</w:t>
      </w:r>
    </w:p>
    <w:p w14:paraId="5A7BF1C6" w14:textId="77777777" w:rsidR="00B156D9" w:rsidRDefault="00000000">
      <w:pPr>
        <w:spacing w:after="0" w:line="480" w:lineRule="auto"/>
        <w:ind w:firstLine="720"/>
      </w:pPr>
      <w:r>
        <w:t xml:space="preserve">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w:t>
      </w:r>
      <w:r>
        <w:lastRenderedPageBreak/>
        <w:t>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14:paraId="5FF71C6F" w14:textId="77777777" w:rsidR="00B156D9" w:rsidRDefault="00000000">
      <w:pPr>
        <w:spacing w:after="0" w:line="480" w:lineRule="auto"/>
        <w:ind w:firstLine="720"/>
      </w:pPr>
      <w: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14:paraId="260AB08F" w14:textId="77777777" w:rsidR="00B156D9" w:rsidRDefault="00000000">
      <w:pPr>
        <w:pStyle w:val="21"/>
        <w:spacing w:line="480" w:lineRule="auto"/>
      </w:pPr>
      <w:r>
        <w:t>Study Selection</w:t>
      </w:r>
    </w:p>
    <w:p w14:paraId="03241673" w14:textId="77777777" w:rsidR="00B156D9" w:rsidRDefault="00000000">
      <w:pPr>
        <w:spacing w:after="0" w:line="480" w:lineRule="auto"/>
        <w:ind w:firstLine="720"/>
      </w:pPr>
      <w:r>
        <w:t xml:space="preserve">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t>
      </w:r>
      <w:r>
        <w:lastRenderedPageBreak/>
        <w:t>(wrong population, wrong exposure, wrong outcome, wrong modality, non-Big-Five personality framework, insufficient statistics, duplicate sample) for reporting in the PRISMA-ScR flow diagram.</w:t>
      </w:r>
    </w:p>
    <w:p w14:paraId="1A7DEB9B" w14:textId="77777777" w:rsidR="00B156D9" w:rsidRDefault="00000000">
      <w:pPr>
        <w:pStyle w:val="21"/>
        <w:spacing w:line="480" w:lineRule="auto"/>
      </w:pPr>
      <w:r>
        <w:t>Data Extraction</w:t>
      </w:r>
    </w:p>
    <w:p w14:paraId="6BC46B21" w14:textId="77777777" w:rsidR="00B156D9" w:rsidRDefault="00000000">
      <w:pPr>
        <w:spacing w:after="0" w:line="480" w:lineRule="auto"/>
        <w:ind w:firstLine="720"/>
      </w:pPr>
      <w: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i/>
        </w:rPr>
        <w:t>N</w:t>
      </w:r>
      <w:r>
        <w:t xml:space="preserve">, age mean and </w:t>
      </w:r>
      <w:r>
        <w:rPr>
          <w:i/>
        </w:rPr>
        <w:t>SD</w:t>
      </w:r>
      <w: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i/>
        </w:rPr>
        <w:t>r</w:t>
      </w:r>
      <w:r>
        <w:t xml:space="preserve">, standardized </w:t>
      </w:r>
      <w:r>
        <w:rPr>
          <w:i/>
        </w:rPr>
        <w:t>β</w:t>
      </w:r>
      <w:r>
        <w:t xml:space="preserve">, Cohen's d, η², </w:t>
      </w:r>
      <w:r>
        <w:rPr>
          <w:i/>
        </w:rPr>
        <w:t>t</w:t>
      </w:r>
      <w:r>
        <w:t xml:space="preserve">, or </w:t>
      </w:r>
      <w:r>
        <w:rPr>
          <w:i/>
        </w:rPr>
        <w:t>F</w:t>
      </w:r>
      <w: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14:paraId="694ECF51" w14:textId="77777777" w:rsidR="00B156D9" w:rsidRDefault="00000000">
      <w:pPr>
        <w:pStyle w:val="21"/>
        <w:spacing w:line="480" w:lineRule="auto"/>
      </w:pPr>
      <w:r>
        <w:t>Risk of Bias Assessment</w:t>
      </w:r>
    </w:p>
    <w:p w14:paraId="0F7439DC" w14:textId="77777777" w:rsidR="00B156D9" w:rsidRDefault="00000000">
      <w:pPr>
        <w:spacing w:after="0" w:line="480" w:lineRule="auto"/>
        <w:ind w:firstLine="720"/>
      </w:pPr>
      <w:r>
        <w:t xml:space="preserve">Risk of bias for each included study was assessed using the Joanna Briggs Institute (JBI) Critical Appraisal Checklist for Analytical Cross-Sectional Studies (Moola et al., 2017), which </w:t>
      </w:r>
      <w:r>
        <w:lastRenderedPageBreak/>
        <w:t>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14:paraId="78DC61D1" w14:textId="77777777" w:rsidR="00B156D9" w:rsidRDefault="00000000">
      <w:pPr>
        <w:pStyle w:val="21"/>
        <w:spacing w:line="480" w:lineRule="auto"/>
      </w:pPr>
      <w:r>
        <w:t>Effect Size Metric and Transformations</w:t>
      </w:r>
    </w:p>
    <w:p w14:paraId="39A19845" w14:textId="77777777" w:rsidR="00B156D9" w:rsidRDefault="00000000">
      <w:pPr>
        <w:spacing w:after="0" w:line="480" w:lineRule="auto"/>
        <w:ind w:firstLine="720"/>
      </w:pPr>
      <w:r>
        <w:t>The primary effect-size metric was the Pearson product-moment correlation coefficient (</w:t>
      </w:r>
      <w:r>
        <w:rPr>
          <w:i/>
        </w:rPr>
        <w:t>r</w:t>
      </w:r>
      <w:r>
        <w:t xml:space="preserve">) between each Big Five trait score and the academic achievement outcome. Prior to pooling, every extracted </w:t>
      </w:r>
      <w:r>
        <w:rPr>
          <w:i/>
        </w:rPr>
        <w:t>r</w:t>
      </w:r>
      <w:r>
        <w:t xml:space="preserve"> was transformed to Fisher's </w:t>
      </w:r>
      <w:r>
        <w:rPr>
          <w:i/>
        </w:rPr>
        <w:t>z</w:t>
      </w:r>
      <w:r>
        <w:t xml:space="preserve"> (Borenstein et al., 2009) using the formula </w:t>
      </w:r>
      <w:r>
        <w:rPr>
          <w:i/>
        </w:rPr>
        <w:t>z</w:t>
      </w:r>
      <w:r>
        <w:t xml:space="preserve"> = 0.5 × ln[(1 + </w:t>
      </w:r>
      <w:r>
        <w:rPr>
          <w:i/>
        </w:rPr>
        <w:t>r</w:t>
      </w:r>
      <w:r>
        <w:t xml:space="preserve">) / (1 − </w:t>
      </w:r>
      <w:r>
        <w:rPr>
          <w:i/>
        </w:rPr>
        <w:t>r</w:t>
      </w:r>
      <w:r>
        <w:t>)], with sampling variance Var(</w:t>
      </w:r>
      <w:r>
        <w:rPr>
          <w:i/>
        </w:rPr>
        <w:t>z</w:t>
      </w:r>
      <w:r>
        <w:t>) = 1 / (</w:t>
      </w:r>
      <w:r>
        <w:rPr>
          <w:i/>
        </w:rPr>
        <w:t>N</w:t>
      </w:r>
      <w:r>
        <w:t xml:space="preserve"> − 3), where </w:t>
      </w:r>
      <w:r>
        <w:rPr>
          <w:i/>
        </w:rPr>
        <w:t>N</w:t>
      </w:r>
      <w:r>
        <w:t xml:space="preserve"> is the analytic sample size for that effect size. Pooled z-values were back-transformed to </w:t>
      </w:r>
      <w:r>
        <w:rPr>
          <w:i/>
        </w:rPr>
        <w:t>r</w:t>
      </w:r>
      <w:r>
        <w:t xml:space="preserve"> for reporting, using </w:t>
      </w:r>
      <w:r>
        <w:rPr>
          <w:i/>
        </w:rPr>
        <w:t>r</w:t>
      </w:r>
      <w:r>
        <w:t xml:space="preserve"> = [exp(2z) − 1] / [exp(2z) + 1]. All pooling, moderator regression, and confidence-interval construction were performed on the Fisher </w:t>
      </w:r>
      <w:r>
        <w:rPr>
          <w:i/>
        </w:rPr>
        <w:t>z</w:t>
      </w:r>
      <w:r>
        <w:t xml:space="preserve"> scale, whereas point estimates and credibility intervals were reported on the </w:t>
      </w:r>
      <w:r>
        <w:rPr>
          <w:i/>
        </w:rPr>
        <w:t>r</w:t>
      </w:r>
      <w:r>
        <w:t xml:space="preserve"> scale for interpretability.</w:t>
      </w:r>
    </w:p>
    <w:p w14:paraId="075B66F6" w14:textId="77777777" w:rsidR="00B156D9" w:rsidRDefault="00000000">
      <w:pPr>
        <w:spacing w:after="0" w:line="480" w:lineRule="auto"/>
        <w:ind w:firstLine="720"/>
      </w:pPr>
      <w:r>
        <w:t xml:space="preserve">When a primary study reported an effect-size statistic other than Pearson </w:t>
      </w:r>
      <w:r>
        <w:rPr>
          <w:i/>
        </w:rPr>
        <w:t>r</w:t>
      </w:r>
      <w:r>
        <w:t xml:space="preserve">, the statistic was converted to </w:t>
      </w:r>
      <w:r>
        <w:rPr>
          <w:i/>
        </w:rPr>
        <w:t>r</w:t>
      </w:r>
      <w:r>
        <w:t xml:space="preserve"> using pre-specified rules, and every converted effect size was flagged for a pre-specified sensitivity analysis in which pooled estimates were recomputed with and without converted effect sizes. Standardized regression coefficients (</w:t>
      </w:r>
      <w:r>
        <w:rPr>
          <w:i/>
        </w:rPr>
        <w:t>β</w:t>
      </w:r>
      <w:r>
        <w:t xml:space="preserve">) were converted using the </w:t>
      </w:r>
      <w:r>
        <w:lastRenderedPageBreak/>
        <w:t xml:space="preserve">approximation of Peterson and Brown (2005), </w:t>
      </w:r>
      <w:r>
        <w:rPr>
          <w:i/>
        </w:rPr>
        <w:t>r</w:t>
      </w:r>
      <w:r>
        <w:t xml:space="preserve"> ≈ </w:t>
      </w:r>
      <w:r>
        <w:rPr>
          <w:i/>
        </w:rPr>
        <w:t>β</w:t>
      </w:r>
      <w:r>
        <w:t xml:space="preserve"> + 0.05λ, where λ = 1 if </w:t>
      </w:r>
      <w:r>
        <w:rPr>
          <w:i/>
        </w:rPr>
        <w:t>β</w:t>
      </w:r>
      <w:r>
        <w:t xml:space="preserve"> ≥ 0 and 0 otherwise; conversions from </w:t>
      </w:r>
      <w:r>
        <w:rPr>
          <w:i/>
        </w:rPr>
        <w:t>β</w:t>
      </w:r>
      <w:r>
        <w:t xml:space="preserve"> were applied only when the source model contained at most two predictors, and β-only reports from larger models were excluded. Cohen's d values were converted to </w:t>
      </w:r>
      <w:r>
        <w:rPr>
          <w:i/>
        </w:rPr>
        <w:t>r</w:t>
      </w:r>
      <w:r>
        <w:t xml:space="preserve"> as </w:t>
      </w:r>
      <w:r>
        <w:rPr>
          <w:i/>
        </w:rPr>
        <w:t>r</w:t>
      </w:r>
      <w:r>
        <w:t xml:space="preserve"> = d / √(d² + 4) for equal-group comparisons, adjusted for unequal group sizes as </w:t>
      </w:r>
      <w:r>
        <w:rPr>
          <w:i/>
        </w:rPr>
        <w:t>r</w:t>
      </w:r>
      <w:r>
        <w:t xml:space="preserve"> = d / √(d² + (n₁ + n₂)² / (n₁ × n₂)). Eta-squared (η²) values from single-predictor models were converted as </w:t>
      </w:r>
      <w:r>
        <w:rPr>
          <w:i/>
        </w:rPr>
        <w:t>r</w:t>
      </w:r>
      <w:r>
        <w:t xml:space="preserve"> = √η², with sign assigned based on the reported direction of association. </w:t>
      </w:r>
      <w:r>
        <w:rPr>
          <w:i/>
        </w:rPr>
        <w:t>F</w:t>
      </w:r>
      <w:r>
        <w:t xml:space="preserve"> and </w:t>
      </w:r>
      <w:r>
        <w:rPr>
          <w:i/>
        </w:rPr>
        <w:t>t</w:t>
      </w:r>
      <w:r>
        <w:t xml:space="preserve"> statistics were converted using </w:t>
      </w:r>
      <w:r>
        <w:rPr>
          <w:i/>
        </w:rPr>
        <w:t>r</w:t>
      </w:r>
      <w:r>
        <w:t xml:space="preserve"> = √(</w:t>
      </w:r>
      <w:r>
        <w:rPr>
          <w:i/>
        </w:rPr>
        <w:t>F</w:t>
      </w:r>
      <w:r>
        <w:t xml:space="preserve"> / (</w:t>
      </w:r>
      <w:r>
        <w:rPr>
          <w:i/>
        </w:rPr>
        <w:t>F</w:t>
      </w:r>
      <w:r>
        <w:t xml:space="preserve"> + df_error)) and </w:t>
      </w:r>
      <w:r>
        <w:rPr>
          <w:i/>
        </w:rPr>
        <w:t>r</w:t>
      </w:r>
      <w:r>
        <w:t xml:space="preserve"> = √(t² / (t² + </w:t>
      </w:r>
      <w:r>
        <w:rPr>
          <w:i/>
        </w:rPr>
        <w:t>df</w:t>
      </w:r>
      <w:r>
        <w:t>)), respectively.</w:t>
      </w:r>
    </w:p>
    <w:p w14:paraId="5889A150" w14:textId="77777777" w:rsidR="00B156D9" w:rsidRDefault="00000000">
      <w:pPr>
        <w:spacing w:after="0" w:line="480" w:lineRule="auto"/>
        <w:ind w:firstLine="720"/>
      </w:pPr>
      <w: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exploratory pooling models (a) with HEXACO studies excluded entirely and (b) with HEXACO Emotionality mapped to Neuroticism but without compositing Agreeableness with Honesty–Humility, in order to evaluate the robustness of this crosswalk.</w:t>
      </w:r>
    </w:p>
    <w:p w14:paraId="32FE71E0" w14:textId="77777777" w:rsidR="00B156D9" w:rsidRDefault="00000000">
      <w:pPr>
        <w:pStyle w:val="21"/>
        <w:spacing w:line="480" w:lineRule="auto"/>
      </w:pPr>
      <w:r>
        <w:lastRenderedPageBreak/>
        <w:t>Statistical Analysis and Synthesis Strategy</w:t>
      </w:r>
    </w:p>
    <w:p w14:paraId="666362DC" w14:textId="77777777" w:rsidR="00B156D9" w:rsidRDefault="00000000">
      <w:pPr>
        <w:spacing w:after="0" w:line="480" w:lineRule="auto"/>
        <w:ind w:firstLine="720"/>
      </w:pPr>
      <w:r>
        <w:t>Five primary meta-analytic models were estimated, one for each Big Five trait (Conscientiousness, Openness, Extraversion, Agreeableness, Neuroticism) paired with academic achievement. Each model was a random-effects meta-analysis with between-study variance (</w:t>
      </w:r>
      <w:r>
        <w:rPr>
          <w:i/>
        </w:rPr>
        <w:t>τ²</w:t>
      </w:r>
      <w: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i/>
        </w:rPr>
        <w:t>Q</w:t>
      </w:r>
      <w:r>
        <w:t xml:space="preserve">, the </w:t>
      </w:r>
      <w:r>
        <w:rPr>
          <w:i/>
        </w:rPr>
        <w:t>I²</w:t>
      </w:r>
      <w:r>
        <w:t xml:space="preserve"> statistic, </w:t>
      </w:r>
      <w:r>
        <w:rPr>
          <w:i/>
        </w:rPr>
        <w:t>τ²</w:t>
      </w:r>
      <w:r>
        <w:t xml:space="preserve"> and </w:t>
      </w:r>
      <w:r>
        <w:rPr>
          <w:i/>
        </w:rPr>
        <w:t>τ</w:t>
      </w:r>
      <w: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14:paraId="0DD46C83" w14:textId="77777777" w:rsidR="00B156D9" w:rsidRDefault="00000000">
      <w:pPr>
        <w:spacing w:after="0" w:line="480" w:lineRule="auto"/>
        <w:ind w:firstLine="720"/>
      </w:pPr>
      <w:r>
        <w:t xml:space="preserve">All exploratory pooling was conducted on the Fisher </w:t>
      </w:r>
      <w:r>
        <w:rPr>
          <w:i/>
        </w:rPr>
        <w:t>z</w:t>
      </w:r>
      <w:r>
        <w:t xml:space="preserve"> scale, and pooled </w:t>
      </w:r>
      <w:r>
        <w:rPr>
          <w:i/>
        </w:rPr>
        <w:t>z</w:t>
      </w:r>
      <w:r>
        <w:t xml:space="preserve"> values were back-transformed to </w:t>
      </w:r>
      <w:r>
        <w:rPr>
          <w:i/>
        </w:rPr>
        <w:t>r</w:t>
      </w:r>
      <w:r>
        <w:t xml:space="preserve"> for reporting. Inference criteria were two-tailed, with α = .05 for pooled effect significance tests, α = .10 for Cochran's </w:t>
      </w:r>
      <w:r>
        <w:rPr>
          <w:i/>
        </w:rPr>
        <w:t>Q</w:t>
      </w:r>
      <w:r>
        <w:t xml:space="preserve"> (per convention), and α = .05 for moderator </w:t>
      </w:r>
      <w:r>
        <w:rPr>
          <w:i/>
        </w:rPr>
        <w:t>QM</w:t>
      </w:r>
      <w:r>
        <w:t xml:space="preserve"> tests. Effect-size magnitudes were interpreted against the benchmarks proposed by Gignac and Szodorai (2016) for correlational meta-analyses, with </w:t>
      </w:r>
      <w:r>
        <w:rPr>
          <w:i/>
        </w:rPr>
        <w:t>r</w:t>
      </w:r>
      <w:r>
        <w:t xml:space="preserve"> ≈ .10 small, </w:t>
      </w:r>
      <w:r>
        <w:rPr>
          <w:i/>
        </w:rPr>
        <w:t>r</w:t>
      </w:r>
      <w:r>
        <w:t xml:space="preserve"> ≈ .20 moderate, and </w:t>
      </w:r>
      <w:r>
        <w:rPr>
          <w:i/>
        </w:rPr>
        <w:t>r</w:t>
      </w:r>
      <w:r>
        <w:t xml:space="preserve"> ≈ .30 large. The minimum effect of interest for GRADE imprecision judgments was set at |r| = .10.</w:t>
      </w:r>
    </w:p>
    <w:p w14:paraId="2953A838" w14:textId="77777777" w:rsidR="00B156D9" w:rsidRDefault="00000000">
      <w:pPr>
        <w:pStyle w:val="21"/>
        <w:spacing w:line="480" w:lineRule="auto"/>
      </w:pPr>
      <w:r>
        <w:t>Moderator and Sensitivity Analyses</w:t>
      </w:r>
    </w:p>
    <w:p w14:paraId="096942E4" w14:textId="77777777" w:rsidR="00B156D9" w:rsidRDefault="00000000">
      <w:pPr>
        <w:spacing w:after="0" w:line="480" w:lineRule="auto"/>
        <w:ind w:firstLine="720"/>
      </w:pPr>
      <w:r>
        <w:t xml:space="preserve">Nine moderators were pre-specified. Five categorical moderators were tested: learning modality (fully online, blended, MOOC, synchronous online, asynchronous online, mixed), education level (K-12, undergraduate, graduate, adult, mixed), region (Asia, Europe, North </w:t>
      </w:r>
      <w:r>
        <w:lastRenderedPageBreak/>
        <w:t xml:space="preserve">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i/>
        </w:rPr>
        <w:t>QM</w:t>
      </w:r>
      <w:r>
        <w:t xml:space="preserve"> test. The </w:t>
      </w:r>
      <w:r>
        <w:rPr>
          <w:i/>
        </w:rPr>
        <w:t>R²</w:t>
      </w:r>
      <w: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i/>
        </w:rPr>
        <w:t>k</w:t>
      </w:r>
      <w:r>
        <w:t xml:space="preserve"> ≥ 10 per predictor level was required for robust meta-regression (Borenstein et al., 2021), moderator levels with fewer than 10 contributing effect sizes were reported narratively rather than quantitatively.</w:t>
      </w:r>
    </w:p>
    <w:p w14:paraId="2637D070" w14:textId="77777777" w:rsidR="00B156D9" w:rsidRDefault="00000000">
      <w:pPr>
        <w:spacing w:after="0" w:line="480" w:lineRule="auto"/>
        <w:ind w:firstLine="720"/>
      </w:pPr>
      <w:r>
        <w:t>Seven sensitivity analyses were pre-specified. The exploratory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14:paraId="46442796" w14:textId="77777777" w:rsidR="00B156D9" w:rsidRDefault="00000000">
      <w:pPr>
        <w:pStyle w:val="21"/>
        <w:spacing w:line="480" w:lineRule="auto"/>
      </w:pPr>
      <w:r>
        <w:lastRenderedPageBreak/>
        <w:t>Publication Bias</w:t>
      </w:r>
    </w:p>
    <w:p w14:paraId="3FAF8999" w14:textId="77777777" w:rsidR="00B156D9" w:rsidRDefault="00000000">
      <w:pPr>
        <w:spacing w:after="0" w:line="480" w:lineRule="auto"/>
        <w:ind w:firstLine="720"/>
      </w:pPr>
      <w: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14:paraId="4C3E7FD5" w14:textId="77777777" w:rsidR="00B156D9" w:rsidRDefault="00000000">
      <w:pPr>
        <w:pStyle w:val="21"/>
        <w:spacing w:line="480" w:lineRule="auto"/>
      </w:pPr>
      <w:r>
        <w:t>Completeness-of-Evidence Mapping (adapted from GRADE)</w:t>
      </w:r>
    </w:p>
    <w:p w14:paraId="14BAF2A3" w14:textId="77777777" w:rsidR="00B156D9" w:rsidRDefault="00000000">
      <w:pPr>
        <w:spacing w:after="0" w:line="480" w:lineRule="auto"/>
        <w:ind w:firstLine="720"/>
      </w:pPr>
      <w:r>
        <w:t xml:space="preserve">The confidence in the cumulative evidence per Big Five trait was assessed using an adaptation of the GRADE framework — re-framed as a completeness-of-evidence mapping for this scoping review — for observational correlational syntheses (Schünemann et al., 2019). Five domains were evaluated: risk of bias (downgrade if the mean JBI aggregate score across included studies was below 5), inconsistency (downgrade if </w:t>
      </w:r>
      <w:r>
        <w:rPr>
          <w:i/>
        </w:rPr>
        <w:t>I²</w:t>
      </w:r>
      <w: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i/>
        </w:rPr>
        <w:t>p</w:t>
      </w:r>
      <w:r>
        <w:t xml:space="preserve"> &lt; .05 with visible funnel asymmetry, or if the p-curve analysis failed to support evidential value). Two upgrade considerations were applied: large magnitude (upgrade one level </w:t>
      </w:r>
      <w:r>
        <w:lastRenderedPageBreak/>
        <w:t>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14:paraId="62FB0C0A" w14:textId="77777777" w:rsidR="00B156D9" w:rsidRDefault="00000000">
      <w:pPr>
        <w:pStyle w:val="21"/>
        <w:spacing w:line="480" w:lineRule="auto"/>
      </w:pPr>
      <w:r>
        <w:t>Deviations from the Pre-registered Protocol</w:t>
      </w:r>
    </w:p>
    <w:p w14:paraId="5409B7A5" w14:textId="77777777" w:rsidR="00B156D9" w:rsidRDefault="00000000">
      <w:pPr>
        <w:spacing w:after="0" w:line="480" w:lineRule="auto"/>
        <w:ind w:firstLine="720"/>
      </w:pPr>
      <w: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i/>
        </w:rPr>
        <w:t>k</w:t>
      </w:r>
      <w:r>
        <w:t xml:space="preserve"> = 9–10 for the exploratory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exploratory synthesis pool, consistent with its role as a face-to-face reference point.</w:t>
      </w:r>
    </w:p>
    <w:p w14:paraId="13D710E2" w14:textId="77777777" w:rsidR="00B156D9" w:rsidRDefault="00000000">
      <w:pPr>
        <w:spacing w:after="0" w:line="480" w:lineRule="auto"/>
        <w:ind w:firstLine="720"/>
      </w:pPr>
      <w:r>
        <w:t xml:space="preserve">Narrative description of the six moderators for which quantitative meta-regression was not feasible is summarized below. (a) Personality instrument: the instrument was heavily skewed </w:t>
      </w:r>
      <w:r>
        <w:lastRenderedPageBreak/>
        <w:t>toward the Big Five Inventory family (13 of 25 retained studies); NEO-family, IPIP, HEXACO, and TIPI/TIPI-J together contributed fewer than three studies each in the retained set. Within the exploratory achievement pool, Conscientiousness estimates were comparable across BFI-44 studies (</w:t>
      </w:r>
      <w:r>
        <w:rPr>
          <w:i/>
        </w:rPr>
        <w:t>r</w:t>
      </w:r>
      <w:r>
        <w:t xml:space="preserve"> range from .068 in Bahçekapılı &amp; Karaman, 2020 to .37 in Abe, 2020 paper-grade outcome), TIPI-J (</w:t>
      </w:r>
      <w:r>
        <w:rPr>
          <w:i/>
        </w:rPr>
        <w:t>r</w:t>
      </w:r>
      <w: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exploratory quantitative pool, larger samples (Yu, 2021 </w:t>
      </w:r>
      <w:r>
        <w:rPr>
          <w:i/>
        </w:rPr>
        <w:t>N</w:t>
      </w:r>
      <w:r>
        <w:t xml:space="preserve"> = 1,152; Bahçekapılı &amp; Karaman, 2020 </w:t>
      </w:r>
      <w:r>
        <w:rPr>
          <w:i/>
        </w:rPr>
        <w:t>N</w:t>
      </w:r>
      <w:r>
        <w:t xml:space="preserve"> = 525; Kaspar et al., 2023 </w:t>
      </w:r>
      <w:r>
        <w:rPr>
          <w:i/>
        </w:rPr>
        <w:t>N</w:t>
      </w:r>
      <w:r>
        <w:t xml:space="preserve"> = 413; Quigley et al., 2022 </w:t>
      </w:r>
      <w:r>
        <w:rPr>
          <w:i/>
        </w:rPr>
        <w:t>N</w:t>
      </w:r>
      <w:r>
        <w:t xml:space="preserve"> = 301; Zheng &amp; Zheng, 2023 </w:t>
      </w:r>
      <w:r>
        <w:rPr>
          <w:i/>
        </w:rPr>
        <w:t>N</w:t>
      </w:r>
      <w:r>
        <w:t xml:space="preserve"> = 282; Rodrigues et al., 2024 </w:t>
      </w:r>
      <w:r>
        <w:rPr>
          <w:i/>
        </w:rPr>
        <w:t>N</w:t>
      </w:r>
      <w:r>
        <w:t xml:space="preserve"> = 260; Alkış &amp; Taşkaya Temizel, 2018 online subsample </w:t>
      </w:r>
      <w:r>
        <w:rPr>
          <w:i/>
        </w:rPr>
        <w:t>N</w:t>
      </w:r>
      <w:r>
        <w:t xml:space="preserve"> = 189) produced smaller pooled Conscientiousness estimates (</w:t>
      </w:r>
      <w:r>
        <w:rPr>
          <w:i/>
        </w:rPr>
        <w:t>r</w:t>
      </w:r>
      <w:r>
        <w:t xml:space="preserve"> ≈ .10) than the two smallest pool members (Abe, 2020 </w:t>
      </w:r>
      <w:r>
        <w:rPr>
          <w:i/>
        </w:rPr>
        <w:t>N</w:t>
      </w:r>
      <w:r>
        <w:t xml:space="preserve"> = 92; Elvers et al., 2003 online subset </w:t>
      </w:r>
      <w:r>
        <w:rPr>
          <w:i/>
        </w:rPr>
        <w:t>N</w:t>
      </w:r>
      <w:r>
        <w:t xml:space="preserve"> = 21; </w:t>
      </w:r>
      <w:r>
        <w:rPr>
          <w:i/>
        </w:rPr>
        <w:t>r</w:t>
      </w:r>
      <w: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i/>
        </w:rPr>
        <w:t>N</w:t>
      </w:r>
      <w:r>
        <w:t xml:space="preserve"> = 189) and blended (</w:t>
      </w:r>
      <w:r>
        <w:rPr>
          <w:i/>
        </w:rPr>
        <w:t>N</w:t>
      </w:r>
      <w:r>
        <w:t xml:space="preserve"> = 127) subsamples. A-28 Yu's MOOC context is itself a form of online learning. The </w:t>
      </w:r>
      <w:r>
        <w:rPr>
          <w:i/>
        </w:rPr>
        <w:t>k</w:t>
      </w:r>
      <w:r>
        <w:t xml:space="preserve"> for any non-fully-online cell was insufficient for quantitative modality moderation. (f) Education level: 2 K-12 studies were retained (A-25 Tokiwa, 2025; A-26 Wang </w:t>
      </w:r>
      <w:r>
        <w:lastRenderedPageBreak/>
        <w:t xml:space="preserve">et al., 2023), with an additional K-12 record (A-10 Boonyapison et al., 2025) excluded for face-to-face modality. Neither retained K-12 study contributed direct or β-converted </w:t>
      </w:r>
      <w:r>
        <w:rPr>
          <w:i/>
        </w:rPr>
        <w:t>r</w:t>
      </w:r>
      <w:r>
        <w:t xml:space="preserve"> to the exploratory quantitative achievement pool: A-25 reported test-completion outcomes without extractable achievement </w:t>
      </w:r>
      <w:r>
        <w:rPr>
          <w:i/>
        </w:rPr>
        <w:t>r</w:t>
      </w:r>
      <w:r>
        <w:t xml:space="preserve">, and A-26 reported only a </w:t>
      </w:r>
      <w:r>
        <w:rPr>
          <w:i/>
        </w:rPr>
        <w:t>β</w:t>
      </w:r>
      <w:r>
        <w:t xml:space="preserve"> path through engagement (no direct trait–achievement </w:t>
      </w:r>
      <w:r>
        <w:rPr>
          <w:i/>
        </w:rPr>
        <w:t>r</w:t>
      </w:r>
      <w:r>
        <w:t>). The K-12 contribution to the present synthesis is therefore narrative-only and cannot be generalized to the K-12 online population more broadly. Each of these six narrative observations is offered as descriptive orientation rather than as a formal hypothesis test.</w:t>
      </w:r>
    </w:p>
    <w:p w14:paraId="3CAF5CB5" w14:textId="77777777" w:rsidR="00B156D9" w:rsidRDefault="00000000">
      <w:pPr>
        <w:pStyle w:val="21"/>
        <w:spacing w:line="480" w:lineRule="auto"/>
      </w:pPr>
      <w:r>
        <w:t>Software and Reproducibility</w:t>
      </w:r>
    </w:p>
    <w:p w14:paraId="2E8464D8" w14:textId="77777777" w:rsidR="00B156D9" w:rsidRDefault="00000000">
      <w:pPr>
        <w:spacing w:after="0" w:line="480" w:lineRule="auto"/>
        <w:ind w:firstLine="720"/>
      </w:pPr>
      <w:r>
        <w:t xml:space="preserve">All quantitative analyses were performed in </w:t>
      </w:r>
      <w:r w:rsidRPr="001501B6">
        <w:rPr>
          <w:highlight w:val="yellow"/>
        </w:rPr>
        <w:t>Python (version ≥ 3.11)</w:t>
      </w:r>
      <w:r>
        <w:t xml:space="preserve"> using the scientific Python stack as the primary engine for random-effects meta-analysis, mixed-effects meta-regression, and heterogeneity diagnostics: NumPy and SciPy for numerical primitives (REML </w:t>
      </w:r>
      <w:r>
        <w:rPr>
          <w:i/>
        </w:rPr>
        <w:t>τ²</w:t>
      </w:r>
      <w:r>
        <w:t xml:space="preserve"> estimation, Fisher-z transformations, Hartung-Knapp-Sidik-Jonkman confidence-interval adjustment, Q-statistic and </w:t>
      </w:r>
      <w:r>
        <w:rPr>
          <w:i/>
        </w:rPr>
        <w:t>I²</w:t>
      </w:r>
      <w:r>
        <w:t xml:space="preserve"> computation, prediction-interval calculation), pandas for the extraction-CSV data layer, statsmodels for ancillary regression and trim-and-fill calculations, and Matplotlib for forest, funnel, and bubble plots. The clubSandwich approach to cluster-robust variance estimation (Pustejovsky, 2023; Tipton, 2015) was re-implemented in Python following the published mathematical specification rather than via the R package, and was validated against the canonical Harrer et al. (2021) worked examples. All analysis code, the deposited extraction CSV, and pinned package versions (uv.lock) are deposited on the associated OSF project (https://doi.org/10.17605/OSF.IO/79M5J), specifically in the 06_analysis component (https://doi.org/10.17605/OSF.IO/Q4XKB), and are mirrored at https://github.com/etoki/paper for version control. Any interested researcher can reproduce every analytic step reported in this paper from the deposited extraction CSV and the Python scripts.</w:t>
      </w:r>
    </w:p>
    <w:p w14:paraId="281D8B30" w14:textId="77777777" w:rsidR="00B156D9" w:rsidRDefault="00000000">
      <w:pPr>
        <w:pStyle w:val="1"/>
        <w:spacing w:line="480" w:lineRule="auto"/>
      </w:pPr>
      <w:r>
        <w:lastRenderedPageBreak/>
        <w:t>Results</w:t>
      </w:r>
    </w:p>
    <w:p w14:paraId="10716650" w14:textId="77777777" w:rsidR="00B156D9" w:rsidRDefault="00000000">
      <w:pPr>
        <w:pStyle w:val="21"/>
        <w:spacing w:line="480" w:lineRule="auto"/>
      </w:pPr>
      <w:r>
        <w:t>Study Selection</w:t>
      </w:r>
    </w:p>
    <w:p w14:paraId="696ED58A" w14:textId="77777777" w:rsidR="00B156D9" w:rsidRDefault="00000000">
      <w:pPr>
        <w:spacing w:after="0" w:line="480" w:lineRule="auto"/>
        <w:ind w:firstLine="720"/>
      </w:pPr>
      <w:r>
        <w:t>The PRISMA-ScR-style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exploratory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14:paraId="5C02FE1A" w14:textId="77777777" w:rsidR="00B156D9" w:rsidRDefault="00000000">
      <w:pPr>
        <w:spacing w:after="0" w:line="480" w:lineRule="auto"/>
        <w:ind w:firstLine="720"/>
      </w:pPr>
      <w:r>
        <w:lastRenderedPageBreak/>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exploratory quantitative pool were flagged for subsequent sensitivity analysis because their effect-size contribution depended on Peterson-Brown conversion from </w:t>
      </w:r>
      <w:r>
        <w:rPr>
          <w:i/>
        </w:rPr>
        <w:t>β</w:t>
      </w:r>
      <w:r>
        <w:t xml:space="preserve"> to </w:t>
      </w:r>
      <w:r>
        <w:rPr>
          <w:i/>
        </w:rPr>
        <w:t>r</w:t>
      </w:r>
      <w:r>
        <w:t xml:space="preserve"> (A-28 Yu, 2021 and A-30 Kaspar et al., 2023), and one was flagged as a conflict-of-interest study because it is the present author's own prior primary research (A-25 Tokiwa, 2025; Tokiwa is in the scoping-retained set but did not contribute extractable </w:t>
      </w:r>
      <w:r>
        <w:rPr>
          <w:i/>
        </w:rPr>
        <w:t>r</w:t>
      </w:r>
      <w:r>
        <w:t xml:space="preserve"> values to the exploratory pool).</w:t>
      </w:r>
    </w:p>
    <w:p w14:paraId="79DB05A8" w14:textId="77777777" w:rsidR="00B156D9" w:rsidRDefault="00000000">
      <w:pPr>
        <w:pStyle w:val="21"/>
        <w:spacing w:line="480" w:lineRule="auto"/>
      </w:pPr>
      <w:r>
        <w:t>Characteristics of Included Studies</w:t>
      </w:r>
    </w:p>
    <w:p w14:paraId="6274F28B" w14:textId="77777777" w:rsidR="00B156D9" w:rsidRDefault="00000000">
      <w:pPr>
        <w:spacing w:after="0" w:line="480" w:lineRule="auto"/>
        <w:ind w:firstLine="720"/>
      </w:pPr>
      <w: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i/>
        </w:rPr>
        <w:t>N</w:t>
      </w:r>
      <w:r>
        <w:t xml:space="preserve"> of 260. The 10 studies contributing direct or β-converted Pearson correlations to the exploratory achievement pool aggregated a total sample of 3,384 participants (</w:t>
      </w:r>
      <w:r>
        <w:rPr>
          <w:i/>
        </w:rPr>
        <w:t>k</w:t>
      </w:r>
      <w:r>
        <w:t xml:space="preserve"> = 10 for Conscientiousness and Neuroticism; </w:t>
      </w:r>
      <w:r>
        <w:rPr>
          <w:i/>
        </w:rPr>
        <w:t>k</w:t>
      </w:r>
      <w:r>
        <w:t xml:space="preserve"> = 9 for Openness, Extraversion, Agreeableness — A-15 Elvers reported only C and </w:t>
      </w:r>
      <w:r>
        <w:rPr>
          <w:i/>
        </w:rPr>
        <w:t>N</w:t>
      </w:r>
      <w:r>
        <w:t>).</w:t>
      </w:r>
    </w:p>
    <w:p w14:paraId="3B89A9B8" w14:textId="77777777" w:rsidR="00B156D9" w:rsidRDefault="00000000">
      <w:pPr>
        <w:spacing w:after="0" w:line="480" w:lineRule="auto"/>
        <w:ind w:firstLine="720"/>
      </w:pPr>
      <w: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w:t>
      </w:r>
      <w:r>
        <w:lastRenderedPageBreak/>
        <w:t xml:space="preserve">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exploratory quantitative pool the Asian subset is reduced to </w:t>
      </w:r>
      <w:r>
        <w:rPr>
          <w:i/>
        </w:rPr>
        <w:t>k</w:t>
      </w:r>
      <w:r>
        <w:t xml:space="preserve"> = 2. Era coding for the era moderator yielded 8 pre-COVID, 12 COVID-era, 4 post-COVID, and 1 mixed-era (A-37 Zheng &amp; Zheng, spanning pre/during/post lockdown) retained studies.</w:t>
      </w:r>
    </w:p>
    <w:p w14:paraId="2B40CEE9" w14:textId="77777777" w:rsidR="00B156D9" w:rsidRDefault="00000000">
      <w:pPr>
        <w:spacing w:after="0" w:line="480" w:lineRule="auto"/>
        <w:ind w:firstLine="720"/>
      </w:pPr>
      <w:r>
        <w:t xml:space="preserve">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and Tsaknis's (2021) 30-item custom scale, Chinese-language Big Five scales of A-20 Mustafa et al. (2022) and A-26 Wang et al. (2023), and McCrae's 40-item scale used in A-28 Yu; 4 studies in total). Achievement outcomes in the 10-study exploratory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w:t>
      </w:r>
      <w:r>
        <w:lastRenderedPageBreak/>
        <w:t>preference, or perception — were the only available outcome in the remaining 15 retained studies and were not pooled into the exploratory achievement meta-analysis.</w:t>
      </w:r>
    </w:p>
    <w:p w14:paraId="704E9D07" w14:textId="77777777" w:rsidR="00B156D9" w:rsidRDefault="00000000">
      <w:pPr>
        <w:pStyle w:val="21"/>
        <w:spacing w:line="480" w:lineRule="auto"/>
      </w:pPr>
      <w:r>
        <w:t>Risk of Bias Across Included Studies</w:t>
      </w:r>
    </w:p>
    <w:p w14:paraId="12EB1453" w14:textId="77777777" w:rsidR="00B156D9" w:rsidRDefault="00000000">
      <w:pPr>
        <w:spacing w:after="0" w:line="480" w:lineRule="auto"/>
        <w:ind w:firstLine="720"/>
      </w:pPr>
      <w:r>
        <w:t>Risk-of-bias ratings using the Joanna Briggs Institute 8-item checklist are reported per study in Table S2 (Supplementary Material). The mean aggregate score across the 25 retained studies was 5.44 (</w:t>
      </w:r>
      <w:r>
        <w:rPr>
          <w:i/>
        </w:rPr>
        <w:t>SD</w:t>
      </w:r>
      <w: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14:paraId="5F777484" w14:textId="77777777" w:rsidR="00B156D9" w:rsidRDefault="00000000">
      <w:pPr>
        <w:pStyle w:val="21"/>
        <w:spacing w:line="480" w:lineRule="auto"/>
      </w:pPr>
      <w:r>
        <w:t>Exploratory Pooled Effect Sizes</w:t>
      </w:r>
    </w:p>
    <w:p w14:paraId="04BDC6EC" w14:textId="77777777" w:rsidR="00B156D9" w:rsidRDefault="00000000">
      <w:pPr>
        <w:spacing w:after="0" w:line="480" w:lineRule="auto"/>
        <w:ind w:firstLine="720"/>
      </w:pPr>
      <w: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14:paraId="7F84EC79" w14:textId="77777777" w:rsidR="00B156D9" w:rsidRDefault="00000000">
      <w:pPr>
        <w:spacing w:after="0" w:line="480" w:lineRule="auto"/>
        <w:ind w:firstLine="720"/>
      </w:pPr>
      <w:r>
        <w:t xml:space="preserve">Conscientiousness and online academic achievement. Across </w:t>
      </w:r>
      <w:r>
        <w:rPr>
          <w:i/>
        </w:rPr>
        <w:t>k</w:t>
      </w:r>
      <w:r>
        <w:t xml:space="preserve"> = 10 studies (total </w:t>
      </w:r>
      <w:r>
        <w:rPr>
          <w:i/>
        </w:rPr>
        <w:t>N</w:t>
      </w:r>
      <w:r>
        <w:t xml:space="preserve"> = 3,384), the pooled correlation between Conscientiousness and academic achievement in online learning environments was </w:t>
      </w:r>
      <w:r>
        <w:rPr>
          <w:i/>
        </w:rPr>
        <w:t>r</w:t>
      </w:r>
      <w:r>
        <w:t xml:space="preserve"> = .167 (95% CI [.089, .243], 95% PI [−.020, .343]), partially consistent with </w:t>
      </w:r>
      <w:r w:rsidRPr="005825C8">
        <w:rPr>
          <w:highlight w:val="yellow"/>
        </w:rPr>
        <w:t>Mapping Prior 1</w:t>
      </w:r>
      <w:r>
        <w:t xml:space="preserve"> (H1: expected </w:t>
      </w:r>
      <w:r>
        <w:rPr>
          <w:i/>
        </w:rPr>
        <w:t>ρ</w:t>
      </w:r>
      <w:r>
        <w:t xml:space="preserve"> = .20–.35). The point estimate was the largest </w:t>
      </w:r>
      <w:r>
        <w:lastRenderedPageBreak/>
        <w:t xml:space="preserve">of the five Big Five traits in the present synthesis, consistent with the descriptive direction of MP1, but its magnitude was somewhat below the face-to-face benchmark range of </w:t>
      </w:r>
      <w:r>
        <w:rPr>
          <w:i/>
        </w:rPr>
        <w:t>ρ</w:t>
      </w:r>
      <w:r>
        <w:t xml:space="preserve"> = .19–.28 reported by Poropat (2009), McAbee and Oswald (2013), Vedel (2014), Mammadov (2022), Meyer et al. (2023), and Chen et al. (2025). Heterogeneity was moderate (Q(9) = 25.79, </w:t>
      </w:r>
      <w:r>
        <w:rPr>
          <w:i/>
        </w:rPr>
        <w:t>p</w:t>
      </w:r>
      <w:r>
        <w:t xml:space="preserve"> = .002; </w:t>
      </w:r>
      <w:r>
        <w:rPr>
          <w:i/>
        </w:rPr>
        <w:t>I²</w:t>
      </w:r>
      <w:r>
        <w:t xml:space="preserve"> = 65.1%; </w:t>
      </w:r>
      <w:r>
        <w:rPr>
          <w:i/>
        </w:rPr>
        <w:t>τ²</w:t>
      </w:r>
      <w:r>
        <w:t xml:space="preserve"> = .006; </w:t>
      </w:r>
      <w:r>
        <w:rPr>
          <w:i/>
        </w:rPr>
        <w:t>τ</w:t>
      </w:r>
      <w:r>
        <w:t xml:space="preserve"> = .076).</w:t>
      </w:r>
    </w:p>
    <w:p w14:paraId="2970EC9F" w14:textId="77777777" w:rsidR="00B156D9" w:rsidRDefault="00000000">
      <w:pPr>
        <w:spacing w:after="0" w:line="480" w:lineRule="auto"/>
        <w:ind w:firstLine="720"/>
      </w:pPr>
      <w:r>
        <w:t xml:space="preserve">Openness to Experience and online academic achievement. Across </w:t>
      </w:r>
      <w:r>
        <w:rPr>
          <w:i/>
        </w:rPr>
        <w:t>k</w:t>
      </w:r>
      <w:r>
        <w:t xml:space="preserve"> = 9 studies (total </w:t>
      </w:r>
      <w:r>
        <w:rPr>
          <w:i/>
        </w:rPr>
        <w:t>N</w:t>
      </w:r>
      <w:r>
        <w:t xml:space="preserve"> = 3,363), the pooled correlation was </w:t>
      </w:r>
      <w:r>
        <w:rPr>
          <w:i/>
        </w:rPr>
        <w:t>r</w:t>
      </w:r>
      <w:r>
        <w:t xml:space="preserve"> = .086 (95% CI [−.044, .214], 95% PI [−.273, .425]). This estimate was comparable to the face-to-face benchmark from Mammadov (2022; </w:t>
      </w:r>
      <w:r>
        <w:rPr>
          <w:i/>
        </w:rPr>
        <w:t>ρ</w:t>
      </w:r>
      <w:r>
        <w:t xml:space="preserve"> = .16) and smaller than the K-12 estimate of Meyer et al. (2023; </w:t>
      </w:r>
      <w:r>
        <w:rPr>
          <w:i/>
        </w:rPr>
        <w:t>ρ</w:t>
      </w:r>
      <w: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i/>
        </w:rPr>
        <w:t>p</w:t>
      </w:r>
      <w:r>
        <w:t xml:space="preserve"> &lt; .001; </w:t>
      </w:r>
      <w:r>
        <w:rPr>
          <w:i/>
        </w:rPr>
        <w:t>I²</w:t>
      </w:r>
      <w:r>
        <w:t xml:space="preserve"> = 92.0%; </w:t>
      </w:r>
      <w:r>
        <w:rPr>
          <w:i/>
        </w:rPr>
        <w:t>τ²</w:t>
      </w:r>
      <w:r>
        <w:t xml:space="preserve"> = .021), consistent with the wide dispersion of reported Openness effects across primary studies (e.g., </w:t>
      </w:r>
      <w:r>
        <w:rPr>
          <w:i/>
        </w:rPr>
        <w:t>r</w:t>
      </w:r>
      <w:r>
        <w:t xml:space="preserve"> = .35 for Abe's essay outcome; </w:t>
      </w:r>
      <w:r>
        <w:rPr>
          <w:i/>
        </w:rPr>
        <w:t>r</w:t>
      </w:r>
      <w:r>
        <w:t xml:space="preserve"> = .305 for Yu's MOOC composite vs. </w:t>
      </w:r>
      <w:r>
        <w:rPr>
          <w:i/>
        </w:rPr>
        <w:t>r</w:t>
      </w:r>
      <w:r>
        <w:t xml:space="preserve"> = −.066 for Rivers's asynchronous Moodle outcome).</w:t>
      </w:r>
    </w:p>
    <w:p w14:paraId="6C32639B" w14:textId="77777777" w:rsidR="00B156D9" w:rsidRDefault="00000000">
      <w:pPr>
        <w:spacing w:after="0" w:line="480" w:lineRule="auto"/>
        <w:ind w:firstLine="720"/>
      </w:pPr>
      <w:r>
        <w:t xml:space="preserve">Extraversion and online academic achievement. Across </w:t>
      </w:r>
      <w:r>
        <w:rPr>
          <w:i/>
        </w:rPr>
        <w:t>k</w:t>
      </w:r>
      <w:r>
        <w:t xml:space="preserve"> = 9 studies (total </w:t>
      </w:r>
      <w:r>
        <w:rPr>
          <w:i/>
        </w:rPr>
        <w:t>N</w:t>
      </w:r>
      <w:r>
        <w:t xml:space="preserve"> = 3,363), the pooled correlation was </w:t>
      </w:r>
      <w:r>
        <w:rPr>
          <w:i/>
        </w:rPr>
        <w:t>r</w:t>
      </w:r>
      <w:r>
        <w:t xml:space="preserve"> = .002 (95% CI [−.076, .080]). This null estimate supports </w:t>
      </w:r>
      <w:r w:rsidRPr="005825C8">
        <w:rPr>
          <w:highlight w:val="yellow"/>
        </w:rPr>
        <w:t>Mapping Prior 5 (MP5)</w:t>
      </w:r>
      <w:r>
        <w:t xml:space="preserve">, which predicted a null or weak negative Extraversion–achievement association in online environments. Notably, the direct negative effect reported by Rivers (2021; </w:t>
      </w:r>
      <w:r>
        <w:rPr>
          <w:i/>
        </w:rPr>
        <w:t>β</w:t>
      </w:r>
      <w:r>
        <w:t xml:space="preserve"> = −.168) and the MOOC finding of Yu (2021; standardized </w:t>
      </w:r>
      <w:r>
        <w:rPr>
          <w:i/>
        </w:rPr>
        <w:t>β</w:t>
      </w:r>
      <w:r>
        <w:t xml:space="preserve"> = −.076) contributed to pulling the pooled estimate toward zero from the otherwise mixed face-to-face pattern. Heterogeneity was moderate-to-high (Q(8) = 32.66, </w:t>
      </w:r>
      <w:r>
        <w:rPr>
          <w:i/>
        </w:rPr>
        <w:t>p</w:t>
      </w:r>
      <w:r>
        <w:t xml:space="preserve"> &lt; .001; </w:t>
      </w:r>
      <w:r>
        <w:rPr>
          <w:i/>
        </w:rPr>
        <w:t>I²</w:t>
      </w:r>
      <w:r>
        <w:t xml:space="preserve"> = 75.5%; </w:t>
      </w:r>
      <w:r>
        <w:rPr>
          <w:i/>
        </w:rPr>
        <w:t>τ²</w:t>
      </w:r>
      <w:r>
        <w:t xml:space="preserve"> = .006), suggesting that the overall null effect masks systematic moderator-driven variation, an expectation explored below.</w:t>
      </w:r>
    </w:p>
    <w:p w14:paraId="642414F6" w14:textId="77777777" w:rsidR="00B156D9" w:rsidRDefault="00000000">
      <w:pPr>
        <w:spacing w:after="0" w:line="480" w:lineRule="auto"/>
        <w:ind w:firstLine="720"/>
      </w:pPr>
      <w:r>
        <w:lastRenderedPageBreak/>
        <w:t xml:space="preserve">Agreeableness and online academic achievement. Across </w:t>
      </w:r>
      <w:r>
        <w:rPr>
          <w:i/>
        </w:rPr>
        <w:t>k</w:t>
      </w:r>
      <w:r>
        <w:t xml:space="preserve"> = 9 studies (total </w:t>
      </w:r>
      <w:r>
        <w:rPr>
          <w:i/>
        </w:rPr>
        <w:t>N</w:t>
      </w:r>
      <w:r>
        <w:t xml:space="preserve"> = 3,363), the pooled correlation was </w:t>
      </w:r>
      <w:r>
        <w:rPr>
          <w:i/>
        </w:rPr>
        <w:t>r</w:t>
      </w:r>
      <w:r>
        <w:t xml:space="preserve"> = .112 (95% CI [−.031, .250]). This estimate was slightly larger than the face-to-face benchmark of </w:t>
      </w:r>
      <w:r>
        <w:rPr>
          <w:i/>
        </w:rPr>
        <w:t>ρ</w:t>
      </w:r>
      <w:r>
        <w:t xml:space="preserve"> = .05–.10 (Poropat, 2009; Vedel, 2014; Chen et al., 2025), contrary to </w:t>
      </w:r>
      <w:r w:rsidRPr="005825C8">
        <w:rPr>
          <w:highlight w:val="yellow"/>
        </w:rPr>
        <w:t>Mapping Prior 3 (MP3)</w:t>
      </w:r>
      <w:r>
        <w:t xml:space="preserve">, which predicted a weaker Agreeableness effect in online than in face-to-face contexts. Within the exploratory pool the largest Agreeableness contribution came from a single Chinese MOOC sample (A-28 Yu, 2021; converted </w:t>
      </w:r>
      <w:r>
        <w:rPr>
          <w:i/>
        </w:rPr>
        <w:t>β</w:t>
      </w:r>
      <w:r>
        <w:t xml:space="preserve"> = .442); leave-one-out analysis confirmed Yu as the most influential study for the Agreeableness estimate (removal shifts </w:t>
      </w:r>
      <w:r>
        <w:rPr>
          <w:i/>
        </w:rPr>
        <w:t>r</w:t>
      </w:r>
      <w:r>
        <w:t xml:space="preserve"> from .112 to .038). Wang et al. (2023; </w:t>
      </w:r>
      <w:r>
        <w:rPr>
          <w:i/>
        </w:rPr>
        <w:t>β</w:t>
      </w:r>
      <w:r>
        <w:t xml:space="preserve"> = .112 from Agreeableness to engagement) and Baruth and Cohen (2023; </w:t>
      </w:r>
      <w:r>
        <w:rPr>
          <w:i/>
        </w:rPr>
        <w:t>ρ</w:t>
      </w:r>
      <w:r>
        <w:t xml:space="preserve"> = .458 with satisfaction) provide narrative support for Agreeableness amplification in East Asian and Israeli samples respectively, but neither contributed direct correlations to the exploratory pool. Heterogeneity was extremely high (Q(8) = 208.49, </w:t>
      </w:r>
      <w:r>
        <w:rPr>
          <w:i/>
        </w:rPr>
        <w:t>p</w:t>
      </w:r>
      <w:r>
        <w:t xml:space="preserve"> &lt; .001; </w:t>
      </w:r>
      <w:r>
        <w:rPr>
          <w:i/>
        </w:rPr>
        <w:t>I²</w:t>
      </w:r>
      <w:r>
        <w:t xml:space="preserve"> = 96.2%; </w:t>
      </w:r>
      <w:r>
        <w:rPr>
          <w:i/>
        </w:rPr>
        <w:t>τ²</w:t>
      </w:r>
      <w:r>
        <w:t xml:space="preserve"> = .030).</w:t>
      </w:r>
    </w:p>
    <w:p w14:paraId="574511AF" w14:textId="77777777" w:rsidR="00B156D9" w:rsidRDefault="00000000">
      <w:pPr>
        <w:spacing w:after="0" w:line="480" w:lineRule="auto"/>
        <w:ind w:firstLine="720"/>
      </w:pPr>
      <w:r>
        <w:t xml:space="preserve">Neuroticism and online academic achievement. Across </w:t>
      </w:r>
      <w:r>
        <w:rPr>
          <w:i/>
        </w:rPr>
        <w:t>k</w:t>
      </w:r>
      <w:r>
        <w:t xml:space="preserve"> = 10 studies (total </w:t>
      </w:r>
      <w:r>
        <w:rPr>
          <w:i/>
        </w:rPr>
        <w:t>N</w:t>
      </w:r>
      <w:r>
        <w:t xml:space="preserve"> = 3,384), the pooled correlation was </w:t>
      </w:r>
      <w:r>
        <w:rPr>
          <w:i/>
        </w:rPr>
        <w:t>r</w:t>
      </w:r>
      <w:r>
        <w:t xml:space="preserve"> = .018 (95% CI [−.079, .114]). The direction was null and the magnitude was substantially weaker than the prediction of </w:t>
      </w:r>
      <w:r w:rsidRPr="005825C8">
        <w:rPr>
          <w:highlight w:val="yellow"/>
        </w:rPr>
        <w:t>Mapping Prior 4 (MP4)</w:t>
      </w:r>
      <w:r>
        <w:t xml:space="preserve">, which expected a negative effect more pronounced in fully online than in blended modalities; MP4 was not consistent with the evidence in the primary analysis. Heterogeneity was moderate-to-high (Q(9) = 42.76, </w:t>
      </w:r>
      <w:r>
        <w:rPr>
          <w:i/>
        </w:rPr>
        <w:t>p</w:t>
      </w:r>
      <w:r>
        <w:t xml:space="preserve"> &lt; .001; </w:t>
      </w:r>
      <w:r>
        <w:rPr>
          <w:i/>
        </w:rPr>
        <w:t>I²</w:t>
      </w:r>
      <w:r>
        <w:t xml:space="preserve"> = 79.0%; </w:t>
      </w:r>
      <w:r>
        <w:rPr>
          <w:i/>
        </w:rPr>
        <w:t>τ²</w:t>
      </w:r>
      <w:r>
        <w:t xml:space="preserve"> = .010). Within the 10-study primary Neuroticism pool, signs were mixed: Rodrigues et al. (2024) reported a negative direct association with sign-flipped GPA (</w:t>
      </w:r>
      <w:r>
        <w:rPr>
          <w:i/>
        </w:rPr>
        <w:t>r</w:t>
      </w:r>
      <w:r>
        <w:t xml:space="preserve"> = −.142), and Bahçekapılı and Karaman (2020) likewise reported a negative direct </w:t>
      </w:r>
      <w:r>
        <w:rPr>
          <w:i/>
        </w:rPr>
        <w:t>r</w:t>
      </w:r>
      <w:r>
        <w:t xml:space="preserve"> (−.072), whereas the two β-converted contributions (Yu, 2021 weakly positive </w:t>
      </w:r>
      <w:r>
        <w:rPr>
          <w:i/>
        </w:rPr>
        <w:t>β</w:t>
      </w:r>
      <w:r>
        <w:t xml:space="preserve"> = .037; Kaspar et al., 2023 </w:t>
      </w:r>
      <w:r>
        <w:rPr>
          <w:i/>
        </w:rPr>
        <w:t>β</w:t>
      </w:r>
      <w:r>
        <w:t xml:space="preserve"> = .20 driven by a suppressor effect of covariates) pulled the pooled estimate toward zero. Convergent narrative evidence of negative associations between Neuroticism and well-</w:t>
      </w:r>
      <w:r>
        <w:lastRenderedPageBreak/>
        <w:t xml:space="preserve">being or satisfaction was reported by Baruth and Cohen (2023; </w:t>
      </w:r>
      <w:r>
        <w:rPr>
          <w:i/>
        </w:rPr>
        <w:t>ρ</w:t>
      </w:r>
      <w:r>
        <w:t xml:space="preserve"> = −.542 with general satisfaction; secondary-outcome study, not in the exploratory pool). The β-excluded sensitivity analysis (see below) reduced the pooled </w:t>
      </w:r>
      <w:r>
        <w:rPr>
          <w:i/>
        </w:rPr>
        <w:t>N</w:t>
      </w:r>
      <w:r>
        <w:t xml:space="preserve"> estimate to </w:t>
      </w:r>
      <w:r>
        <w:rPr>
          <w:i/>
        </w:rPr>
        <w:t>r</w:t>
      </w:r>
      <w:r>
        <w:t xml:space="preserve"> = −.043, partially consistent with MP4 under β-free conditions.</w:t>
      </w:r>
    </w:p>
    <w:p w14:paraId="0FC44B22" w14:textId="77777777" w:rsidR="00B156D9" w:rsidRDefault="00000000">
      <w:pPr>
        <w:pStyle w:val="21"/>
        <w:spacing w:line="480" w:lineRule="auto"/>
      </w:pPr>
      <w:r>
        <w:t>Between-Study Heterogeneity</w:t>
      </w:r>
    </w:p>
    <w:p w14:paraId="788301AF" w14:textId="77777777" w:rsidR="00B156D9" w:rsidRDefault="00000000">
      <w:pPr>
        <w:spacing w:after="0" w:line="480" w:lineRule="auto"/>
        <w:ind w:firstLine="720"/>
      </w:pPr>
      <w:r>
        <w:t xml:space="preserve">Substantial between-study heterogeneity was observed across all five trait pools, with </w:t>
      </w:r>
      <w:r>
        <w:rPr>
          <w:i/>
        </w:rPr>
        <w:t>I²</w:t>
      </w:r>
      <w:r>
        <w:t xml:space="preserve"> values ranging from 65.1% (Conscientiousness) to 96.2% (Agreeableness). The consistently high </w:t>
      </w:r>
      <w:r>
        <w:rPr>
          <w:i/>
        </w:rPr>
        <w:t>I²</w:t>
      </w:r>
      <w: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14:paraId="54E48877" w14:textId="77777777" w:rsidR="00B156D9" w:rsidRDefault="00000000">
      <w:pPr>
        <w:pStyle w:val="21"/>
        <w:spacing w:line="480" w:lineRule="auto"/>
      </w:pPr>
      <w:r>
        <w:t>Moderator Analyses</w:t>
      </w:r>
    </w:p>
    <w:p w14:paraId="5E541AAA" w14:textId="77777777" w:rsidR="00B156D9" w:rsidRDefault="00000000">
      <w:pPr>
        <w:spacing w:after="0" w:line="480" w:lineRule="auto"/>
        <w:ind w:firstLine="720"/>
      </w:pPr>
      <w: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i/>
        </w:rPr>
        <w:t>k</w:t>
      </w:r>
      <w:r>
        <w:t xml:space="preserve"> ≥ 10 per predictor level requirement, and are reported narratively below and in the Methods Deviations subsection. Full moderator results are presented in Table 3.</w:t>
      </w:r>
    </w:p>
    <w:p w14:paraId="5B8FD900" w14:textId="77777777" w:rsidR="00B156D9" w:rsidRDefault="00000000">
      <w:pPr>
        <w:spacing w:after="0" w:line="480" w:lineRule="auto"/>
        <w:ind w:firstLine="720"/>
      </w:pPr>
      <w:r>
        <w:lastRenderedPageBreak/>
        <w:t xml:space="preserve">Region. The Asian-sample pattern reported by Mammadov (2022) and Chen et al. (2025) was evaluated with </w:t>
      </w:r>
      <w:r>
        <w:rPr>
          <w:i/>
        </w:rPr>
        <w:t>k</w:t>
      </w:r>
      <w:r>
        <w:t xml:space="preserve"> = 2 Asian studies against </w:t>
      </w:r>
      <w:r>
        <w:rPr>
          <w:i/>
        </w:rPr>
        <w:t>k</w:t>
      </w:r>
      <w:r>
        <w:t xml:space="preserve"> = 7–8 non-Asian studies per trait. A highly significant region effect emerged for Extraversion: in the Asian subgroup the pooled correlation was </w:t>
      </w:r>
      <w:r>
        <w:rPr>
          <w:i/>
        </w:rPr>
        <w:t>r</w:t>
      </w:r>
      <w:r>
        <w:t xml:space="preserve"> = −.131 (95% CI [−.314, .061]), whereas in the non-Asian subgroup it was </w:t>
      </w:r>
      <w:r>
        <w:rPr>
          <w:i/>
        </w:rPr>
        <w:t>r</w:t>
      </w:r>
      <w:r>
        <w:t xml:space="preserve"> = .050 (95% CI [−.004, .104]); Q_between(1) = 46.43, </w:t>
      </w:r>
      <w:r>
        <w:rPr>
          <w:i/>
        </w:rPr>
        <w:t>p</w:t>
      </w:r>
      <w: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i/>
        </w:rPr>
        <w:t>r</w:t>
      </w:r>
      <w:r>
        <w:t xml:space="preserve"> = .089 vs. non-Asia </w:t>
      </w:r>
      <w:r>
        <w:rPr>
          <w:i/>
        </w:rPr>
        <w:t>r</w:t>
      </w:r>
      <w:r>
        <w:t xml:space="preserve"> = −.007; Q_between(1) = 3.31, </w:t>
      </w:r>
      <w:r>
        <w:rPr>
          <w:i/>
        </w:rPr>
        <w:t>p</w:t>
      </w:r>
      <w:r>
        <w:t xml:space="preserve"> = .069) and for Agreeableness (Asia </w:t>
      </w:r>
      <w:r>
        <w:rPr>
          <w:i/>
        </w:rPr>
        <w:t>r</w:t>
      </w:r>
      <w:r>
        <w:t xml:space="preserve"> = .330 vs. non-Asia </w:t>
      </w:r>
      <w:r>
        <w:rPr>
          <w:i/>
        </w:rPr>
        <w:t>r</w:t>
      </w:r>
      <w:r>
        <w:t xml:space="preserve"> = .030; Q_between(1) = 2.17, </w:t>
      </w:r>
      <w:r>
        <w:rPr>
          <w:i/>
        </w:rPr>
        <w:t>p</w:t>
      </w:r>
      <w:r>
        <w:t xml:space="preserve"> = .140). Counterintuitively, the Conscientiousness effect was slightly weaker in the Asian subgroup (</w:t>
      </w:r>
      <w:r>
        <w:rPr>
          <w:i/>
        </w:rPr>
        <w:t>r</w:t>
      </w:r>
      <w:r>
        <w:t xml:space="preserve"> = .111) than in the non-Asian subgroup (</w:t>
      </w:r>
      <w:r>
        <w:rPr>
          <w:i/>
        </w:rPr>
        <w:t>r</w:t>
      </w:r>
      <w:r>
        <w:t xml:space="preserve"> = .185); Q_between(1) = 2.68, </w:t>
      </w:r>
      <w:r>
        <w:rPr>
          <w:i/>
        </w:rPr>
        <w:t>p</w:t>
      </w:r>
      <w:r>
        <w:t xml:space="preserve"> = .102. The </w:t>
      </w:r>
      <w:r>
        <w:rPr>
          <w:i/>
        </w:rPr>
        <w:t>k</w:t>
      </w:r>
      <w:r>
        <w:t xml:space="preserve"> = 2 Asian subsample limits power, and replication is required.</w:t>
      </w:r>
    </w:p>
    <w:p w14:paraId="3884CEC2" w14:textId="77777777" w:rsidR="00B156D9" w:rsidRDefault="00000000">
      <w:pPr>
        <w:spacing w:after="0" w:line="480" w:lineRule="auto"/>
        <w:ind w:firstLine="720"/>
      </w:pPr>
      <w:r>
        <w:t xml:space="preserve">Era. The pre-COVID vs. COVID-era contrast yielded no significant moderation for any trait (all </w:t>
      </w:r>
      <w:r>
        <w:rPr>
          <w:i/>
        </w:rPr>
        <w:t>Q_between</w:t>
      </w:r>
      <w:r>
        <w:t xml:space="preserve"> </w:t>
      </w:r>
      <w:r>
        <w:rPr>
          <w:i/>
        </w:rPr>
        <w:t>p</w:t>
      </w:r>
      <w:r>
        <w:t xml:space="preserve"> &gt; .15). Notably, Conscientiousness effects were comparable across eras (pre-COVID </w:t>
      </w:r>
      <w:r>
        <w:rPr>
          <w:i/>
        </w:rPr>
        <w:t>r</w:t>
      </w:r>
      <w:r>
        <w:t xml:space="preserve"> = .208 vs. COVID </w:t>
      </w:r>
      <w:r>
        <w:rPr>
          <w:i/>
        </w:rPr>
        <w:t>r</w:t>
      </w:r>
      <w:r>
        <w:t xml:space="preserve"> = .179; Q_between(1) = 0.13, </w:t>
      </w:r>
      <w:r>
        <w:rPr>
          <w:i/>
        </w:rPr>
        <w:t>p</w:t>
      </w:r>
      <w:r>
        <w:t xml:space="preserve"> = .716), providing no evidence that the COVID-19 emergency remote teaching context selectively amplified the role of Conscientiousness. The Neuroticism-era pattern was consistent with an attenuation hypothesis (pre-COVID </w:t>
      </w:r>
      <w:r>
        <w:rPr>
          <w:i/>
        </w:rPr>
        <w:t>r</w:t>
      </w:r>
      <w:r>
        <w:t xml:space="preserve"> = −.050 vs. COVID </w:t>
      </w:r>
      <w:r>
        <w:rPr>
          <w:i/>
        </w:rPr>
        <w:t>r</w:t>
      </w:r>
      <w:r>
        <w:t xml:space="preserve"> = .060; Q_between(1) = 2.04, </w:t>
      </w:r>
      <w:r>
        <w:rPr>
          <w:i/>
        </w:rPr>
        <w:t>p</w:t>
      </w:r>
      <w:r>
        <w:t xml:space="preserve"> = .153), but did not reach conventional significance. The post-COVID era could not be isolated as a moderator subgroup because no explicitly post-COVID study contributed direct or β-converted Pearson correlations to the exploratory quantitative pool (the 4 post-COVID studies in the scoping-synthesis retained set — A-13 Dang et al., 2025; A-17 Kara, 2024; A-25 Tokiwa, 2025; A-26 Wang et al., 2023 — are described narratively only).</w:t>
      </w:r>
    </w:p>
    <w:p w14:paraId="59FCC8AF" w14:textId="77777777" w:rsidR="00B156D9" w:rsidRDefault="00000000">
      <w:pPr>
        <w:spacing w:after="0" w:line="480" w:lineRule="auto"/>
        <w:ind w:firstLine="720"/>
      </w:pPr>
      <w:r>
        <w:lastRenderedPageBreak/>
        <w:t xml:space="preserve">Outcome type. A second highly significant moderator effect emerged for Extraversion: in objective achievement outcomes (GPA, MOOC composite, course grade; </w:t>
      </w:r>
      <w:r>
        <w:rPr>
          <w:i/>
        </w:rPr>
        <w:t>k</w:t>
      </w:r>
      <w:r>
        <w:t xml:space="preserve"> = 7) the pooled correlation was </w:t>
      </w:r>
      <w:r>
        <w:rPr>
          <w:i/>
        </w:rPr>
        <w:t>r</w:t>
      </w:r>
      <w:r>
        <w:t xml:space="preserve"> = −.038 (95% CI calculation yielded narrow bounds near zero), whereas in self-rated performance outcomes (</w:t>
      </w:r>
      <w:r>
        <w:rPr>
          <w:i/>
        </w:rPr>
        <w:t>k</w:t>
      </w:r>
      <w:r>
        <w:t xml:space="preserve"> = 2) it was </w:t>
      </w:r>
      <w:r>
        <w:rPr>
          <w:i/>
        </w:rPr>
        <w:t>r</w:t>
      </w:r>
      <w:r>
        <w:t xml:space="preserve"> = .117; Q_between(1) = 17.30, </w:t>
      </w:r>
      <w:r>
        <w:rPr>
          <w:i/>
        </w:rPr>
        <w:t>p</w:t>
      </w:r>
      <w: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i/>
        </w:rPr>
        <w:t>Q_between</w:t>
      </w:r>
      <w:r>
        <w:t xml:space="preserve"> </w:t>
      </w:r>
      <w:r>
        <w:rPr>
          <w:i/>
        </w:rPr>
        <w:t>p</w:t>
      </w:r>
      <w:r>
        <w:t xml:space="preserve"> &gt; .12). The six remaining pre-registered moderators could not be tested quantitatively due to insufficient </w:t>
      </w:r>
      <w:r>
        <w:rPr>
          <w:i/>
        </w:rPr>
        <w:t>k</w:t>
      </w:r>
      <w:r>
        <w:t xml:space="preserve"> per level; the narrative description is provided in Methods.</w:t>
      </w:r>
    </w:p>
    <w:p w14:paraId="51ABC41B" w14:textId="77777777" w:rsidR="00B156D9" w:rsidRDefault="00000000">
      <w:pPr>
        <w:pStyle w:val="21"/>
        <w:spacing w:line="480" w:lineRule="auto"/>
      </w:pPr>
      <w:r>
        <w:t>Sensitivity Analyses</w:t>
      </w:r>
    </w:p>
    <w:p w14:paraId="458F142E" w14:textId="77777777" w:rsidR="00B156D9" w:rsidRDefault="00000000">
      <w:pPr>
        <w:spacing w:after="0" w:line="480" w:lineRule="auto"/>
        <w:ind w:firstLine="720"/>
      </w:pPr>
      <w: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exploratory pool. Third, excluding studies whose effect sizes had been Peterson-Brown-converted from </w:t>
      </w:r>
      <w:r>
        <w:rPr>
          <w:i/>
        </w:rPr>
        <w:t>β</w:t>
      </w:r>
      <w:r>
        <w:t xml:space="preserve"> to </w:t>
      </w:r>
      <w:r>
        <w:rPr>
          <w:i/>
        </w:rPr>
        <w:t>r</w:t>
      </w:r>
      <w:r>
        <w:t xml:space="preserve"> produced larger changes, particularly for Neuroticism (pooled </w:t>
      </w:r>
      <w:r>
        <w:rPr>
          <w:i/>
        </w:rPr>
        <w:t>r</w:t>
      </w:r>
      <w: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w:t>
      </w:r>
      <w:r>
        <w:lastRenderedPageBreak/>
        <w:t xml:space="preserve">Fourth, the leave-one-out analysis (Table S3) identified Yu (2021) as the single most influential study for both the Agreeableness pool (removal shifted </w:t>
      </w:r>
      <w:r>
        <w:rPr>
          <w:i/>
        </w:rPr>
        <w:t>r</w:t>
      </w:r>
      <w:r>
        <w:t xml:space="preserve"> from .112 to .038, |Δr| = .074) and the Extraversion pool (removal shifted </w:t>
      </w:r>
      <w:r>
        <w:rPr>
          <w:i/>
        </w:rPr>
        <w:t>r</w:t>
      </w:r>
      <w:r>
        <w:t xml:space="preserve"> from .002 to .031, |Δr| = .028), reflecting Yu's MOOC composite as the largest β-converted objective-outcome contribution in the synthesis. No other study produced |Δr| &gt; .05 on any trait.</w:t>
      </w:r>
    </w:p>
    <w:p w14:paraId="1D05F06B" w14:textId="77777777" w:rsidR="00B156D9" w:rsidRDefault="00000000">
      <w:pPr>
        <w:pStyle w:val="21"/>
        <w:spacing w:line="480" w:lineRule="auto"/>
      </w:pPr>
      <w:r>
        <w:t>Publication Bias Assessment</w:t>
      </w:r>
    </w:p>
    <w:p w14:paraId="07E50C32" w14:textId="77777777" w:rsidR="00B156D9" w:rsidRDefault="00000000">
      <w:pPr>
        <w:spacing w:after="0" w:line="480" w:lineRule="auto"/>
        <w:ind w:firstLine="720"/>
      </w:pPr>
      <w:r>
        <w:t xml:space="preserve">Funnel plots for each trait are presented in Figures 7A through 7E. Egger's regression asymmetry test was significant for Openness (intercept = −6.41, SE = 2.63, t(7) = −2.43, </w:t>
      </w:r>
      <w:r>
        <w:rPr>
          <w:i/>
        </w:rPr>
        <w:t>p</w:t>
      </w:r>
      <w:r>
        <w:t xml:space="preserve"> = .045) and approached significance for Agreeableness (intercept = −8.53, SE = 4.03, t(7) = −2.12, </w:t>
      </w:r>
      <w:r>
        <w:rPr>
          <w:i/>
        </w:rPr>
        <w:t>p</w:t>
      </w:r>
      <w:r>
        <w:t xml:space="preserve"> = .072). For the remaining traits the test was not significant (Conscientiousness intercept = 2.14, </w:t>
      </w:r>
      <w:r>
        <w:rPr>
          <w:i/>
        </w:rPr>
        <w:t>p</w:t>
      </w:r>
      <w:r>
        <w:t xml:space="preserve"> = .094; Extraversion intercept = 2.29, </w:t>
      </w:r>
      <w:r>
        <w:rPr>
          <w:i/>
        </w:rPr>
        <w:t>p</w:t>
      </w:r>
      <w:r>
        <w:t xml:space="preserve"> = .255; Neuroticism intercept = −1.79, </w:t>
      </w:r>
      <w:r>
        <w:rPr>
          <w:i/>
        </w:rPr>
        <w:t>p</w:t>
      </w:r>
      <w:r>
        <w:t xml:space="preserve"> = .304). Given the low statistical power of Egger's test with </w:t>
      </w:r>
      <w:r>
        <w:rPr>
          <w:i/>
        </w:rPr>
        <w:t>k</w:t>
      </w:r>
      <w:r>
        <w:t xml:space="preserve"> = 9–10, a non-significant result does not rule out publication bias, particularly for effects for which the direction of asymmetry is consistent with expected small-study positive bias (Conscientiousness).</w:t>
      </w:r>
    </w:p>
    <w:p w14:paraId="79118D0A" w14:textId="77777777" w:rsidR="00B156D9" w:rsidRDefault="00000000">
      <w:pPr>
        <w:spacing w:after="0" w:line="480" w:lineRule="auto"/>
        <w:ind w:firstLine="720"/>
      </w:pPr>
      <w:r>
        <w:t xml:space="preserve">Duval and Tweedie's (2000) trim-and-fill procedure imputed hypothetical missing studies on the under-represented side of the funnel for three of the five traits: one additional study for Openness (adjusted </w:t>
      </w:r>
      <w:r>
        <w:rPr>
          <w:i/>
        </w:rPr>
        <w:t>r</w:t>
      </w:r>
      <w:r>
        <w:t xml:space="preserve"> = .107 vs. original </w:t>
      </w:r>
      <w:r>
        <w:rPr>
          <w:i/>
        </w:rPr>
        <w:t>r</w:t>
      </w:r>
      <w:r>
        <w:t xml:space="preserve"> = .086), two for Extraversion (adjusted </w:t>
      </w:r>
      <w:r>
        <w:rPr>
          <w:i/>
        </w:rPr>
        <w:t>r</w:t>
      </w:r>
      <w:r>
        <w:t xml:space="preserve"> = −.036 vs. original </w:t>
      </w:r>
      <w:r>
        <w:rPr>
          <w:i/>
        </w:rPr>
        <w:t>r</w:t>
      </w:r>
      <w:r>
        <w:t xml:space="preserve"> = .002), and zero for Conscientiousness, Agreeableness, and Neuroticism. The adjusted Extraversion estimate moved slightly in the negative direction expected under </w:t>
      </w:r>
      <w:r w:rsidRPr="005825C8">
        <w:rPr>
          <w:highlight w:val="yellow"/>
        </w:rPr>
        <w:t>Mapping Prior 5</w:t>
      </w:r>
      <w:r>
        <w:t xml:space="preserve">, further supporting the hypothesis when asymmetry is considered. Trim-and-fill adjusted estimates are reported as a sensitivity check only and do not replace the exploratory pooled estimates. Grey-literature inclusion (A-19 MacLean 2022 MSc thesis; peer-reviewed conference </w:t>
      </w:r>
      <w:r>
        <w:lastRenderedPageBreak/>
        <w:t>proceedings) partially mitigates file-drawer bias; unpublished manuscripts and non-peer-reviewed preprints were excluded for quality reasons, a trade-off acknowledged as a limitation.</w:t>
      </w:r>
    </w:p>
    <w:p w14:paraId="315C9F49" w14:textId="77777777" w:rsidR="00B156D9" w:rsidRDefault="00000000">
      <w:pPr>
        <w:pStyle w:val="21"/>
        <w:spacing w:line="480" w:lineRule="auto"/>
      </w:pPr>
      <w:r>
        <w:t>Completeness-of-Evidence Summary</w:t>
      </w:r>
    </w:p>
    <w:p w14:paraId="495787AA" w14:textId="77777777" w:rsidR="00B156D9" w:rsidRDefault="00000000">
      <w:pPr>
        <w:spacing w:after="0" w:line="480" w:lineRule="auto"/>
        <w:ind w:firstLine="720"/>
      </w:pPr>
      <w: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i/>
        </w:rPr>
        <w:t>I²</w:t>
      </w:r>
      <w:r>
        <w:t xml:space="preserve"> = 65.1% with a PI that just crosses zero), direct relevance to the review question, adequate precision (CI width = .15 &lt; 2 × MOI of .10), and borderline publication-bias signal (Egger </w:t>
      </w:r>
      <w:r>
        <w:rPr>
          <w:i/>
        </w:rPr>
        <w:t>p</w:t>
      </w:r>
      <w:r>
        <w:t xml:space="preserve"> = .094). Confidence in the pooled Openness estimate was rated Low due to very high inconsistency (</w:t>
      </w:r>
      <w:r>
        <w:rPr>
          <w:i/>
        </w:rPr>
        <w:t>I²</w:t>
      </w:r>
      <w:r>
        <w:t xml:space="preserve"> = 92.0%), wide imprecision (CI = [−.044, .214]), and significant Egger asymmetry (</w:t>
      </w:r>
      <w:r>
        <w:rPr>
          <w:i/>
        </w:rPr>
        <w:t>p</w:t>
      </w:r>
      <w:r>
        <w:t xml:space="preserve"> = .045). Confidence in the pooled Extraversion estimate was rated Moderate, because the null result is robust to trim-and-fill adjustment, consistent with pre-registered MP5, and supported by a highly significant region × Extraversion moderator effect. Confidence in the pooled Agreeableness estimate was rated Low, reflecting the extreme </w:t>
      </w:r>
      <w:r>
        <w:rPr>
          <w:i/>
        </w:rPr>
        <w:t>I²</w:t>
      </w:r>
      <w:r>
        <w:t xml:space="preserve"> (96.2%) and trend-level Egger asymmetry (</w:t>
      </w:r>
      <w:r>
        <w:rPr>
          <w:i/>
        </w:rPr>
        <w:t>p</w:t>
      </w:r>
      <w:r>
        <w:t xml:space="preserve"> = .072). Confidence in the pooled Neuroticism estimate was rated Low, reflecting moderate-to-high inconsistency (</w:t>
      </w:r>
      <w:r>
        <w:rPr>
          <w:i/>
        </w:rPr>
        <w:t>I²</w:t>
      </w:r>
      <w: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14:paraId="3DFC5DEC" w14:textId="77777777" w:rsidR="00B156D9" w:rsidRDefault="00000000">
      <w:pPr>
        <w:pStyle w:val="1"/>
        <w:spacing w:line="480" w:lineRule="auto"/>
      </w:pPr>
      <w:r>
        <w:t>Discussion</w:t>
      </w:r>
    </w:p>
    <w:p w14:paraId="15AC066C" w14:textId="77777777" w:rsidR="00B156D9" w:rsidRDefault="00000000">
      <w:pPr>
        <w:pStyle w:val="21"/>
        <w:spacing w:line="480" w:lineRule="auto"/>
      </w:pPr>
      <w:r>
        <w:t>Summary of Findings</w:t>
      </w:r>
    </w:p>
    <w:p w14:paraId="037F0EFE" w14:textId="77777777" w:rsidR="00B156D9" w:rsidRDefault="00000000">
      <w:pPr>
        <w:spacing w:after="0" w:line="480" w:lineRule="auto"/>
        <w:ind w:firstLine="720"/>
      </w:pPr>
      <w:r>
        <w:t xml:space="preserve">The present scoping review with exploratory quantitative synthesis provides , to the author's knowledge, the first quantitative synthesis of the association between Big Five </w:t>
      </w:r>
      <w:r>
        <w:lastRenderedPageBreak/>
        <w:t xml:space="preserve">personality traits and academic achievement in online learning environments. Across 31 catalogued primary studies — 25 retained for qualitative synthesis, of which 10 contributed direct or β-converted Pearson correlations to the exploratory achievement pool (total pooled </w:t>
      </w:r>
      <w:r>
        <w:rPr>
          <w:i/>
        </w:rPr>
        <w:t>N</w:t>
      </w:r>
      <w:r>
        <w:t xml:space="preserve"> = 3,384), the pooled correlation between Conscientiousness and online academic achievement was </w:t>
      </w:r>
      <w:r>
        <w:rPr>
          <w:i/>
        </w:rPr>
        <w:t>r</w:t>
      </w:r>
      <w:r>
        <w:t xml:space="preserve"> = .167 (95% CI [.089, .243]). Comparable estimates were obtained for Openness (</w:t>
      </w:r>
      <w:r>
        <w:rPr>
          <w:i/>
        </w:rPr>
        <w:t>r</w:t>
      </w:r>
      <w:r>
        <w:t xml:space="preserve"> = .086 [−.044, .214]), Agreeableness (</w:t>
      </w:r>
      <w:r>
        <w:rPr>
          <w:i/>
        </w:rPr>
        <w:t>r</w:t>
      </w:r>
      <w:r>
        <w:t xml:space="preserve"> = .112 [−.031, .250]), Neuroticism (</w:t>
      </w:r>
      <w:r>
        <w:rPr>
          <w:i/>
        </w:rPr>
        <w:t>r</w:t>
      </w:r>
      <w:r>
        <w:t xml:space="preserve"> = .018 [−.079, .114]), and Extraversion (</w:t>
      </w:r>
      <w:r>
        <w:rPr>
          <w:i/>
        </w:rPr>
        <w:t>r</w:t>
      </w:r>
      <w: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i/>
        </w:rPr>
        <w:t>ρ</w:t>
      </w:r>
      <w:r>
        <w:t xml:space="preserve"> of .20–.28, and Agreeableness showed a slightly larger effect than in face-to-face samples, driven primarily by a single influential Chinese MOOC sample (Yu, 2021) within the exploratory pool, with convergent narrative evidence from East Asian (Wang et al., 2023) and Israeli (Baruth &amp; Cohen, 2023) secondary-outcome studies. Two pre-registered moderator effects were highly significant: Extraversion × Region (</w:t>
      </w:r>
      <w:r>
        <w:rPr>
          <w:i/>
        </w:rPr>
        <w:t>Q_between</w:t>
      </w:r>
      <w:r>
        <w:t xml:space="preserve"> = 46.43, </w:t>
      </w:r>
      <w:r>
        <w:rPr>
          <w:i/>
        </w:rPr>
        <w:t>p</w:t>
      </w:r>
      <w:r>
        <w:t xml:space="preserve"> &lt; .001), with Asian samples showing </w:t>
      </w:r>
      <w:r>
        <w:rPr>
          <w:i/>
        </w:rPr>
        <w:t>r</w:t>
      </w:r>
      <w:r>
        <w:t xml:space="preserve"> = −.131 vs. non-Asian </w:t>
      </w:r>
      <w:r>
        <w:rPr>
          <w:i/>
        </w:rPr>
        <w:t>r</w:t>
      </w:r>
      <w:r>
        <w:t xml:space="preserve"> = .050, and Extraversion × Outcome Type (</w:t>
      </w:r>
      <w:r>
        <w:rPr>
          <w:i/>
        </w:rPr>
        <w:t>Q_between</w:t>
      </w:r>
      <w:r>
        <w:t xml:space="preserve"> = 17.30, </w:t>
      </w:r>
      <w:r>
        <w:rPr>
          <w:i/>
        </w:rPr>
        <w:t>p</w:t>
      </w:r>
      <w:r>
        <w:t xml:space="preserve"> &lt; .001), with objective outcomes showing </w:t>
      </w:r>
      <w:r>
        <w:rPr>
          <w:i/>
        </w:rPr>
        <w:t>r</w:t>
      </w:r>
      <w:r>
        <w:t xml:space="preserve"> = −.038 vs. self-rated </w:t>
      </w:r>
      <w:r>
        <w:rPr>
          <w:i/>
        </w:rPr>
        <w:t>r</w:t>
      </w:r>
      <w:r>
        <w:t xml:space="preserve"> = .117.</w:t>
      </w:r>
    </w:p>
    <w:p w14:paraId="3C6ECAC4" w14:textId="77777777" w:rsidR="00B156D9" w:rsidRDefault="00000000">
      <w:pPr>
        <w:pStyle w:val="21"/>
        <w:spacing w:line="480" w:lineRule="auto"/>
      </w:pPr>
      <w:r>
        <w:t>Evaluation of Pre-registered Hypotheses</w:t>
      </w:r>
    </w:p>
    <w:p w14:paraId="0165864B" w14:textId="77777777" w:rsidR="00B156D9" w:rsidRDefault="00000000">
      <w:pPr>
        <w:spacing w:after="0" w:line="480" w:lineRule="auto"/>
        <w:ind w:firstLine="720"/>
      </w:pPr>
      <w:r w:rsidRPr="005825C8">
        <w:rPr>
          <w:highlight w:val="yellow"/>
        </w:rPr>
        <w:t>Mapping Prior 1</w:t>
      </w:r>
      <w:r>
        <w:t xml:space="preserve"> (Conscientiousness as strongest positive predictor). The pooled Conscientiousness–achievement correlation of </w:t>
      </w:r>
      <w:r>
        <w:rPr>
          <w:i/>
        </w:rPr>
        <w:t>r</w:t>
      </w:r>
      <w: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w:t>
      </w:r>
      <w:r>
        <w:lastRenderedPageBreak/>
        <w:t xml:space="preserve">benchmark range of .19–.28 documented across eight prior meta-analyses, MP1 is judged partially supported. The magnitude of the C effect in online environments was slightly smaller than face-to-face benchmarks reported by Poropat (2009; </w:t>
      </w:r>
      <w:r>
        <w:rPr>
          <w:i/>
        </w:rPr>
        <w:t>ρ</w:t>
      </w:r>
      <w:r>
        <w:t xml:space="preserve"> = .22), McAbee and Oswald (2013; </w:t>
      </w:r>
      <w:r>
        <w:rPr>
          <w:i/>
        </w:rPr>
        <w:t>ρ</w:t>
      </w:r>
      <w:r>
        <w:t xml:space="preserve"> = .26), Vedel (2014; </w:t>
      </w:r>
      <w:r>
        <w:rPr>
          <w:i/>
        </w:rPr>
        <w:t>ρ</w:t>
      </w:r>
      <w:r>
        <w:t xml:space="preserve"> = .26), Mammadov (2022; </w:t>
      </w:r>
      <w:r>
        <w:rPr>
          <w:i/>
        </w:rPr>
        <w:t>ρ</w:t>
      </w:r>
      <w:r>
        <w:t xml:space="preserve"> = .27), and Chen et al. (2025; </w:t>
      </w:r>
      <w:r>
        <w:rPr>
          <w:i/>
        </w:rPr>
        <w:t>r</w:t>
      </w:r>
      <w:r>
        <w:t xml:space="preserve"> = .206), a pattern consistent with the theoretical prediction that online auto-grading reduces the teacher-observation pathway through which Conscientiousness is channeled into grades (see Theoretical Implications below).</w:t>
      </w:r>
    </w:p>
    <w:p w14:paraId="2EDD8A7E" w14:textId="77777777" w:rsidR="00B156D9" w:rsidRDefault="00000000">
      <w:pPr>
        <w:spacing w:after="0" w:line="480" w:lineRule="auto"/>
        <w:ind w:firstLine="720"/>
      </w:pPr>
      <w:r w:rsidRPr="005825C8">
        <w:rPr>
          <w:highlight w:val="yellow"/>
        </w:rPr>
        <w:t>Mapping Prior 2</w:t>
      </w:r>
      <w:r>
        <w:t xml:space="preserve"> (Openness as second-strongest positive predictor). The pooled Openness–achievement correlation (</w:t>
      </w:r>
      <w:r>
        <w:rPr>
          <w:i/>
        </w:rPr>
        <w:t>r</w:t>
      </w:r>
      <w:r>
        <w:t xml:space="preserve"> = .086) was the third-largest positive effect in the present synthesis, surpassed by both Conscientiousness (</w:t>
      </w:r>
      <w:r>
        <w:rPr>
          <w:i/>
        </w:rPr>
        <w:t>r</w:t>
      </w:r>
      <w:r>
        <w:t xml:space="preserve"> = .167) and Agreeableness (</w:t>
      </w:r>
      <w:r>
        <w:rPr>
          <w:i/>
        </w:rPr>
        <w:t>r</w:t>
      </w:r>
      <w:r>
        <w:t xml:space="preserve"> = .112). The 95% confidence interval crossed zero, and the estimate was comparable to the face-to-face benchmark of Mammadov (2022; </w:t>
      </w:r>
      <w:r>
        <w:rPr>
          <w:i/>
        </w:rPr>
        <w:t>ρ</w:t>
      </w:r>
      <w:r>
        <w:t xml:space="preserve"> = .16) but substantially below the K-12 estimate of Meyer et al. (2023; </w:t>
      </w:r>
      <w:r>
        <w:rPr>
          <w:i/>
        </w:rPr>
        <w:t>ρ</w:t>
      </w:r>
      <w:r>
        <w:t xml:space="preserve"> = .21). MP2 is not supported. The prediction that online environments would amplify the Openness effect through a premium on self-directed exploration was not borne out; the failure to support MP2 may partly reflect the near-universal use of undergraduate rather than K-12 samples in the online corpus, since Openness effects are known to decline with educational level (Mammadov, 2022; Meyer et al., 2023).</w:t>
      </w:r>
    </w:p>
    <w:p w14:paraId="0416D3CD" w14:textId="77777777" w:rsidR="00B156D9" w:rsidRDefault="00000000">
      <w:pPr>
        <w:spacing w:after="0" w:line="480" w:lineRule="auto"/>
        <w:ind w:firstLine="720"/>
      </w:pPr>
      <w:r w:rsidRPr="005825C8">
        <w:rPr>
          <w:highlight w:val="yellow"/>
        </w:rPr>
        <w:t>Mapping Prior 3</w:t>
      </w:r>
      <w:r>
        <w:t xml:space="preserve"> (Agreeableness as small positive effect, weaker than FtF). The pooled Agreeableness–achievement correlation was </w:t>
      </w:r>
      <w:r>
        <w:rPr>
          <w:i/>
        </w:rPr>
        <w:t>r</w:t>
      </w:r>
      <w: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i/>
        </w:rPr>
        <w:t>β</w:t>
      </w:r>
      <w:r>
        <w:t xml:space="preserve"> = .442); leave-one-out analysis confirms </w:t>
      </w:r>
      <w:r>
        <w:lastRenderedPageBreak/>
        <w:t xml:space="preserve">that removing Yu drops the pooled </w:t>
      </w:r>
      <w:r>
        <w:rPr>
          <w:i/>
        </w:rPr>
        <w:t>r</w:t>
      </w:r>
      <w:r>
        <w:t xml:space="preserve"> from .112 to .038. Convergent narrative evidence for Agreeableness amplification in East Asian online learners is provided by Wang et al. (2023; </w:t>
      </w:r>
      <w:r>
        <w:rPr>
          <w:i/>
        </w:rPr>
        <w:t>β</w:t>
      </w:r>
      <w:r>
        <w:t xml:space="preserve"> = .112 from Agreeableness to engagement; K-12 sample retained for qualitative synthesis but not in the exploratory pool) and in Israeli samples by Baruth and Cohen (2023; </w:t>
      </w:r>
      <w:r>
        <w:rPr>
          <w:i/>
        </w:rPr>
        <w:t>ρ</w:t>
      </w:r>
      <w:r>
        <w:t xml:space="preserve"> = .458 with satisfaction; retained as a secondary-outcome study, not in the exploratory pool). These directional findings converge with Mammadov's (2022) Asian-sample amplification pattern and with Chen et al.'s (2025) cultural-moderation findings. The region moderator analysis (Asia </w:t>
      </w:r>
      <w:r>
        <w:rPr>
          <w:i/>
        </w:rPr>
        <w:t>r</w:t>
      </w:r>
      <w:r>
        <w:t xml:space="preserve"> = .330 vs. non-Asia </w:t>
      </w:r>
      <w:r>
        <w:rPr>
          <w:i/>
        </w:rPr>
        <w:t>r</w:t>
      </w:r>
      <w:r>
        <w:t xml:space="preserve"> = .030) was directionally consistent with this interpretation but did not reach statistical significance (</w:t>
      </w:r>
      <w:r>
        <w:rPr>
          <w:i/>
        </w:rPr>
        <w:t>Q_between</w:t>
      </w:r>
      <w:r>
        <w:t xml:space="preserve"> = 2.17, </w:t>
      </w:r>
      <w:r>
        <w:rPr>
          <w:i/>
        </w:rPr>
        <w:t>p</w:t>
      </w:r>
      <w:r>
        <w:t xml:space="preserve"> = .140), owing to the small Asian subsample (</w:t>
      </w:r>
      <w:r>
        <w:rPr>
          <w:i/>
        </w:rPr>
        <w:t>k</w:t>
      </w:r>
      <w:r>
        <w:t xml:space="preserve"> = 2).</w:t>
      </w:r>
    </w:p>
    <w:p w14:paraId="7AC81E26" w14:textId="77777777" w:rsidR="00B156D9" w:rsidRDefault="00000000">
      <w:pPr>
        <w:spacing w:after="0" w:line="480" w:lineRule="auto"/>
        <w:ind w:firstLine="720"/>
      </w:pPr>
      <w:r w:rsidRPr="005825C8">
        <w:rPr>
          <w:highlight w:val="yellow"/>
        </w:rPr>
        <w:t>Mapping Prior 4</w:t>
      </w:r>
      <w:r>
        <w:t xml:space="preserve"> (Neuroticism as negative, more pronounced in fully online). The pooled Neuroticism–achievement correlation was </w:t>
      </w:r>
      <w:r>
        <w:rPr>
          <w:i/>
        </w:rPr>
        <w:t>r</w:t>
      </w:r>
      <w:r>
        <w:t xml:space="preserve"> = .018, approximately null. The first component of MP4 — an overall negative pooled effect — is not supported by the primary analysis. The second component of MP4 — a more pronounced negative effect in fully online than in blended modalities — could not be evaluated quantitatively because only one study (A-02 Alkış &amp; Taşkaya Temizel, 2018) contributed a separately extractable blended subsample, precluding a fully-online-vs-blended modality contrast. Notably, the β-excluded sensitivity analysis (restricting the pool to studies with direct Pearson </w:t>
      </w:r>
      <w:r>
        <w:rPr>
          <w:i/>
        </w:rPr>
        <w:t>r</w:t>
      </w:r>
      <w:r>
        <w:t xml:space="preserve">) shifted the pooled Neuroticism estimate to </w:t>
      </w:r>
      <w:r>
        <w:rPr>
          <w:i/>
        </w:rPr>
        <w:t>r</w:t>
      </w:r>
      <w:r>
        <w:t xml:space="preserve"> = −.043, providing partial directional support for the MP4 sign prediction under the stricter analytic specification. The discrepancy between the primary and sensitivity analyses suggests that Peterson-Brown-converted </w:t>
      </w:r>
      <w:r>
        <w:rPr>
          <w:i/>
        </w:rPr>
        <w:t>β</w:t>
      </w:r>
      <w:r>
        <w:t xml:space="preserve"> studies (principally Yu, 2021 and Kaspar et al., 2023) systematically attenuate the Neuroticism effect, potentially because these studies control for multiple covariates in the </w:t>
      </w:r>
      <w:r>
        <w:rPr>
          <w:i/>
        </w:rPr>
        <w:t>β</w:t>
      </w:r>
      <w:r>
        <w:t xml:space="preserve"> coefficients, diluting the zero-order Neuroticism-outcome association.</w:t>
      </w:r>
    </w:p>
    <w:p w14:paraId="6A39829D" w14:textId="77777777" w:rsidR="00B156D9" w:rsidRDefault="00000000">
      <w:pPr>
        <w:spacing w:after="0" w:line="480" w:lineRule="auto"/>
        <w:ind w:firstLine="720"/>
      </w:pPr>
      <w:r w:rsidRPr="005825C8">
        <w:rPr>
          <w:highlight w:val="yellow"/>
        </w:rPr>
        <w:lastRenderedPageBreak/>
        <w:t>Mapping Prior 5</w:t>
      </w:r>
      <w:r>
        <w:t xml:space="preserve"> (Extraversion as null or weak negative). The pooled Extraversion–achievement correlation was </w:t>
      </w:r>
      <w:r>
        <w:rPr>
          <w:i/>
        </w:rPr>
        <w:t>r</w:t>
      </w:r>
      <w:r>
        <w:t xml:space="preserve"> = .002, consistent with H5's prediction of a null overall effect. The overall MP5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i/>
        </w:rPr>
        <w:t>r</w:t>
      </w:r>
      <w:r>
        <w:t xml:space="preserve"> = −.131 (95% CI [−.314, .061]; </w:t>
      </w:r>
      <w:r>
        <w:rPr>
          <w:i/>
        </w:rPr>
        <w:t>Q_between</w:t>
      </w:r>
      <w:r>
        <w:t xml:space="preserve"> = 46.43, </w:t>
      </w:r>
      <w:r>
        <w:rPr>
          <w:i/>
        </w:rPr>
        <w:t>p</w:t>
      </w:r>
      <w:r>
        <w:t xml:space="preserve"> &lt; .001), and in objective achievement outcomes the pooled effect was </w:t>
      </w:r>
      <w:r>
        <w:rPr>
          <w:i/>
        </w:rPr>
        <w:t>r</w:t>
      </w:r>
      <w:r>
        <w:t xml:space="preserve"> = −.038 (</w:t>
      </w:r>
      <w:r>
        <w:rPr>
          <w:i/>
        </w:rPr>
        <w:t>Q_between</w:t>
      </w:r>
      <w:r>
        <w:t xml:space="preserve"> = 17.30, </w:t>
      </w:r>
      <w:r>
        <w:rPr>
          <w:i/>
        </w:rPr>
        <w:t>p</w:t>
      </w:r>
      <w:r>
        <w:t xml:space="preserve"> &lt; .001 against self-rated </w:t>
      </w:r>
      <w:r>
        <w:rPr>
          <w:i/>
        </w:rPr>
        <w:t>r</w:t>
      </w:r>
      <w:r>
        <w:t xml:space="preserve"> = .117). These moderator findings represent , to the author's knowledge,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 Whether these contextual shifts reflect the MP5 facet-cancellation mechanism (e.g., assertiveness facets activated more strongly in individualistic vs. collectivistic contexts) or a separate trait-level mechanism remains an open question for facet-level primary research.</w:t>
      </w:r>
    </w:p>
    <w:p w14:paraId="3B54AB5C" w14:textId="77777777" w:rsidR="00B156D9" w:rsidRDefault="00000000">
      <w:pPr>
        <w:pStyle w:val="21"/>
        <w:spacing w:line="480" w:lineRule="auto"/>
      </w:pPr>
      <w:r>
        <w:t>Theoretical Implications</w:t>
      </w:r>
    </w:p>
    <w:p w14:paraId="3A3EB899" w14:textId="77777777" w:rsidR="00B156D9" w:rsidRDefault="00000000">
      <w:pPr>
        <w:spacing w:after="0" w:line="480" w:lineRule="auto"/>
        <w:ind w:firstLine="720"/>
      </w:pPr>
      <w:r>
        <w:t>The present findings carry several theoretical implications for the personality-achievement literature. First, the slightly reduced Conscientiousness effect in online environments (</w:t>
      </w:r>
      <w:r>
        <w:rPr>
          <w:i/>
        </w:rPr>
        <w:t>r</w:t>
      </w:r>
      <w:r>
        <w:t xml:space="preserve"> = .167 vs. face-to-face </w:t>
      </w:r>
      <w:r>
        <w:rPr>
          <w:i/>
        </w:rPr>
        <w:t>ρ</w:t>
      </w:r>
      <w:r>
        <w:t xml:space="preserve"> = .19–.28) provides preliminary support for the Personality-Achievement Saturation Hypothesis (PASH; Meyer et al., 2023), which posits that Conscientiousness is channeled into academic outcomes through behavioral signals visible to </w:t>
      </w:r>
      <w:r>
        <w:lastRenderedPageBreak/>
        <w:t xml:space="preserve">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i/>
        </w:rPr>
        <w:t>k</w:t>
      </w:r>
      <w:r>
        <w:t xml:space="preserve"> is warranted before attributing this attenuation exclusively to the PASH mechanism.</w:t>
      </w:r>
    </w:p>
    <w:p w14:paraId="133C86B3" w14:textId="77777777" w:rsidR="00B156D9" w:rsidRDefault="00000000">
      <w:pPr>
        <w:spacing w:after="0" w:line="480" w:lineRule="auto"/>
        <w:ind w:firstLine="720"/>
      </w:pPr>
      <w:r>
        <w:t xml:space="preserve">Second, the null pooled Extraversion effect in online environments, combined with the large between-group differences in the Region × Extraversion subgroup contrast (Asia </w:t>
      </w:r>
      <w:r>
        <w:rPr>
          <w:i/>
        </w:rPr>
        <w:t>r</w:t>
      </w:r>
      <w:r>
        <w:t xml:space="preserve"> = −.131 vs. non-Asia </w:t>
      </w:r>
      <w:r>
        <w:rPr>
          <w:i/>
        </w:rPr>
        <w:t>r</w:t>
      </w:r>
      <w:r>
        <w:t xml:space="preserve"> = .050; </w:t>
      </w:r>
      <w:r>
        <w:rPr>
          <w:i/>
        </w:rPr>
        <w:t>Q_between</w:t>
      </w:r>
      <w:r>
        <w:t xml:space="preserve"> </w:t>
      </w:r>
      <w:r>
        <w:rPr>
          <w:i/>
        </w:rPr>
        <w:t>p</w:t>
      </w:r>
      <w:r>
        <w:t xml:space="preserve"> &lt; .001) and the Outcome-Type × Extraversion subgroup contrast (objective </w:t>
      </w:r>
      <w:r>
        <w:rPr>
          <w:i/>
        </w:rPr>
        <w:t>r</w:t>
      </w:r>
      <w:r>
        <w:t xml:space="preserve"> = −.038 vs. self-rated </w:t>
      </w:r>
      <w:r>
        <w:rPr>
          <w:i/>
        </w:rPr>
        <w:t>r</w:t>
      </w:r>
      <w:r>
        <w:t xml:space="preserve"> = .117; </w:t>
      </w:r>
      <w:r>
        <w:rPr>
          <w:i/>
        </w:rPr>
        <w:t>Q_between</w:t>
      </w:r>
      <w:r>
        <w:t xml:space="preserve"> </w:t>
      </w:r>
      <w:r>
        <w:rPr>
          <w:i/>
        </w:rPr>
        <w:t>p</w:t>
      </w:r>
      <w:r>
        <w:t xml:space="preserve"> &lt; .001), contributes a more nuanced descriptive picture of how social presence and cultural context appear to moderate personality-achievement associations. We emphasise that both subgroup contrasts are based on a very small number of studies per level (in some cases two to three) and that the same small set of studies enters both contrasts; the contrasts should therefore be read as exploratory descriptive patterns rather than as confirmatory tests of interaction.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appears to decompose into a negative effect in Asian samples and objective outcomes and a positive effect in self-rated outcomes. This pattern is consistent with two exploratory hypotheses — (a) that extraverts may be disadvantaged in collectivistic online contexts where </w:t>
      </w:r>
      <w:r>
        <w:lastRenderedPageBreak/>
        <w:t>social interaction is most constrained, and (b) that self-rated performance may be subject to an extraversion-linked self-enhancement bias — but the present evidence base is too small to discriminate between these explanations and alternative explanations (sampling, instrument, or outcome-domain confounds). The descriptive Outcome-Type contrast is a potentially useful methodological observation, in that it suggests prior single-outcome studies may have produced divergent Extraversion estimates partly because they differentially sampled objective vs. self-rated indicators; this descriptive pattern would, however, need confirmation in primary research that simultaneously collects both outcome types within the same learners. The descriptive pattern is directionally consistent with person-environment fit models of personality expression in technology-mediated contexts and with self-enhancement models of self-report methodology (Paulhus, 1998), but cannot by itself be taken as evidence for either model.</w:t>
      </w:r>
    </w:p>
    <w:p w14:paraId="14082E96" w14:textId="77777777" w:rsidR="00B156D9" w:rsidRDefault="00000000">
      <w:pPr>
        <w:spacing w:after="0" w:line="480" w:lineRule="auto"/>
        <w:ind w:firstLine="720"/>
      </w:pPr>
      <w:r>
        <w:t xml:space="preserve">Third, the descriptive cultural moderator patterns — a directionally amplified Agreeableness estimate and a directionally negative Extraversion estimate in Asian samples — are directionally consistent with face-to-face cultural-moderator findings reported by Mammadov (2022) and Chen et al. (2025), but the present online </w:t>
      </w:r>
      <w:r>
        <w:rPr>
          <w:i/>
        </w:rPr>
        <w:t>k</w:t>
      </w:r>
      <w:r>
        <w:t xml:space="preserve"> is too small to constitute replication in any strong sense. The Asian Agreeableness pooled estimate (</w:t>
      </w:r>
      <w:r>
        <w:rPr>
          <w:i/>
        </w:rPr>
        <w:t>r</w:t>
      </w:r>
      <w:r>
        <w:t xml:space="preserve"> = .330 vs. non-Asia </w:t>
      </w:r>
      <w:r>
        <w:rPr>
          <w:i/>
        </w:rPr>
        <w:t>r</w:t>
      </w:r>
      <w:r>
        <w:t xml:space="preserve"> = .030) did not reach significance in the present </w:t>
      </w:r>
      <w:r>
        <w:rPr>
          <w:i/>
        </w:rPr>
        <w:t>k</w:t>
      </w:r>
      <w:r>
        <w:t xml:space="preserve"> = 2 Asian subsample, and the larger pooled Agreeableness estimate is itself fragile to the exclusion of the single Chinese MOOC sample (Yu, 2021) that dominates the Asian subset. At most, the present synthesis can be read as offering directional consistency with the proposition that the cultural mechanism documented in face-to-face syntheses (individualism vs. collectivism; competitive vs. cooperative classroom norms) may also operate in online environments. The tentative implications for online course design in East Asian institutional contexts are addressed cautiously under Practical Implications.</w:t>
      </w:r>
    </w:p>
    <w:p w14:paraId="18EFF4C1" w14:textId="77777777" w:rsidR="00B156D9" w:rsidRDefault="00000000">
      <w:pPr>
        <w:spacing w:after="0" w:line="480" w:lineRule="auto"/>
        <w:ind w:firstLine="720"/>
      </w:pPr>
      <w:r>
        <w:lastRenderedPageBreak/>
        <w:t xml:space="preserve">Fourth, the era moderator analysis did not reveal significant pre-COVID vs. COVID-era differences for any trait. In particular, Conscientiousness effects were comparable across eras (pre-COVID </w:t>
      </w:r>
      <w:r>
        <w:rPr>
          <w:i/>
        </w:rPr>
        <w:t>r</w:t>
      </w:r>
      <w:r>
        <w:t xml:space="preserve"> = .208 vs. COVID </w:t>
      </w:r>
      <w:r>
        <w:rPr>
          <w:i/>
        </w:rPr>
        <w:t>r</w:t>
      </w:r>
      <w:r>
        <w:t xml:space="preserve"> = .179; </w:t>
      </w:r>
      <w:r>
        <w:rPr>
          <w:i/>
        </w:rPr>
        <w:t>Q_between</w:t>
      </w:r>
      <w:r>
        <w:t xml:space="preserve"> </w:t>
      </w:r>
      <w:r>
        <w:rPr>
          <w:i/>
        </w:rPr>
        <w:t>p</w:t>
      </w:r>
      <w: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exploratory pool (</w:t>
      </w:r>
      <w:r>
        <w:rPr>
          <w:i/>
        </w:rPr>
        <w:t>k</w:t>
      </w:r>
      <w:r>
        <w:t xml:space="preserve"> = 0 in the moderator analysis, with 4 post-COVID studies retained for qualitative synthesis only); future meta-analytic updates should reassess this pattern as the post-COVID primary literature matures.</w:t>
      </w:r>
    </w:p>
    <w:p w14:paraId="488D55CC" w14:textId="77777777" w:rsidR="00B156D9" w:rsidRDefault="00000000">
      <w:pPr>
        <w:pStyle w:val="21"/>
        <w:spacing w:line="480" w:lineRule="auto"/>
      </w:pPr>
      <w:r w:rsidRPr="001501B6">
        <w:rPr>
          <w:highlight w:val="yellow"/>
        </w:rPr>
        <w:t>Tentative Practical Implications</w:t>
      </w:r>
    </w:p>
    <w:p w14:paraId="71214A19" w14:textId="77777777" w:rsidR="00B156D9" w:rsidRDefault="00000000">
      <w:pPr>
        <w:spacing w:after="0" w:line="480" w:lineRule="auto"/>
        <w:ind w:firstLine="720"/>
      </w:pPr>
      <w:r>
        <w:t>We note up front that the practical implications below are best read as tentative working hypotheses rather than as actionable design or pedagogical recommendations. The exploratory achievement pool is small (</w:t>
      </w:r>
      <w:r>
        <w:rPr>
          <w:i/>
        </w:rPr>
        <w:t>k</w:t>
      </w:r>
      <w:r>
        <w:t xml:space="preserve"> = 10), heterogeneity is moderate to high for most traits, prediction intervals cross zero for all traits except Conscientiousness, and the two moderator contrasts that drive the modality-related implications below rest on a very small number of studies per subgroup (in some cases two to three). Practitioners and educational technology developers should not use the present synthesis as a sole basis for design or instructional decisions, and any of the implications below should be validated against larger and more linguistically inclusive future syntheses before being operationalised.</w:t>
      </w:r>
    </w:p>
    <w:p w14:paraId="25249CDE" w14:textId="77777777" w:rsidR="00B156D9" w:rsidRDefault="00000000">
      <w:pPr>
        <w:spacing w:after="0" w:line="480" w:lineRule="auto"/>
        <w:ind w:firstLine="720"/>
      </w:pPr>
      <w:r>
        <w:lastRenderedPageBreak/>
        <w:t>Subject to those caveats, the preserved (albeit slightly reduced) Conscientiousness effect (</w:t>
      </w:r>
      <w:r>
        <w:rPr>
          <w:i/>
        </w:rPr>
        <w:t>r</w:t>
      </w:r>
      <w:r>
        <w:t xml:space="preserve"> = .167) is consistent with the broadly held expectation that features supporting self-regulated learning—structured scheduling tools, progress tracking, deadline reminders, and LMS engagement analytics—are likely to benefit learners who are lower in Conscientiousness. This is also the implication that draws on the most stable finding in the present synthesis (Conscientiousness is the only trait whose 95% prediction interval does not include zero), and is therefore the implication for which the present evidence base provides the least tentative support.</w:t>
      </w:r>
    </w:p>
    <w:p w14:paraId="08A2A6D3" w14:textId="77777777" w:rsidR="00B156D9" w:rsidRDefault="00000000">
      <w:pPr>
        <w:spacing w:after="0" w:line="480" w:lineRule="auto"/>
        <w:ind w:firstLine="720"/>
      </w:pPr>
      <w:r>
        <w:t>The exploratory subgroup finding that the Extraversion-achievement association is negative in Asian samples and in objective outcomes — and positive in non-Asian samples and in self-rated outcomes — may be hypothesised, on the present evidence, to imply that (a) intentional incorporation of synchronous elements in fully asynchronous Asian-context courses may partially restore the social channels through which extraverted learners express engagement, and (b) self-rated performance metrics in online contexts may be subject to extraversion-related self-enhancement and should be triangulated with objective indicators where possible. We emphasise, however, that the Region and Outcome-Type subgroup contrasts are based on as few as two studies per level on at least one side of the contrast; that the Asian subset includes Middle Eastern samples whose theoretical positioning relative to East Asian collectivism is debated; and that the English-language restriction means a non-trivial fraction of the underlying Asian-context literature was implicitly excluded. These implications should therefore be treated as exploratory leads for primary-research replication rather than as established practical guidance.</w:t>
      </w:r>
    </w:p>
    <w:p w14:paraId="62E6ACA4" w14:textId="77777777" w:rsidR="00B156D9" w:rsidRDefault="00000000">
      <w:pPr>
        <w:spacing w:after="0" w:line="480" w:lineRule="auto"/>
        <w:ind w:firstLine="720"/>
      </w:pPr>
      <w:r>
        <w:t>The larger-than-expected Agreeableness pooled estimate (</w:t>
      </w:r>
      <w:r>
        <w:rPr>
          <w:i/>
        </w:rPr>
        <w:t>r</w:t>
      </w:r>
      <w:r>
        <w:t xml:space="preserve"> = .112) is driven primarily by a single Chinese MOOC sample (Yu, 2021); the pre-specified single-study leave-one-out sensitivity analysis showed that excluding this study substantially attenuates the Agreeableness </w:t>
      </w:r>
      <w:r>
        <w:lastRenderedPageBreak/>
        <w:t>effect. The Agreeableness finding is therefore one of the most fragile in the synthesis and should not, by itself, motivate cooperative-learning design recommendations. Convergent narrative evidence from other East Asian and Israeli studies is directionally consistent but not by itself sufficient to establish a robust cooperative-learning implication. The failure to support an amplified Openness effect suggests, tentatively, that exploration-oriented features of online environments do not currently translate into consistent achievement advantages for high-Openness learners — possibly reflecting the standardization of online assessment and the constrained range of exploration afforded by most institutional LMS platforms — but this null is itself based on a very small exploratory pool and should be revisited as the literature grows.</w:t>
      </w:r>
    </w:p>
    <w:p w14:paraId="4679EE10" w14:textId="77777777" w:rsidR="00B156D9" w:rsidRDefault="00000000">
      <w:pPr>
        <w:pStyle w:val="21"/>
        <w:spacing w:line="480" w:lineRule="auto"/>
      </w:pPr>
      <w:r w:rsidRPr="001501B6">
        <w:rPr>
          <w:highlight w:val="yellow"/>
        </w:rPr>
        <w:t>Distinguishing Robust from Fragile</w:t>
      </w:r>
      <w:r>
        <w:t xml:space="preserve"> Findings</w:t>
      </w:r>
    </w:p>
    <w:p w14:paraId="4EAEB786" w14:textId="77777777" w:rsidR="00B156D9" w:rsidRDefault="00000000">
      <w:pPr>
        <w:spacing w:after="0" w:line="480" w:lineRule="auto"/>
        <w:ind w:firstLine="720"/>
      </w:pPr>
      <w:r>
        <w:t>Given the small exploratory pool, the wide prediction intervals around most pooled estimates, and the fact that several findings change appreciably under pre-specified sensitivity analyses, it is important to distinguish in the discussion above between findings that are relatively robust across analytic choices and findings that are fragile and dependent on specific decisions about effect-size conversion, individual study inclusion, or moderator coding.</w:t>
      </w:r>
    </w:p>
    <w:p w14:paraId="1FC3761C" w14:textId="77777777" w:rsidR="00B156D9" w:rsidRDefault="00000000">
      <w:pPr>
        <w:spacing w:after="0" w:line="480" w:lineRule="auto"/>
        <w:ind w:firstLine="720"/>
      </w:pPr>
      <w:r>
        <w:t xml:space="preserve">The most robust finding is the positive Conscientiousness-achievement association (pooled </w:t>
      </w:r>
      <w:r>
        <w:rPr>
          <w:i/>
        </w:rPr>
        <w:t>r</w:t>
      </w:r>
      <w:r>
        <w:t xml:space="preserve"> = .167). Conscientiousness is the only trait whose 95% prediction interval does not include zero, the pooled estimate is stable under the leave-one-out, β-conversion-exclusion, risk-of-bias-exclusion, and author's-own-study-exclusion sensitivity analyses, and the direction and approximate magnitude are convergent with all eight prior face-to-face meta-analyses (range </w:t>
      </w:r>
      <w:r>
        <w:rPr>
          <w:i/>
        </w:rPr>
        <w:t>ρ</w:t>
      </w:r>
      <w:r>
        <w:t xml:space="preserve"> = .19–.28). Although the online magnitude is somewhat attenuated relative to these face-to-face benchmarks — a feature of the data that is consistent with the Personality-Achievement </w:t>
      </w:r>
      <w:r>
        <w:lastRenderedPageBreak/>
        <w:t>Saturation Hypothesis — the positivity and approximate size of the Conscientiousness effect should be regarded as a relatively robust feature of the present synthesis.</w:t>
      </w:r>
    </w:p>
    <w:p w14:paraId="2896CF43" w14:textId="77777777" w:rsidR="00B156D9" w:rsidRDefault="00000000">
      <w:pPr>
        <w:spacing w:after="0" w:line="480" w:lineRule="auto"/>
        <w:ind w:firstLine="720"/>
      </w:pPr>
      <w:r>
        <w:t>By contrast, the following findings are fragile and should be treated with substantially greater caution: (i) the pooled Agreeableness estimate (</w:t>
      </w:r>
      <w:r>
        <w:rPr>
          <w:i/>
        </w:rPr>
        <w:t>r</w:t>
      </w:r>
      <w:r>
        <w:t xml:space="preserve"> = .112), which is driven primarily by a single Chinese MOOC sample (Yu, 2021) and attenuates appreciably in the leave-one-out sensitivity analysis; (ii) the null Extraversion pooled estimate (</w:t>
      </w:r>
      <w:r>
        <w:rPr>
          <w:i/>
        </w:rPr>
        <w:t>r</w:t>
      </w:r>
      <w:r>
        <w:t xml:space="preserve"> = .002), which masks high between-subgroup heterogeneity and changes sign in the Region and Outcome-Type subgroups; (iii) the Extraversion × Region and Extraversion × Outcome Type subgroup contrasts themselves, which rest on as few as two studies per subgroup on at least one side and which involve the same set of small studies entering both contrasts; and (iv) the pooled estimates for Openness and Neuroticism, both of which have prediction intervals crossing zero by a wide margin and whose direction or magnitude shift under the β-conversion-exclusion sensitivity analysis. Readers should interpret discussion points that depend on these fragile findings — including the Agreeableness-cooperation hypothesis, the Asian-Extraversion-design hypothesis, and the Outcome-Type-self-enhancement hypothesis above — as exploratory rather than confirmatory, and should not assign them the same weight in narrative synthesis as the more robust Conscientiousness finding.</w:t>
      </w:r>
    </w:p>
    <w:p w14:paraId="3C9A14EE" w14:textId="77777777" w:rsidR="00B156D9" w:rsidRDefault="00000000">
      <w:pPr>
        <w:pStyle w:val="21"/>
        <w:spacing w:line="480" w:lineRule="auto"/>
      </w:pPr>
      <w:r>
        <w:t>Strengths of the Present Review</w:t>
      </w:r>
    </w:p>
    <w:p w14:paraId="7E21D542" w14:textId="77777777" w:rsidR="00B156D9" w:rsidRDefault="00000000">
      <w:pPr>
        <w:spacing w:after="0" w:line="480" w:lineRule="auto"/>
        <w:ind w:firstLine="720"/>
      </w:pPr>
      <w:r>
        <w:t xml:space="preserve">The present review has several methodological strengths. First, it is the first scoping mapping of the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w:t>
      </w:r>
      <w:r>
        <w:lastRenderedPageBreak/>
        <w:t xml:space="preserve">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i/>
        </w:rPr>
        <w:t>τ²</w:t>
      </w:r>
      <w:r>
        <w:t xml:space="preserve"> estimators.</w:t>
      </w:r>
    </w:p>
    <w:p w14:paraId="72FF4D45" w14:textId="77777777" w:rsidR="00B156D9" w:rsidRDefault="00000000">
      <w:pPr>
        <w:pStyle w:val="21"/>
        <w:spacing w:line="480" w:lineRule="auto"/>
      </w:pPr>
      <w:r>
        <w:t>Limitations</w:t>
      </w:r>
    </w:p>
    <w:p w14:paraId="4744397E" w14:textId="77777777" w:rsidR="00B156D9" w:rsidRDefault="00000000">
      <w:pPr>
        <w:spacing w:after="0" w:line="480" w:lineRule="auto"/>
        <w:ind w:firstLine="720"/>
      </w:pPr>
      <w:r>
        <w:t>The review has several substantive limitations that materially constrain the strength of the conclusions and that should be kept in mind by readers. First, the number of primary studies contributing to the pooled achievement analyses (</w:t>
      </w:r>
      <w:r>
        <w:rPr>
          <w:i/>
        </w:rPr>
        <w:t>k</w:t>
      </w:r>
      <w:r>
        <w:t xml:space="preserve"> = 10, with 6 contributing direct Pearson correlations and 4 contributing β-converted correlations via the Peterson and Brown (2005) transformation) is at the lower bound of what is generally considered adequate for robust random-effects estimation (Borenstein et al., 2021). With a exploratory pool of this size, pooled estimates are unstable, heterogeneity is poorly estimated, prediction intervals are wide, and the present synthesis must be regarded as preliminary rather than definitive. Although the pre-specified moderator analyses were designed under the assumption of a larger corpus, the effective </w:t>
      </w:r>
      <w:r>
        <w:rPr>
          <w:i/>
        </w:rPr>
        <w:t>k</w:t>
      </w:r>
      <w:r>
        <w:t xml:space="preserve"> per moderator level fell below the recommended threshold for several moderators, necessitating narrative rather than quantitative reporting for those analyses. Where moderator subgroup analyses were conducted, the very small </w:t>
      </w:r>
      <w:r>
        <w:rPr>
          <w:i/>
        </w:rPr>
        <w:t>k</w:t>
      </w:r>
      <w:r>
        <w:t xml:space="preserve"> per level (in some cases as few as two studies per subgroup) further limits the inferences that can be drawn from the subgroup contrasts; the moderator-effect estimates reported should be treated as exploratory rather than confirmatory.</w:t>
      </w:r>
    </w:p>
    <w:p w14:paraId="1F5E6021" w14:textId="77777777" w:rsidR="00B156D9" w:rsidRDefault="00000000">
      <w:pPr>
        <w:spacing w:after="0" w:line="480" w:lineRule="auto"/>
        <w:ind w:firstLine="720"/>
      </w:pPr>
      <w:r>
        <w:lastRenderedPageBreak/>
        <w:t xml:space="preserve">Second, the protocol specified six bibliographic databases (PubMed/MEDLINE, PsycINFO, ERIC, Web of Science, Scopus, and ProQuest Dissertations), but the execution environment lacked institutional access to the </w:t>
      </w:r>
      <w:r w:rsidRPr="001501B6">
        <w:rPr>
          <w:highlight w:val="yellow"/>
        </w:rPr>
        <w:t>subscription-gated databases</w:t>
      </w:r>
      <w:r>
        <w:t xml:space="preserve"> and did not permit direct API access to several open databases. The search was therefore executed via the WebSearch interface (Google-based) and supplemented by ERIC web search and open-access repository retrieval, with forward and backward citation snowballing from included studies and from prior meta-analyses. Although this deviation is transparently disclosed in Methods and in the search-strategy supplement, it represents a real departure from the pre-registered plan. The </w:t>
      </w:r>
      <w:r w:rsidRPr="001501B6">
        <w:rPr>
          <w:highlight w:val="yellow"/>
        </w:rPr>
        <w:t>WebSearch route does not provide</w:t>
      </w:r>
      <w:r>
        <w:t xml:space="preserve"> controlled-vocabulary (MeSH/thesaurus) indexing or per-database hit accounting in the same way that direct database searches do, and the lack of full PsycINFO and ProQuest Dissertations coverage means that a non-trivial number of potentially eligible non-English-language studies, dissertations, and grey-literature reports may have been missed. Combined with the English-language restriction (point five below), this limitation should reduce reader confidence in the comprehensiveness of the corpus, and the present synthesis should not be treated as an exhaustive census of the underlying literature. A replication search using full institutional access to the pre-registered databases is planned for a subsequent manuscript version.</w:t>
      </w:r>
    </w:p>
    <w:p w14:paraId="029AA52A" w14:textId="77777777" w:rsidR="00B156D9" w:rsidRDefault="00000000">
      <w:pPr>
        <w:spacing w:after="0" w:line="480" w:lineRule="auto"/>
        <w:ind w:firstLine="720"/>
      </w:pPr>
      <w:r>
        <w:t xml:space="preserve">Third, the review was conducted by a single reviewer, deviating from the Cochrane and PRISMA 2020/PRISMA-ScR recommendation of two independent reviewers at the screening, full-text assessment, and data-extraction stages. Intra-rater reliability was assessed at each stage with target κ ≥ 0.80 met in each case, but intra-rater reliability cannot replicate inter-rater independence; single-reviewer workflows are known to be susceptible to systematic biases (e.g., confirmation effects in study inclusion, drift in extraction conventions) that intra-rater checks </w:t>
      </w:r>
      <w:r>
        <w:lastRenderedPageBreak/>
        <w:t xml:space="preserve">cannot fully detect. Readers should weight this limitation when interpreting the boundary decisions documented in the screening ledger. Fourth, the English-language restriction excluded a potentially informative body of non-English primary literature, particularly Chinese-, Japanese-, Korean-, and Spanish-language work where the personality-achievement association in online contexts is theoretically interesting. This restriction is especially consequential for the moderator findings concerning East Asian and Middle Eastern samples reported below, because the subset of non-English regional work that was implicitly excluded is precisely the work most likely to clarify those moderator effects. Fifth, the included studies varied substantially in their outcome operationalizations: some used objective GPA or standardized exam scores, others used self-reported achievement, course satisfaction, engagement composites, or LMS-behavior indicators. This heterogeneity limits the precision of the pooled effects, inflates observed </w:t>
      </w:r>
      <w:r>
        <w:rPr>
          <w:i/>
        </w:rPr>
        <w:t>I²</w:t>
      </w:r>
      <w:r>
        <w:t xml:space="preserve"> values, and almost certainly contributes to the wide prediction intervals reported in the Results section.</w:t>
      </w:r>
    </w:p>
    <w:p w14:paraId="01BEE134" w14:textId="77777777" w:rsidR="00B156D9" w:rsidRDefault="00000000">
      <w:pPr>
        <w:spacing w:after="0" w:line="480" w:lineRule="auto"/>
        <w:ind w:firstLine="720"/>
      </w:pPr>
      <w:r>
        <w:t>Sixth, the author's own prior primary study (Tokiwa, 2025) was included in the scoping-retained set as a potentially eligible record. A pre-specified sensitivity analysis excluding this study did not alter the pooled estimates (|Δr| &lt; .001 for every trait) because Tokiwa (2025) did not contribute extractable zero-order correlations to the exploratory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14:paraId="12D22A10" w14:textId="77777777" w:rsidR="00B156D9" w:rsidRDefault="00000000">
      <w:pPr>
        <w:pStyle w:val="21"/>
        <w:spacing w:line="480" w:lineRule="auto"/>
      </w:pPr>
      <w:r>
        <w:lastRenderedPageBreak/>
        <w:t>Future Research Directions</w:t>
      </w:r>
    </w:p>
    <w:p w14:paraId="23A46BB2" w14:textId="77777777" w:rsidR="00B156D9" w:rsidRDefault="00000000">
      <w:pPr>
        <w:spacing w:after="0" w:line="480" w:lineRule="auto"/>
        <w:ind w:firstLine="720"/>
      </w:pPr>
      <w: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14:paraId="75C44D3E" w14:textId="77777777" w:rsidR="00B156D9" w:rsidRDefault="00000000">
      <w:pPr>
        <w:pStyle w:val="1"/>
        <w:spacing w:line="480" w:lineRule="auto"/>
      </w:pPr>
      <w:r>
        <w:t>Conclusion</w:t>
      </w:r>
    </w:p>
    <w:p w14:paraId="06D43964" w14:textId="77777777" w:rsidR="00B156D9" w:rsidRDefault="00000000">
      <w:pPr>
        <w:spacing w:after="0" w:line="480" w:lineRule="auto"/>
        <w:ind w:firstLine="720"/>
      </w:pPr>
      <w:r>
        <w:t xml:space="preserve">The present meta-analysis provides a first, preliminary quantitative synthesis of Big Five personality traits and academic achievement in online learning environments. Because the exploratory achievement pool comprised only 10 studies, several with very small subgroup </w:t>
      </w:r>
      <w:r>
        <w:rPr>
          <w:i/>
        </w:rPr>
        <w:t>k</w:t>
      </w:r>
      <w:r>
        <w:t xml:space="preserve"> and with wide prediction intervals that include zero for most traits, the conclusions below are best read as tentative hypotheses to be tested in larger future syntheses rather than as established findings. The findings are broadly consistent with, but do not by themselves establish, an extension of the face-to-face pattern to online learning: Conscientiousness emerged as the most </w:t>
      </w:r>
      <w:r>
        <w:lastRenderedPageBreak/>
        <w:t>plausible positive predictor (</w:t>
      </w:r>
      <w:r>
        <w:rPr>
          <w:i/>
        </w:rPr>
        <w:t>r</w:t>
      </w:r>
      <w:r>
        <w:t xml:space="preserve"> = .167) at somewhat reduced magnitude compared to traditional classroom benchmarks; Extraversion was null on average (</w:t>
      </w:r>
      <w:r>
        <w:rPr>
          <w:i/>
        </w:rPr>
        <w:t>r</w:t>
      </w:r>
      <w:r>
        <w:t xml:space="preserve"> = .002) but with highly heterogeneous subgroup estimates that, in the subset of Asian samples and objective outcomes, were negative; Agreeableness appeared slightly larger than the face-to-face benchmark but was driven primarily by a single Chinese MOOC sample (Yu, 2021), and this finding is fragile to the exclusion of that single study; and Neuroticism and Openness effects were essentially null in the exploratory synthesis. The findings are consistent with the Personality-Achievement Saturation Hypothesis (Meyer et al., 2023) as a framework for understanding the online attenuation of Conscientiousness, but the present evidence base is too small to constitute strong confirmation. The exploratory cultural- and outcome-type-dependent shifts in the Extraversion effect identified here highlight a priority for future primary research, but should not yet be used to guide pedagogical practice. As online and blended instruction continues to constitute a substantial and growing share of post-secondary education globally, the present synthesis provides a preliminary empirical reference point and a baseline for continued meta-analytic monitoring as the post-COVID online learning literature matures.</w:t>
      </w:r>
    </w:p>
    <w:p w14:paraId="16AA5A2B" w14:textId="77777777" w:rsidR="00B156D9" w:rsidRDefault="00000000">
      <w:r>
        <w:br w:type="page"/>
      </w:r>
    </w:p>
    <w:p w14:paraId="2051D6E0" w14:textId="77777777" w:rsidR="00B156D9" w:rsidRDefault="00000000">
      <w:pPr>
        <w:pStyle w:val="1"/>
        <w:spacing w:line="480" w:lineRule="auto"/>
      </w:pPr>
      <w:r>
        <w:rPr>
          <w:rFonts w:ascii="Times New Roman" w:eastAsia="Times New Roman" w:hAnsi="Times New Roman"/>
        </w:rPr>
        <w:lastRenderedPageBreak/>
        <w:t>References</w:t>
      </w:r>
    </w:p>
    <w:p w14:paraId="7EAD0C23" w14:textId="77777777" w:rsidR="00B156D9" w:rsidRDefault="00000000">
      <w:pPr>
        <w:spacing w:after="0" w:line="480" w:lineRule="auto"/>
        <w:ind w:left="720" w:hanging="720"/>
      </w:pPr>
      <w:r>
        <w:t xml:space="preserve">Abe, J. A. A. (2020). Big five, linguistic styles, and successful online learning. </w:t>
      </w:r>
      <w:r>
        <w:rPr>
          <w:i/>
        </w:rPr>
        <w:t>The Internet and Higher Education, 45</w:t>
      </w:r>
      <w:r>
        <w:t>, 100724. https://doi.org/10.1016/j.iheduc.2019.100724</w:t>
      </w:r>
    </w:p>
    <w:p w14:paraId="4FB7A6D5" w14:textId="77777777" w:rsidR="00B156D9" w:rsidRDefault="00000000">
      <w:pPr>
        <w:spacing w:after="0" w:line="480" w:lineRule="auto"/>
        <w:ind w:left="720" w:hanging="720"/>
      </w:pPr>
      <w:r>
        <w:t xml:space="preserve">Alkış, </w:t>
      </w:r>
      <w:r>
        <w:rPr>
          <w:i/>
        </w:rPr>
        <w:t>N</w:t>
      </w:r>
      <w:r>
        <w:t>., &amp; Taşkaya Temizel, T. (2018). The impact of motivation and personality on academic performance in online and blended learning environments. Educational Technology &amp; Society, 21(3), 35–47.</w:t>
      </w:r>
    </w:p>
    <w:p w14:paraId="538806A1" w14:textId="77777777" w:rsidR="00B156D9" w:rsidRDefault="00000000">
      <w:pPr>
        <w:spacing w:after="0" w:line="480" w:lineRule="auto"/>
        <w:ind w:left="720" w:hanging="720"/>
      </w:pPr>
      <w:r>
        <w:t xml:space="preserve">Ashouri, A., Taheri, </w:t>
      </w:r>
      <w:r>
        <w:rPr>
          <w:i/>
        </w:rPr>
        <w:t>M</w:t>
      </w:r>
      <w:r>
        <w:t xml:space="preserve">., Rasouli, </w:t>
      </w:r>
      <w:r>
        <w:rPr>
          <w:i/>
        </w:rPr>
        <w:t>M</w:t>
      </w:r>
      <w:r>
        <w:t>., &amp; Rouhalamin, S. (2025). Personality traits and e-learning course satisfaction: A study of health science students. Cureus, 17(7), e89131.</w:t>
      </w:r>
    </w:p>
    <w:p w14:paraId="247332BF" w14:textId="77777777" w:rsidR="00B156D9" w:rsidRDefault="00000000">
      <w:pPr>
        <w:spacing w:after="0" w:line="480" w:lineRule="auto"/>
        <w:ind w:left="720" w:hanging="720"/>
      </w:pPr>
      <w:r>
        <w:t xml:space="preserve">Ashton, </w:t>
      </w:r>
      <w:r>
        <w:rPr>
          <w:i/>
        </w:rPr>
        <w:t>M</w:t>
      </w:r>
      <w:r>
        <w:t>. C., &amp; Lee, K. (2007). Empirical, theoretical, and practical advantages of the HEXACO model of personality structure. Personality and Social Psychology Review, 11(2), 150–166. https://doi.org/10.1177/1088868306294907</w:t>
      </w:r>
    </w:p>
    <w:p w14:paraId="726E7E35" w14:textId="77777777" w:rsidR="00B156D9" w:rsidRDefault="00000000">
      <w:pPr>
        <w:spacing w:after="0" w:line="480" w:lineRule="auto"/>
        <w:ind w:left="720" w:hanging="720"/>
      </w:pPr>
      <w:r>
        <w:t xml:space="preserve">Audet, É. C., Levine, S. L., Metin, E., Koestner, S., &amp; Barcan, S. (2021). Zooming their way through university: Which Big 5 traits facilitated students' adjustment to online courses during the COVID-19 pandemic. </w:t>
      </w:r>
      <w:r>
        <w:rPr>
          <w:i/>
        </w:rPr>
        <w:t>Personality and Individual Differences, 180</w:t>
      </w:r>
      <w:r>
        <w:t>, 110969. https://doi.org/10.1016/j.paid.2021.110969</w:t>
      </w:r>
    </w:p>
    <w:p w14:paraId="13ECB9A2" w14:textId="77777777" w:rsidR="00B156D9" w:rsidRDefault="00000000">
      <w:pPr>
        <w:spacing w:after="0" w:line="480" w:lineRule="auto"/>
        <w:ind w:left="720" w:hanging="720"/>
      </w:pPr>
      <w:r>
        <w:t xml:space="preserve">Audet, É. C., Levine, S. L., Dubois, P., Koestner, S., &amp; Koestner, R. (2023). The unanticipated virtual year: How the Big 5 personality traits of openness to experience and conscientiousness impacted engagement in online classes during the COVID-19 crisis. </w:t>
      </w:r>
      <w:r>
        <w:rPr>
          <w:i/>
        </w:rPr>
        <w:t>Journal of College Reading and Learning, 53</w:t>
      </w:r>
      <w:r>
        <w:t>(4), 298–315. https://doi.org/10.1080/10790195.2023.2250402</w:t>
      </w:r>
    </w:p>
    <w:p w14:paraId="7B9A316C" w14:textId="77777777" w:rsidR="00B156D9" w:rsidRDefault="00000000">
      <w:pPr>
        <w:spacing w:after="0" w:line="480" w:lineRule="auto"/>
        <w:ind w:left="720" w:hanging="720"/>
      </w:pPr>
      <w:r>
        <w:t xml:space="preserve">Bahçekapılı, E., &amp; Karaman, S. (2020). A path analysis of five-factor personality traits, self-efficacy, academic locus of control and academic achievement among online students. </w:t>
      </w:r>
      <w:r>
        <w:rPr>
          <w:i/>
        </w:rPr>
        <w:lastRenderedPageBreak/>
        <w:t>Knowledge Management &amp; E-Learning, 12</w:t>
      </w:r>
      <w:r>
        <w:t>(2), 191–208. https://doi.org/10.34105/j.kmel.2020.12.010</w:t>
      </w:r>
    </w:p>
    <w:p w14:paraId="6566F790" w14:textId="77777777" w:rsidR="00B156D9" w:rsidRDefault="00000000">
      <w:pPr>
        <w:spacing w:after="0" w:line="480" w:lineRule="auto"/>
        <w:ind w:left="720" w:hanging="720"/>
      </w:pPr>
      <w:r>
        <w:t xml:space="preserve">Baruth, O., &amp; Cohen, A. (2023). Personality and satisfaction with online courses: The relation between the Big Five personality traits and satisfaction with online learning activities. </w:t>
      </w:r>
      <w:r>
        <w:rPr>
          <w:i/>
        </w:rPr>
        <w:t>Education and Information Technologies, 28</w:t>
      </w:r>
      <w:r>
        <w:t>, 879–904. https://doi.org/10.1007/s10639-022-11199-x</w:t>
      </w:r>
    </w:p>
    <w:p w14:paraId="3A344EEB" w14:textId="77777777" w:rsidR="00B156D9" w:rsidRDefault="00000000">
      <w:pPr>
        <w:spacing w:after="0" w:line="480" w:lineRule="auto"/>
        <w:ind w:left="720" w:hanging="720"/>
      </w:pPr>
      <w:r>
        <w:t xml:space="preserve">Bhagat, K. K., Wu, L. Y., &amp; Chang, C. Y. (2019). The impact of personality on students' perceptions towards online learning. </w:t>
      </w:r>
      <w:r>
        <w:rPr>
          <w:i/>
        </w:rPr>
        <w:t>Australasian Journal of Educational Technology, 35</w:t>
      </w:r>
      <w:r>
        <w:t>(4), 98–108. https://doi.org/10.14742/ajet.4162</w:t>
      </w:r>
    </w:p>
    <w:p w14:paraId="03C44DAA" w14:textId="77777777" w:rsidR="00B156D9" w:rsidRDefault="00000000">
      <w:pPr>
        <w:spacing w:after="0" w:line="480" w:lineRule="auto"/>
        <w:ind w:left="720" w:hanging="720"/>
      </w:pPr>
      <w:r>
        <w:t xml:space="preserve">Bhattacharjee, R. R., &amp; Ramkumar, A. (2025). Effect of big five personality dimensions on the academic performance of college students. </w:t>
      </w:r>
      <w:r>
        <w:rPr>
          <w:i/>
        </w:rPr>
        <w:t>Frontiers in Psychology, 16</w:t>
      </w:r>
      <w:r>
        <w:t>, 1490427. https://doi.org/10.3389/fpsyg.2025.1490427</w:t>
      </w:r>
    </w:p>
    <w:p w14:paraId="1CE42064" w14:textId="77777777" w:rsidR="00B156D9" w:rsidRDefault="00000000">
      <w:pPr>
        <w:spacing w:after="0" w:line="480" w:lineRule="auto"/>
        <w:ind w:left="720" w:hanging="720"/>
      </w:pPr>
      <w:r>
        <w:t xml:space="preserve">Boonyapison, K., Sittironnarit, G., &amp; Rattanaumpawan, P. (2025). Association between the big five personalities and academic performance among grade 12 students at international high school in Thailand. </w:t>
      </w:r>
      <w:r>
        <w:rPr>
          <w:i/>
        </w:rPr>
        <w:t>Scientific Reports, 15</w:t>
      </w:r>
      <w:r>
        <w:t>, 16484. https://doi.org/10.1038/s41598-025-01038-7</w:t>
      </w:r>
    </w:p>
    <w:p w14:paraId="76BB678E" w14:textId="77777777" w:rsidR="00B156D9" w:rsidRDefault="00000000">
      <w:pPr>
        <w:spacing w:after="0" w:line="480" w:lineRule="auto"/>
        <w:ind w:left="720" w:hanging="720"/>
      </w:pPr>
      <w:r>
        <w:t xml:space="preserve">Borenstein, </w:t>
      </w:r>
      <w:r>
        <w:rPr>
          <w:i/>
        </w:rPr>
        <w:t>M</w:t>
      </w:r>
      <w:r>
        <w:t>., Hedges, L. V., Higgins, J. P. T., &amp; Rothstein, H. R. (2009). Introduction to meta-analysis. John Wiley &amp; Sons.</w:t>
      </w:r>
    </w:p>
    <w:p w14:paraId="0E809A84" w14:textId="77777777" w:rsidR="00B156D9" w:rsidRDefault="00000000">
      <w:pPr>
        <w:spacing w:after="0" w:line="480" w:lineRule="auto"/>
        <w:ind w:left="720" w:hanging="720"/>
      </w:pPr>
      <w:r>
        <w:t xml:space="preserve">Borenstein, </w:t>
      </w:r>
      <w:r>
        <w:rPr>
          <w:i/>
        </w:rPr>
        <w:t>M</w:t>
      </w:r>
      <w:r>
        <w:t>., Hedges, L. V., Higgins, J. P. T., &amp; Rothstein, H. R. (2021). Introduction to meta-analysis (2nd ed.). John Wiley &amp; Sons.</w:t>
      </w:r>
    </w:p>
    <w:p w14:paraId="76B46B07" w14:textId="77777777" w:rsidR="00B156D9" w:rsidRDefault="00000000">
      <w:pPr>
        <w:spacing w:after="0" w:line="480" w:lineRule="auto"/>
        <w:ind w:left="720" w:hanging="720"/>
      </w:pPr>
      <w:r>
        <w:t xml:space="preserve">Broadbent, J., &amp; Poon, W. L. (2015). Self-regulated learning strategies &amp; academic achievement in online higher education learning environments: A systematic review. </w:t>
      </w:r>
      <w:r>
        <w:rPr>
          <w:i/>
        </w:rPr>
        <w:t>The Internet and Higher Education, 27</w:t>
      </w:r>
      <w:r>
        <w:t>, 1–13. https://doi.org/10.1016/j.iheduc.2015.04.007</w:t>
      </w:r>
    </w:p>
    <w:p w14:paraId="027AEAC6" w14:textId="77777777" w:rsidR="00B156D9" w:rsidRDefault="00000000">
      <w:pPr>
        <w:spacing w:after="0" w:line="480" w:lineRule="auto"/>
        <w:ind w:left="720" w:hanging="720"/>
      </w:pPr>
      <w:r>
        <w:lastRenderedPageBreak/>
        <w:t xml:space="preserve">Chen, S., Cheung, A. C. K., &amp; Zeng, Z. (2025). Big Five personality traits and university students' academic performance: A meta-analysis. </w:t>
      </w:r>
      <w:r>
        <w:rPr>
          <w:i/>
        </w:rPr>
        <w:t>Personality and Individual Differences, 240</w:t>
      </w:r>
      <w:r>
        <w:t>, 113163. https://doi.org/10.1016/j.paid.2025.113163</w:t>
      </w:r>
    </w:p>
    <w:p w14:paraId="408D71E4" w14:textId="77777777" w:rsidR="00B156D9" w:rsidRDefault="00000000">
      <w:pPr>
        <w:spacing w:after="0" w:line="480" w:lineRule="auto"/>
        <w:ind w:left="720" w:hanging="720"/>
      </w:pPr>
      <w:r>
        <w:t xml:space="preserve">Cheng, S.-L., Chang, J.-C., Quilantan-Garza, K., &amp; Gutierrez, </w:t>
      </w:r>
      <w:r>
        <w:rPr>
          <w:i/>
        </w:rPr>
        <w:t>M</w:t>
      </w:r>
      <w:r>
        <w:t>. L. (2023). Conscientiousness, prior experience, achievement emotions and academic procrastination in online learning environments. British Journal of Educational Technology, 54(4), 898–923. https://doi.org/10.1111/bjet.13302</w:t>
      </w:r>
    </w:p>
    <w:p w14:paraId="0D570802" w14:textId="77777777" w:rsidR="00B156D9" w:rsidRDefault="00000000">
      <w:pPr>
        <w:spacing w:after="0" w:line="480" w:lineRule="auto"/>
        <w:ind w:left="720" w:hanging="720"/>
      </w:pPr>
      <w:r>
        <w:t xml:space="preserve">Cohen, A., &amp; Baruth, O. (2017). Personality, learning, and satisfaction in fully online academic courses. </w:t>
      </w:r>
      <w:r>
        <w:rPr>
          <w:i/>
        </w:rPr>
        <w:t>Computers in Human Behavior, 72</w:t>
      </w:r>
      <w:r>
        <w:t>, 1–12. https://doi.org/10.1016/j.chb.2017.02.030</w:t>
      </w:r>
    </w:p>
    <w:p w14:paraId="5EDAE67A" w14:textId="77777777" w:rsidR="00B156D9" w:rsidRDefault="00000000">
      <w:pPr>
        <w:spacing w:after="0" w:line="480" w:lineRule="auto"/>
        <w:ind w:left="720" w:hanging="720"/>
      </w:pPr>
      <w:r>
        <w:t xml:space="preserve">Dang, T., Du, W., Niu, </w:t>
      </w:r>
      <w:r>
        <w:rPr>
          <w:i/>
        </w:rPr>
        <w:t>M</w:t>
      </w:r>
      <w:r>
        <w:t>., &amp; Xu, Z. (2025). The effects of personality traits on learning engagement among college students: The mediating role of emotion regulation. Frontiers in Psychology, 15, 1476437. https://doi.org/10.3389/fpsyg.2024.1476437</w:t>
      </w:r>
    </w:p>
    <w:p w14:paraId="0EC8C78A" w14:textId="77777777" w:rsidR="00B156D9" w:rsidRDefault="00000000">
      <w:pPr>
        <w:spacing w:after="0" w:line="480" w:lineRule="auto"/>
        <w:ind w:left="720" w:hanging="720"/>
      </w:pPr>
      <w:r>
        <w:t xml:space="preserve">Duval, S., &amp; Tweedie, R. (2000). Trim and fill: A simple funnel-plot-based method of testing and adjusting for publication bias in meta-analysis. </w:t>
      </w:r>
      <w:r>
        <w:rPr>
          <w:i/>
        </w:rPr>
        <w:t>Biometrics, 56</w:t>
      </w:r>
      <w:r>
        <w:t>(2), 455–463. https://doi.org/10.1111/j.0006-341x.2000.00455.x</w:t>
      </w:r>
    </w:p>
    <w:p w14:paraId="479BBE37" w14:textId="77777777" w:rsidR="00B156D9" w:rsidRDefault="00000000">
      <w:pPr>
        <w:spacing w:after="0" w:line="480" w:lineRule="auto"/>
        <w:ind w:left="720" w:hanging="720"/>
      </w:pPr>
      <w:r>
        <w:t xml:space="preserve">Egger, </w:t>
      </w:r>
      <w:r>
        <w:rPr>
          <w:i/>
        </w:rPr>
        <w:t>M</w:t>
      </w:r>
      <w:r>
        <w:t xml:space="preserve">., Davey Smith, G., Schneider, </w:t>
      </w:r>
      <w:r>
        <w:rPr>
          <w:i/>
        </w:rPr>
        <w:t>M</w:t>
      </w:r>
      <w:r>
        <w:t>., &amp; Minder, C. (1997). Bias in meta-analysis detected by a simple, graphical test. BMJ, 315(7109), 629–634. https://doi.org/10.1136/bmj.315.7109.629</w:t>
      </w:r>
    </w:p>
    <w:p w14:paraId="3CDD2FF4" w14:textId="77777777" w:rsidR="00B156D9" w:rsidRDefault="00000000">
      <w:pPr>
        <w:spacing w:after="0" w:line="480" w:lineRule="auto"/>
        <w:ind w:left="720" w:hanging="720"/>
      </w:pPr>
      <w:r>
        <w:t xml:space="preserve">Eilam, B., Zeidner, </w:t>
      </w:r>
      <w:r>
        <w:rPr>
          <w:i/>
        </w:rPr>
        <w:t>M</w:t>
      </w:r>
      <w:r>
        <w:t>., &amp; Aharon, I. (2009). Student conscientiousness, self-regulated learning, and science achievement: An explorative field study. Psychology in the Schools, 46(5), 420–432. https://doi.org/10.1002/pits.20387</w:t>
      </w:r>
    </w:p>
    <w:p w14:paraId="0C8573AB" w14:textId="77777777" w:rsidR="00B156D9" w:rsidRDefault="00000000">
      <w:pPr>
        <w:spacing w:after="0" w:line="480" w:lineRule="auto"/>
        <w:ind w:left="720" w:hanging="720"/>
      </w:pPr>
      <w:r>
        <w:lastRenderedPageBreak/>
        <w:t xml:space="preserve">Elvers, G. C., Polzella, D. J., &amp; Graetz, K. (2003). Procrastination in online courses: Performance and attitudinal differences. </w:t>
      </w:r>
      <w:r>
        <w:rPr>
          <w:i/>
        </w:rPr>
        <w:t>Teaching of Psychology, 30</w:t>
      </w:r>
      <w:r>
        <w:t>(2), 159–162. https://doi.org/10.1207/S15328023TOP3002_13</w:t>
      </w:r>
    </w:p>
    <w:p w14:paraId="76B31A4B" w14:textId="77777777" w:rsidR="00B156D9" w:rsidRDefault="00000000">
      <w:pPr>
        <w:spacing w:after="0" w:line="480" w:lineRule="auto"/>
        <w:ind w:left="720" w:hanging="720"/>
      </w:pPr>
      <w:r>
        <w:t xml:space="preserve">Gignac, G. E., &amp; Szodorai, E. T. (2016). Effect size guidelines for individual differences researchers. </w:t>
      </w:r>
      <w:r>
        <w:rPr>
          <w:i/>
        </w:rPr>
        <w:t>Personality and Individual Differences, 102</w:t>
      </w:r>
      <w:r>
        <w:t>, 74–78. https://doi.org/10.1016/j.paid.2016.06.069</w:t>
      </w:r>
    </w:p>
    <w:p w14:paraId="5004B1C5" w14:textId="77777777" w:rsidR="00B156D9" w:rsidRDefault="00000000">
      <w:pPr>
        <w:spacing w:after="0" w:line="480" w:lineRule="auto"/>
        <w:ind w:left="720" w:hanging="720"/>
      </w:pPr>
      <w:r>
        <w:t xml:space="preserve">Harrer, </w:t>
      </w:r>
      <w:r>
        <w:rPr>
          <w:i/>
        </w:rPr>
        <w:t>M</w:t>
      </w:r>
      <w:r>
        <w:t>., Cuijpers, P., Furukawa, T. A., &amp; Ebert, D. D. (2021). Doing meta-analysis with R: A hands-on guide. Chapman &amp; Hall/CRC Press.</w:t>
      </w:r>
    </w:p>
    <w:p w14:paraId="5F24BC97" w14:textId="77777777" w:rsidR="00B156D9" w:rsidRDefault="00000000">
      <w:pPr>
        <w:spacing w:after="0" w:line="480" w:lineRule="auto"/>
        <w:ind w:left="720" w:hanging="720"/>
      </w:pPr>
      <w:r>
        <w:t xml:space="preserve">Hidalgo-Fuentes, S., Martínez-Álvarez, I., Llamas-Salguero, </w:t>
      </w:r>
      <w:r>
        <w:rPr>
          <w:i/>
        </w:rPr>
        <w:t>F</w:t>
      </w:r>
      <w:r>
        <w:t xml:space="preserve">., Pineda-Zelaya, I. S., Merino-Soto, C., &amp; Chans, G. </w:t>
      </w:r>
      <w:r>
        <w:rPr>
          <w:i/>
        </w:rPr>
        <w:t>M</w:t>
      </w:r>
      <w:r>
        <w:t>. (2024). The role of big five traits and self-esteem on academic procrastination in Honduran and Spanish university students: A cross-cultural study. Heliyon, 10(17), e36172. https://doi.org/10.1016/j.heliyon.2024.e36172</w:t>
      </w:r>
    </w:p>
    <w:p w14:paraId="1F63C785" w14:textId="77777777" w:rsidR="00B156D9" w:rsidRDefault="00000000">
      <w:pPr>
        <w:spacing w:after="0" w:line="480" w:lineRule="auto"/>
        <w:ind w:left="720" w:hanging="720"/>
      </w:pPr>
      <w:r>
        <w:t xml:space="preserve">Hunter, E. G., Niblock, J., Barefoot, S., Miller, J., Hughes, J., Kite, L., &amp; Scarletto, E. (2025). The influence of student personality traits on satisfaction and success in online education in higher education: A systematic review. </w:t>
      </w:r>
      <w:r>
        <w:rPr>
          <w:i/>
        </w:rPr>
        <w:t>Journal of Occupational Therapy Education, 9</w:t>
      </w:r>
      <w:r>
        <w:t>(2), Article 9. https://doi.org/10.26681/jote.2025.090209</w:t>
      </w:r>
    </w:p>
    <w:p w14:paraId="51EA0AEA" w14:textId="77777777" w:rsidR="00B156D9" w:rsidRDefault="00000000">
      <w:pPr>
        <w:spacing w:after="0" w:line="480" w:lineRule="auto"/>
        <w:ind w:left="720" w:hanging="720"/>
      </w:pPr>
      <w:r>
        <w:t xml:space="preserve">IntHout, J., Ioannidis, J. P. A., &amp; Borm, G. </w:t>
      </w:r>
      <w:r>
        <w:rPr>
          <w:i/>
        </w:rPr>
        <w:t>F</w:t>
      </w:r>
      <w:r>
        <w:t>. (2014). The Hartung-Knapp-Sidik-Jonkman method for random effects meta-analysis is straightforward and considerably outperforms the standard DerSimonian-Laird method. BMC Medical Research Methodology, 14, 25. https://doi.org/10.1186/1471-2288-14-25</w:t>
      </w:r>
    </w:p>
    <w:p w14:paraId="1AB1856E" w14:textId="77777777" w:rsidR="00B156D9" w:rsidRDefault="00000000">
      <w:pPr>
        <w:spacing w:after="0" w:line="480" w:lineRule="auto"/>
        <w:ind w:left="720" w:hanging="720"/>
      </w:pPr>
      <w:r>
        <w:t xml:space="preserve">Kara, A., Ergulec, </w:t>
      </w:r>
      <w:r>
        <w:rPr>
          <w:i/>
        </w:rPr>
        <w:t>F</w:t>
      </w:r>
      <w:r>
        <w:t xml:space="preserve">., &amp; Eren, E. (2024). The mediating role of self-regulated online learning behaviors: Exploring the impact of personality traits on student engagement. Education </w:t>
      </w:r>
      <w:r>
        <w:lastRenderedPageBreak/>
        <w:t>and Information Technologies, 29, 23517–23546. https://doi.org/10.1007/s10639-024-12755-3</w:t>
      </w:r>
    </w:p>
    <w:p w14:paraId="27589F4F" w14:textId="77777777" w:rsidR="00B156D9" w:rsidRDefault="00000000">
      <w:pPr>
        <w:spacing w:after="0" w:line="480" w:lineRule="auto"/>
        <w:ind w:left="720" w:hanging="720"/>
      </w:pPr>
      <w:r>
        <w:t xml:space="preserve">Kaspar, K., Burtniak, K., &amp; Rüth, </w:t>
      </w:r>
      <w:r>
        <w:rPr>
          <w:i/>
        </w:rPr>
        <w:t>M</w:t>
      </w:r>
      <w:r>
        <w:t>. (2023). Online learning during the Covid-19 pandemic: How university students' perceptions, engagement, and performance are related to their personal characteristics. Current Psychology. Advance online publication. https://doi.org/10.1007/s12144-023-04403-9</w:t>
      </w:r>
    </w:p>
    <w:p w14:paraId="0DE46515" w14:textId="77777777" w:rsidR="00B156D9" w:rsidRDefault="00000000">
      <w:pPr>
        <w:spacing w:after="0" w:line="480" w:lineRule="auto"/>
        <w:ind w:left="720" w:hanging="720"/>
      </w:pPr>
      <w:r>
        <w:t xml:space="preserve">Keller, H., &amp; Karau, S. J. (2013). The importance of personality in students' perceptions of the online learning experience. </w:t>
      </w:r>
      <w:r>
        <w:rPr>
          <w:i/>
        </w:rPr>
        <w:t>Computers in Human Behavior, 29</w:t>
      </w:r>
      <w:r>
        <w:t>(6), 2494–2500. https://doi.org/10.1016/j.chb.2013.06.007</w:t>
      </w:r>
    </w:p>
    <w:p w14:paraId="0E067FC5" w14:textId="77777777" w:rsidR="00B156D9" w:rsidRDefault="00000000">
      <w:pPr>
        <w:spacing w:after="0" w:line="480" w:lineRule="auto"/>
        <w:ind w:left="720" w:hanging="720"/>
      </w:pPr>
      <w:r>
        <w:t xml:space="preserve">MacLean, K. A. (2022). </w:t>
      </w:r>
      <w:r>
        <w:rPr>
          <w:i/>
        </w:rPr>
        <w:t>Endorsed, or just enforced? Personality and preferences for online learning during COVID-19</w:t>
      </w:r>
      <w:r>
        <w:t xml:space="preserve"> [Master's thesis, University of Calgary]. PRISM Repository.</w:t>
      </w:r>
    </w:p>
    <w:p w14:paraId="2A605154" w14:textId="77777777" w:rsidR="00B156D9" w:rsidRDefault="00000000">
      <w:pPr>
        <w:spacing w:after="0" w:line="480" w:lineRule="auto"/>
        <w:ind w:left="720" w:hanging="720"/>
      </w:pPr>
      <w:r>
        <w:t xml:space="preserve">Mammadov, S. (2022). Big Five personality traits and academic performance: A meta-analysis. </w:t>
      </w:r>
      <w:r>
        <w:rPr>
          <w:i/>
        </w:rPr>
        <w:t>Journal of Personality, 90</w:t>
      </w:r>
      <w:r>
        <w:t>(2), 222–255. https://doi.org/10.1111/jopy.12663</w:t>
      </w:r>
    </w:p>
    <w:p w14:paraId="4C1CD629" w14:textId="77777777" w:rsidR="00B156D9" w:rsidRDefault="00000000">
      <w:pPr>
        <w:spacing w:after="0" w:line="480" w:lineRule="auto"/>
        <w:ind w:left="720" w:hanging="720"/>
      </w:pPr>
      <w:r>
        <w:t xml:space="preserve">McAbee, S. T., &amp; Oswald, </w:t>
      </w:r>
      <w:r>
        <w:rPr>
          <w:i/>
        </w:rPr>
        <w:t>F</w:t>
      </w:r>
      <w:r>
        <w:t>. L. (2013). The criterion-related validity of personality measures for predicting GPA: A meta-analytic validity competition. Psychological Assessment, 25(2), 532–544. https://doi.org/10.1037/a0031748</w:t>
      </w:r>
    </w:p>
    <w:p w14:paraId="0950CA26" w14:textId="77777777" w:rsidR="00B156D9" w:rsidRDefault="00000000">
      <w:pPr>
        <w:spacing w:after="0" w:line="480" w:lineRule="auto"/>
        <w:ind w:left="720" w:hanging="720"/>
      </w:pPr>
      <w:r>
        <w:t xml:space="preserve">Meyer, J., Jansen, T., Hübner, </w:t>
      </w:r>
      <w:r>
        <w:rPr>
          <w:i/>
        </w:rPr>
        <w:t>N</w:t>
      </w:r>
      <w: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14:paraId="7B67D2D1" w14:textId="77777777" w:rsidR="00B156D9" w:rsidRDefault="00000000">
      <w:pPr>
        <w:spacing w:after="0" w:line="480" w:lineRule="auto"/>
        <w:ind w:left="720" w:hanging="720"/>
      </w:pPr>
      <w:r>
        <w:t xml:space="preserve">Moher, D., Shamseer, L., Clarke, </w:t>
      </w:r>
      <w:r>
        <w:rPr>
          <w:i/>
        </w:rPr>
        <w:t>M</w:t>
      </w:r>
      <w:r>
        <w:t xml:space="preserve">., Ghersi, D., Liberati, A., Petticrew, </w:t>
      </w:r>
      <w:r>
        <w:rPr>
          <w:i/>
        </w:rPr>
        <w:t>M</w:t>
      </w:r>
      <w:r>
        <w:t xml:space="preserve">., Shekelle, P., Stewart, L. A., &amp; PRISMA-P Group. (2015). Preferred reporting items for systematic </w:t>
      </w:r>
      <w:r>
        <w:lastRenderedPageBreak/>
        <w:t>review and meta-analysis protocols (PRISMA-P) 2015 statement. Systematic Reviews, 4(1), 1. https://doi.org/10.1186/2046-4053-4-1</w:t>
      </w:r>
    </w:p>
    <w:p w14:paraId="590F92E9" w14:textId="77777777" w:rsidR="00B156D9" w:rsidRDefault="00000000">
      <w:pPr>
        <w:spacing w:after="0" w:line="480" w:lineRule="auto"/>
        <w:ind w:left="720" w:hanging="720"/>
      </w:pPr>
      <w:r>
        <w:t xml:space="preserve">Moola, S., Munn, Z., Tufanaru, C., Aromataris, E., Sears, K., Sfetcu, R., Currie, </w:t>
      </w:r>
      <w:r>
        <w:rPr>
          <w:i/>
        </w:rPr>
        <w:t>M</w:t>
      </w:r>
      <w:r>
        <w:t>., Qureshi, R., Mattis, P., Lisy, K., &amp; Mu, P.-F. (2017). Chapter 7: Systematic reviews of etiology and risk. In E. Aromataris &amp; Z. Munn (Eds.), Joanna Briggs Institute Reviewer's Manual. The Joanna Briggs Institute.</w:t>
      </w:r>
    </w:p>
    <w:p w14:paraId="4583DF91" w14:textId="77777777" w:rsidR="00B156D9" w:rsidRDefault="00000000">
      <w:pPr>
        <w:spacing w:after="0" w:line="480" w:lineRule="auto"/>
        <w:ind w:left="720" w:hanging="720"/>
      </w:pPr>
      <w:r>
        <w:t xml:space="preserve">Munn, Z., Peters, </w:t>
      </w:r>
      <w:r>
        <w:rPr>
          <w:i/>
        </w:rPr>
        <w:t>M</w:t>
      </w:r>
      <w:r>
        <w:t>. D. J., Stern, C., Tufanaru, C., McArthur, A., &amp; Aromataris, E. (2018). Systematic review or scoping review? Guidance for authors when choosing between a systematic or scoping review approach. BMC Medical Research Methodology, 18, 143. https://doi.org/10.1186/s12874-018-0611-x</w:t>
      </w:r>
    </w:p>
    <w:p w14:paraId="6F249F3B" w14:textId="77777777" w:rsidR="00B156D9" w:rsidRDefault="00000000">
      <w:pPr>
        <w:spacing w:after="0" w:line="480" w:lineRule="auto"/>
        <w:ind w:left="720" w:hanging="720"/>
      </w:pPr>
      <w:r>
        <w:t xml:space="preserve">Mustafa, S., Qiao, Y., Yan, X., Anwar, A., Hao, T., &amp; Rana, S. (2022). Digital students' satisfaction with and intention to use online teaching modes, role of Big Five personality traits. </w:t>
      </w:r>
      <w:r>
        <w:rPr>
          <w:i/>
        </w:rPr>
        <w:t>Frontiers in Psychology, 13</w:t>
      </w:r>
      <w:r>
        <w:t>, 956281. https://doi.org/10.3389/fpsyg.2022.956281</w:t>
      </w:r>
    </w:p>
    <w:p w14:paraId="6AFD874D" w14:textId="77777777" w:rsidR="00B156D9" w:rsidRDefault="00000000">
      <w:pPr>
        <w:spacing w:after="0" w:line="480" w:lineRule="auto"/>
        <w:ind w:left="720" w:hanging="720"/>
      </w:pPr>
      <w:r>
        <w:t xml:space="preserve">Nakayama, </w:t>
      </w:r>
      <w:r>
        <w:rPr>
          <w:i/>
        </w:rPr>
        <w:t>M</w:t>
      </w:r>
      <w:r>
        <w:t>., Mutsuura, K., &amp; Yamamoto, H. (2014). Impact of learner's characteristics and learning behaviour on learning performance during a fully online course. Electronic Journal of e-Learning, 12(4), 394–408.</w:t>
      </w:r>
    </w:p>
    <w:p w14:paraId="1B3C9255" w14:textId="77777777" w:rsidR="00B156D9" w:rsidRDefault="00000000">
      <w:pPr>
        <w:spacing w:after="0" w:line="480" w:lineRule="auto"/>
        <w:ind w:left="720" w:hanging="720"/>
      </w:pPr>
      <w:r>
        <w:t xml:space="preserve">Page, </w:t>
      </w:r>
      <w:r>
        <w:rPr>
          <w:i/>
        </w:rPr>
        <w:t>M</w:t>
      </w:r>
      <w:r>
        <w:t xml:space="preserve">. J., McKenzie, J. E., Bossuyt, P. </w:t>
      </w:r>
      <w:r>
        <w:rPr>
          <w:i/>
        </w:rPr>
        <w:t>M</w:t>
      </w:r>
      <w:r>
        <w:t xml:space="preserve">., Boutron, I., Hoffmann, T. C., Mulrow, C. D., Shamseer, L., Tetzlaff, J. </w:t>
      </w:r>
      <w:r>
        <w:rPr>
          <w:i/>
        </w:rPr>
        <w:t>M</w:t>
      </w:r>
      <w:r>
        <w:t xml:space="preserve">., Akl, E. A., Brennan, S. E., Chou, R., Glanville, J., Grimshaw, J. </w:t>
      </w:r>
      <w:r>
        <w:rPr>
          <w:i/>
        </w:rPr>
        <w:t>M</w:t>
      </w:r>
      <w:r>
        <w:t xml:space="preserve">., Hróbjartsson, A., Lalu, </w:t>
      </w:r>
      <w:r>
        <w:rPr>
          <w:i/>
        </w:rPr>
        <w:t>M</w:t>
      </w:r>
      <w:r>
        <w:t xml:space="preserve">. </w:t>
      </w:r>
      <w:r>
        <w:rPr>
          <w:i/>
        </w:rPr>
        <w:t>M</w:t>
      </w:r>
      <w:r>
        <w:t>., Li, T., Loder, E. W., Mayo-Wilson, E., McDonald, S., … Moher, D. (2021). The PRISMA 2020 statement: An updated guideline for reporting systematic reviews. BMJ, 372, n71. https://doi.org/10.1136/bmj.n71</w:t>
      </w:r>
    </w:p>
    <w:p w14:paraId="7DC67601" w14:textId="77777777" w:rsidR="00B156D9" w:rsidRDefault="00000000">
      <w:pPr>
        <w:spacing w:after="0" w:line="480" w:lineRule="auto"/>
        <w:ind w:left="720" w:hanging="720"/>
      </w:pPr>
      <w:r>
        <w:lastRenderedPageBreak/>
        <w:t xml:space="preserve">Paulhus, D. L. (1998). Interpersonal and intrapsychic adaptiveness of trait self-enhancement: A mixed blessing? </w:t>
      </w:r>
      <w:r>
        <w:rPr>
          <w:i/>
        </w:rPr>
        <w:t>Journal of Personality and Social Psychology, 74</w:t>
      </w:r>
      <w:r>
        <w:t>(5), 1197–1208. https://doi.org/10.1037/0022-3514.74.5.1197</w:t>
      </w:r>
    </w:p>
    <w:p w14:paraId="41AA0E3B" w14:textId="77777777" w:rsidR="00B156D9" w:rsidRDefault="00000000">
      <w:pPr>
        <w:spacing w:after="0" w:line="480" w:lineRule="auto"/>
        <w:ind w:left="720" w:hanging="720"/>
      </w:pPr>
      <w:r>
        <w:t xml:space="preserve">Peterson, R. A., &amp; Brown, S. P. (2005). On the use of beta coefficients in meta-analysis. </w:t>
      </w:r>
      <w:r>
        <w:rPr>
          <w:i/>
        </w:rPr>
        <w:t>Journal of Applied Psychology, 90</w:t>
      </w:r>
      <w:r>
        <w:t>(1), 175–181. https://doi.org/10.1037/0021-9010.90.1.175</w:t>
      </w:r>
    </w:p>
    <w:p w14:paraId="33F0CFAA" w14:textId="77777777" w:rsidR="00B156D9" w:rsidRDefault="00000000">
      <w:pPr>
        <w:spacing w:after="0" w:line="480" w:lineRule="auto"/>
        <w:ind w:left="720" w:hanging="720"/>
      </w:pPr>
      <w:r>
        <w:t xml:space="preserve">Poropat, A. E. (2009). A meta-analysis of the five-factor model of personality and academic performance. </w:t>
      </w:r>
      <w:r>
        <w:rPr>
          <w:i/>
        </w:rPr>
        <w:t>Psychological Bulletin, 135</w:t>
      </w:r>
      <w:r>
        <w:t>(2), 322–338. https://doi.org/10.1037/a0014996</w:t>
      </w:r>
    </w:p>
    <w:p w14:paraId="385B8B9E" w14:textId="77777777" w:rsidR="00B156D9" w:rsidRDefault="00000000">
      <w:pPr>
        <w:spacing w:after="0" w:line="480" w:lineRule="auto"/>
        <w:ind w:left="720" w:hanging="720"/>
      </w:pPr>
      <w:r>
        <w:t xml:space="preserve">Pustejovsky, J. E. (2023). </w:t>
      </w:r>
      <w:r>
        <w:rPr>
          <w:i/>
        </w:rPr>
        <w:t>clubSandwich: Cluster-robust (sandwich) variance estimators with small-sample corrections</w:t>
      </w:r>
      <w:r>
        <w:t xml:space="preserve"> (R package version 0.5.10) [Computer software]. https://CRAN.R-project.org/package=clubSandwich</w:t>
      </w:r>
    </w:p>
    <w:p w14:paraId="2B080497" w14:textId="77777777" w:rsidR="00B156D9" w:rsidRDefault="00000000">
      <w:pPr>
        <w:spacing w:after="0" w:line="480" w:lineRule="auto"/>
        <w:ind w:left="720" w:hanging="720"/>
      </w:pPr>
      <w:r>
        <w:t xml:space="preserve">Quigley, </w:t>
      </w:r>
      <w:r>
        <w:rPr>
          <w:i/>
        </w:rPr>
        <w:t>M</w:t>
      </w:r>
      <w:r>
        <w:t>., Bradley, A., Playfoot, D., &amp; Harrad, R. (2022). Personality traits and stress perception as predictors of students' online engagement during the COVID-19 pandemic. Personality and Individual Differences, 194, 111645. https://doi.org/10.1016/j.paid.2022.111645</w:t>
      </w:r>
    </w:p>
    <w:p w14:paraId="6DA4E6AD" w14:textId="77777777" w:rsidR="00B156D9" w:rsidRDefault="00000000">
      <w:pPr>
        <w:spacing w:after="0" w:line="480" w:lineRule="auto"/>
        <w:ind w:left="720" w:hanging="720"/>
      </w:pPr>
      <w:r>
        <w:t xml:space="preserve">Raudenbush, S. W. (2009). Analyzing effect sizes: Random-effects models. In H. Cooper, L. V. Hedges, &amp; J. C. Valentine (Eds.), </w:t>
      </w:r>
      <w:r>
        <w:rPr>
          <w:i/>
        </w:rPr>
        <w:t>The handbook of research synthesis and meta-analysis</w:t>
      </w:r>
      <w:r>
        <w:t xml:space="preserve"> (2nd ed., pp. 295–315). Russell Sage Foundation.</w:t>
      </w:r>
    </w:p>
    <w:p w14:paraId="6A32622C" w14:textId="77777777" w:rsidR="00B156D9" w:rsidRDefault="00000000">
      <w:pPr>
        <w:spacing w:after="0" w:line="480" w:lineRule="auto"/>
        <w:ind w:left="720" w:hanging="720"/>
      </w:pPr>
      <w:r>
        <w:t xml:space="preserve">Rivers, D. J. (2021). The role of personality traits and online academic self-efficacy in acceptance, actual use and achievement in Moodle. </w:t>
      </w:r>
      <w:r>
        <w:rPr>
          <w:i/>
        </w:rPr>
        <w:t>Education and Information Technologies, 26</w:t>
      </w:r>
      <w:r>
        <w:t>(4), 4353–4378. https://doi.org/10.1007/s10639-021-10478-3</w:t>
      </w:r>
    </w:p>
    <w:p w14:paraId="29ED1E68" w14:textId="77777777" w:rsidR="00B156D9" w:rsidRDefault="00000000">
      <w:pPr>
        <w:spacing w:after="0" w:line="480" w:lineRule="auto"/>
        <w:ind w:left="720" w:hanging="720"/>
      </w:pPr>
      <w:r>
        <w:t xml:space="preserve">Rodrigues, J., Rose, R., &amp; Hewig, J. (2024). The relation of Big Five personality traits on academic performance, well-being and home study satisfaction in corona times. </w:t>
      </w:r>
      <w:r>
        <w:rPr>
          <w:i/>
        </w:rPr>
        <w:lastRenderedPageBreak/>
        <w:t>European Journal of Investigation in Health, Psychology and Education, 14</w:t>
      </w:r>
      <w:r>
        <w:t>(2), 368–384. https://doi.org/10.3390/ejihpe14020025</w:t>
      </w:r>
    </w:p>
    <w:p w14:paraId="08B44F41" w14:textId="77777777" w:rsidR="00B156D9" w:rsidRDefault="00000000">
      <w:pPr>
        <w:spacing w:after="0" w:line="480" w:lineRule="auto"/>
        <w:ind w:left="720" w:hanging="720"/>
      </w:pPr>
      <w: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i/>
        </w:rPr>
        <w:t>Strategic Innovative Marketing and Tourism</w:t>
      </w:r>
      <w:r>
        <w:t xml:space="preserve"> (pp. 116–130). Springer. https://doi.org/10.1007/978-3-030-66154-0_10</w:t>
      </w:r>
    </w:p>
    <w:p w14:paraId="0851316E" w14:textId="77777777" w:rsidR="00B156D9" w:rsidRDefault="00000000">
      <w:pPr>
        <w:spacing w:after="0" w:line="480" w:lineRule="auto"/>
        <w:ind w:left="720" w:hanging="720"/>
      </w:pPr>
      <w:r>
        <w:t xml:space="preserve">Schünemann, H. J., Higgins, J. P. T., Vist, G. E., Glasziou, P., Akl, E. A., Skoetz, </w:t>
      </w:r>
      <w:r>
        <w:rPr>
          <w:i/>
        </w:rPr>
        <w:t>N</w:t>
      </w:r>
      <w:r>
        <w:t xml:space="preserve">., &amp; Guyatt, G. H. (2019). Chapter 14: Completing "Summary of findings" tables and grading the certainty of the evidence. In J. P. T. Higgins, J. Thomas, J. Chandler, </w:t>
      </w:r>
      <w:r>
        <w:rPr>
          <w:i/>
        </w:rPr>
        <w:t>M</w:t>
      </w:r>
      <w:r>
        <w:t xml:space="preserve">. Cumpston, T. Li, </w:t>
      </w:r>
      <w:r>
        <w:rPr>
          <w:i/>
        </w:rPr>
        <w:t>M</w:t>
      </w:r>
      <w:r>
        <w:t>. J. Page, &amp; V. A. Welch (Eds.), Cochrane handbook for systematic reviews of interventions (2nd ed.). John Wiley &amp; Sons.</w:t>
      </w:r>
    </w:p>
    <w:p w14:paraId="2DE20102" w14:textId="77777777" w:rsidR="00B156D9" w:rsidRDefault="00000000">
      <w:pPr>
        <w:spacing w:after="0" w:line="480" w:lineRule="auto"/>
        <w:ind w:left="720" w:hanging="720"/>
      </w:pPr>
      <w:r>
        <w:t xml:space="preserve">Simonsohn, U., Nelson, L. D., &amp; Simmons, J. P. (2014). P-curve: A key to the file-drawer. </w:t>
      </w:r>
      <w:r>
        <w:rPr>
          <w:i/>
        </w:rPr>
        <w:t>Journal of Experimental Psychology: General, 143</w:t>
      </w:r>
      <w:r>
        <w:t>(2), 534–547. https://doi.org/10.1037/a0033242</w:t>
      </w:r>
    </w:p>
    <w:p w14:paraId="524D7E78" w14:textId="77777777" w:rsidR="00B156D9" w:rsidRDefault="00000000">
      <w:pPr>
        <w:spacing w:after="0" w:line="480" w:lineRule="auto"/>
        <w:ind w:left="720" w:hanging="720"/>
      </w:pPr>
      <w:r>
        <w:t xml:space="preserve">Stajkovic, A. D., Bandura, A., Locke, E. A., Lee, D., &amp; Sergent, K. (2018). Test of three conceptual models of influence of the big five personality traits and self-efficacy on academic performance: A meta-analytic path-analysis. </w:t>
      </w:r>
      <w:r>
        <w:rPr>
          <w:i/>
        </w:rPr>
        <w:t>Personality and Individual Differences, 120</w:t>
      </w:r>
      <w:r>
        <w:t>, 238–245. https://doi.org/10.1016/j.paid.2017.08.014</w:t>
      </w:r>
    </w:p>
    <w:p w14:paraId="01F9AC25" w14:textId="77777777" w:rsidR="00B156D9" w:rsidRDefault="00000000">
      <w:pPr>
        <w:spacing w:after="0" w:line="480" w:lineRule="auto"/>
        <w:ind w:left="720" w:hanging="720"/>
      </w:pPr>
      <w:r>
        <w:t xml:space="preserve">Tett, R. P., &amp; Burnett, D. D. (2003). A personality trait-based interactionist model of job performance. </w:t>
      </w:r>
      <w:r>
        <w:rPr>
          <w:i/>
        </w:rPr>
        <w:t>Journal of Applied Psychology, 88</w:t>
      </w:r>
      <w:r>
        <w:t>(3), 500–517. https://doi.org/10.1037/0021-9010.88.3.500</w:t>
      </w:r>
    </w:p>
    <w:p w14:paraId="624DC628" w14:textId="77777777" w:rsidR="00B156D9" w:rsidRDefault="00000000">
      <w:pPr>
        <w:spacing w:after="0" w:line="480" w:lineRule="auto"/>
        <w:ind w:left="720" w:hanging="720"/>
      </w:pPr>
      <w:r>
        <w:lastRenderedPageBreak/>
        <w:t xml:space="preserve">Tipton, E. (2015). Small sample adjustments for robust variance estimation with meta-regression. </w:t>
      </w:r>
      <w:r>
        <w:rPr>
          <w:i/>
        </w:rPr>
        <w:t>Psychological Methods, 20</w:t>
      </w:r>
      <w:r>
        <w:t>(3), 375–393. https://doi.org/10.1037/met0000011</w:t>
      </w:r>
    </w:p>
    <w:p w14:paraId="5CB7C7A5" w14:textId="77777777" w:rsidR="00B156D9" w:rsidRDefault="00000000">
      <w:pPr>
        <w:spacing w:after="0" w:line="480" w:lineRule="auto"/>
        <w:ind w:left="720" w:hanging="720"/>
      </w:pPr>
      <w:r>
        <w:t xml:space="preserve">Tricco, A. C., Lillie, E., Zarin, W., O'Brien, K. K., Colquhoun, H., Levac, D., Moher, D., Peters, </w:t>
      </w:r>
      <w:r>
        <w:rPr>
          <w:i/>
        </w:rPr>
        <w:t>M</w:t>
      </w:r>
      <w:r>
        <w:t xml:space="preserve">. D. J., Horsley, T., Weeks, L., Hempel, S., Akl, E. A., Chang, C., McGowan, J., Stewart, L., Hartling, L., Aldcroft, A., Wilson, </w:t>
      </w:r>
      <w:r>
        <w:rPr>
          <w:i/>
        </w:rPr>
        <w:t>M</w:t>
      </w:r>
      <w:r>
        <w:t>. G., Garritty, C., … Straus, S. E. (2018). PRISMA Extension for Scoping Reviews (PRISMA-ScR): Checklist and explanation. Annals of Internal Medicine, 169(7), 467–473. https://doi.org/10.7326/M18-0850</w:t>
      </w:r>
    </w:p>
    <w:p w14:paraId="1172F0FE" w14:textId="77777777" w:rsidR="00B156D9" w:rsidRDefault="00000000">
      <w:pPr>
        <w:spacing w:after="0" w:line="480" w:lineRule="auto"/>
        <w:ind w:left="720" w:hanging="720"/>
      </w:pPr>
      <w:r>
        <w:t xml:space="preserve">Tlili, A., Sun, T., Denden, </w:t>
      </w:r>
      <w:r>
        <w:rPr>
          <w:i/>
        </w:rPr>
        <w:t>M</w:t>
      </w:r>
      <w:r>
        <w:t>., Kinshuk, Graf, S., Fei, C., &amp; Wang, H. (2023). Impact of personality traits on learners' navigational behavior patterns in an online course: A lag sequential analysis approach. Frontiers in Psychology, 14, 1071985. https://doi.org/10.3389/fpsyg.2023.1071985</w:t>
      </w:r>
    </w:p>
    <w:p w14:paraId="0193F0E8" w14:textId="77777777" w:rsidR="00B156D9" w:rsidRDefault="00000000">
      <w:pPr>
        <w:spacing w:after="0" w:line="480" w:lineRule="auto"/>
        <w:ind w:left="720" w:hanging="720"/>
      </w:pPr>
      <w:r>
        <w:t xml:space="preserve">Tokiwa, E. (2025). Who excels in online learning in Japan? </w:t>
      </w:r>
      <w:r>
        <w:rPr>
          <w:i/>
        </w:rPr>
        <w:t>Frontiers in Psychology, 16</w:t>
      </w:r>
      <w:r>
        <w:t>, Article 1420996. https://doi.org/10.3389/fpsyg.2025.1420996</w:t>
      </w:r>
    </w:p>
    <w:p w14:paraId="238DA357" w14:textId="77777777" w:rsidR="00B156D9" w:rsidRDefault="00000000">
      <w:pPr>
        <w:spacing w:after="0" w:line="480" w:lineRule="auto"/>
        <w:ind w:left="720" w:hanging="720"/>
      </w:pPr>
      <w:r>
        <w:t xml:space="preserve">Vedel, A. (2014). The Big Five and tertiary academic performance: A systematic review and meta-analysis. </w:t>
      </w:r>
      <w:r>
        <w:rPr>
          <w:i/>
        </w:rPr>
        <w:t>Personality and Individual Differences, 71</w:t>
      </w:r>
      <w:r>
        <w:t>, 66–76. https://doi.org/10.1016/j.paid.2014.07.011</w:t>
      </w:r>
    </w:p>
    <w:p w14:paraId="0BBFF6C9" w14:textId="77777777" w:rsidR="00B156D9" w:rsidRDefault="00000000">
      <w:pPr>
        <w:spacing w:after="0" w:line="480" w:lineRule="auto"/>
        <w:ind w:left="720" w:hanging="720"/>
      </w:pPr>
      <w:r>
        <w:t xml:space="preserve">Viechtbauer, W. (2010). Conducting meta-analyses in R with the metafor package. </w:t>
      </w:r>
      <w:r>
        <w:rPr>
          <w:i/>
        </w:rPr>
        <w:t>Journal of Statistical Software, 36</w:t>
      </w:r>
      <w:r>
        <w:t>(3), 1–48. https://doi.org/10.18637/jss.v036.i03</w:t>
      </w:r>
    </w:p>
    <w:p w14:paraId="5E6B2225" w14:textId="77777777" w:rsidR="00B156D9" w:rsidRDefault="00000000">
      <w:pPr>
        <w:spacing w:after="0" w:line="480" w:lineRule="auto"/>
        <w:ind w:left="720" w:hanging="720"/>
      </w:pPr>
      <w:r>
        <w:t xml:space="preserve">Wang, P., Wang, </w:t>
      </w:r>
      <w:r>
        <w:rPr>
          <w:i/>
        </w:rPr>
        <w:t>F</w:t>
      </w:r>
      <w:r>
        <w:t>., &amp; Li, Z. (2023). Exploring the ecosystem of K-12 online learning: An empirical study of impact mechanisms in the post-pandemic era. Frontiers in Psychology, 14, 1241477. https://doi.org/10.3389/fpsyg.2023.1241477</w:t>
      </w:r>
    </w:p>
    <w:p w14:paraId="4F09D293" w14:textId="77777777" w:rsidR="00B156D9" w:rsidRDefault="00000000">
      <w:pPr>
        <w:spacing w:after="0" w:line="480" w:lineRule="auto"/>
        <w:ind w:left="720" w:hanging="720"/>
      </w:pPr>
      <w:r>
        <w:t xml:space="preserve">Wu, R., &amp; Yu, Z. (2024). Relationship between university students' personalities and e-learning engagement mediated by achievement emotions and adaptability. </w:t>
      </w:r>
      <w:r>
        <w:rPr>
          <w:i/>
        </w:rPr>
        <w:t xml:space="preserve">Education and </w:t>
      </w:r>
      <w:r>
        <w:rPr>
          <w:i/>
        </w:rPr>
        <w:lastRenderedPageBreak/>
        <w:t>Information Technologies, 29</w:t>
      </w:r>
      <w:r>
        <w:t>, 10821–10850. https://doi.org/10.1007/s10639-023-12222-5</w:t>
      </w:r>
    </w:p>
    <w:p w14:paraId="46E02D90" w14:textId="77777777" w:rsidR="00B156D9" w:rsidRDefault="00000000">
      <w:pPr>
        <w:spacing w:after="0" w:line="480" w:lineRule="auto"/>
        <w:ind w:left="720" w:hanging="720"/>
      </w:pPr>
      <w:r>
        <w:t xml:space="preserve">Yu, Z. (2021). The effects of gender, educational level, and personality on online learning outcomes during the COVID-19 pandemic. </w:t>
      </w:r>
      <w:r>
        <w:rPr>
          <w:i/>
        </w:rPr>
        <w:t>International Journal of Educational Technology in Higher Education, 18</w:t>
      </w:r>
      <w:r>
        <w:t>, Article 14. https://doi.org/10.1186/s41239-021-00252-3</w:t>
      </w:r>
    </w:p>
    <w:p w14:paraId="2140D730" w14:textId="77777777" w:rsidR="00B156D9" w:rsidRDefault="00000000">
      <w:pPr>
        <w:spacing w:after="0" w:line="480" w:lineRule="auto"/>
        <w:ind w:left="720" w:hanging="720"/>
      </w:pPr>
      <w:r>
        <w:t xml:space="preserve">Zell, E., &amp; Lesick, T. L. (2022). Big five personality traits and performance: A quantitative synthesis of 50+ meta-analyses. </w:t>
      </w:r>
      <w:r>
        <w:rPr>
          <w:i/>
        </w:rPr>
        <w:t>Journal of Personality, 90</w:t>
      </w:r>
      <w:r>
        <w:t>(4), 559–573. https://doi.org/10.1111/jopy.12683</w:t>
      </w:r>
    </w:p>
    <w:p w14:paraId="4F8C192A" w14:textId="77777777" w:rsidR="00B156D9" w:rsidRDefault="00000000">
      <w:pPr>
        <w:spacing w:after="0" w:line="480" w:lineRule="auto"/>
        <w:ind w:left="720" w:hanging="720"/>
      </w:pPr>
      <w:r>
        <w:t xml:space="preserve">Zheng, Y., &amp; Zheng, S. (2023). Exploring educational impacts among pre, during and post COVID-19 lockdowns from students with different personality traits. </w:t>
      </w:r>
      <w:r>
        <w:rPr>
          <w:i/>
        </w:rPr>
        <w:t>International Journal of Educational Technology in Higher Education, 20</w:t>
      </w:r>
      <w:r>
        <w:t>(1), 21. https://doi.org/10.1186/s41239-023-00388-4</w:t>
      </w:r>
    </w:p>
    <w:p w14:paraId="4CAE3A19" w14:textId="77777777" w:rsidR="00B156D9" w:rsidRDefault="00000000">
      <w:r>
        <w:br w:type="page"/>
      </w:r>
    </w:p>
    <w:p w14:paraId="52F7A2C1" w14:textId="77777777" w:rsidR="00B156D9" w:rsidRDefault="00000000">
      <w:pPr>
        <w:spacing w:after="0" w:line="480" w:lineRule="auto"/>
      </w:pPr>
      <w:r>
        <w:rPr>
          <w:b/>
        </w:rPr>
        <w:lastRenderedPageBreak/>
        <w:t>Table 1</w:t>
      </w:r>
    </w:p>
    <w:p w14:paraId="012B9F82" w14:textId="77777777" w:rsidR="00B156D9" w:rsidRDefault="00000000">
      <w:pPr>
        <w:spacing w:after="0" w:line="480" w:lineRule="auto"/>
      </w:pPr>
      <w:r>
        <w:rPr>
          <w:i/>
        </w:rPr>
        <w:t>Characteristics of the 31 Included Primary Studies and Their Contributions to the Quantitative Synthesis</w:t>
      </w:r>
    </w:p>
    <w:tbl>
      <w:tblPr>
        <w:tblStyle w:val="38"/>
        <w:tblW w:w="0" w:type="auto"/>
        <w:tblLook w:val="04A0" w:firstRow="1" w:lastRow="0" w:firstColumn="1" w:lastColumn="0" w:noHBand="0" w:noVBand="1"/>
      </w:tblPr>
      <w:tblGrid>
        <w:gridCol w:w="356"/>
        <w:gridCol w:w="904"/>
        <w:gridCol w:w="466"/>
        <w:gridCol w:w="1058"/>
        <w:gridCol w:w="745"/>
        <w:gridCol w:w="682"/>
        <w:gridCol w:w="821"/>
        <w:gridCol w:w="1002"/>
        <w:gridCol w:w="863"/>
        <w:gridCol w:w="1516"/>
        <w:gridCol w:w="710"/>
        <w:gridCol w:w="453"/>
      </w:tblGrid>
      <w:tr w:rsidR="00B156D9" w14:paraId="7E496D80" w14:textId="77777777" w:rsidTr="00B156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0192E618" w14:textId="77777777" w:rsidR="00B156D9" w:rsidRDefault="00000000">
            <w:r>
              <w:rPr>
                <w:sz w:val="16"/>
              </w:rPr>
              <w:t>ID</w:t>
            </w:r>
          </w:p>
        </w:tc>
        <w:tc>
          <w:tcPr>
            <w:tcW w:w="780" w:type="dxa"/>
          </w:tcPr>
          <w:p w14:paraId="7B91CC1B" w14:textId="77777777" w:rsidR="00B156D9" w:rsidRDefault="00000000">
            <w:pPr>
              <w:cnfStyle w:val="100000000000" w:firstRow="1" w:lastRow="0" w:firstColumn="0" w:lastColumn="0" w:oddVBand="0" w:evenVBand="0" w:oddHBand="0" w:evenHBand="0" w:firstRowFirstColumn="0" w:firstRowLastColumn="0" w:lastRowFirstColumn="0" w:lastRowLastColumn="0"/>
            </w:pPr>
            <w:r>
              <w:rPr>
                <w:sz w:val="16"/>
              </w:rPr>
              <w:t>Author (Year)</w:t>
            </w:r>
          </w:p>
        </w:tc>
        <w:tc>
          <w:tcPr>
            <w:tcW w:w="780" w:type="dxa"/>
          </w:tcPr>
          <w:p w14:paraId="235025A7" w14:textId="77777777" w:rsidR="00B156D9" w:rsidRDefault="00000000">
            <w:pPr>
              <w:cnfStyle w:val="100000000000" w:firstRow="1" w:lastRow="0" w:firstColumn="0" w:lastColumn="0" w:oddVBand="0" w:evenVBand="0" w:oddHBand="0" w:evenHBand="0" w:firstRowFirstColumn="0" w:firstRowLastColumn="0" w:lastRowFirstColumn="0" w:lastRowLastColumn="0"/>
            </w:pPr>
            <w:r>
              <w:rPr>
                <w:sz w:val="16"/>
              </w:rPr>
              <w:t>N</w:t>
            </w:r>
          </w:p>
        </w:tc>
        <w:tc>
          <w:tcPr>
            <w:tcW w:w="780" w:type="dxa"/>
          </w:tcPr>
          <w:p w14:paraId="54C129F2" w14:textId="77777777" w:rsidR="00B156D9" w:rsidRDefault="00000000">
            <w:pPr>
              <w:cnfStyle w:val="100000000000" w:firstRow="1" w:lastRow="0" w:firstColumn="0" w:lastColumn="0" w:oddVBand="0" w:evenVBand="0" w:oddHBand="0" w:evenHBand="0" w:firstRowFirstColumn="0" w:firstRowLastColumn="0" w:lastRowFirstColumn="0" w:lastRowLastColumn="0"/>
            </w:pPr>
            <w:r>
              <w:rPr>
                <w:sz w:val="16"/>
              </w:rPr>
              <w:t>Country</w:t>
            </w:r>
          </w:p>
        </w:tc>
        <w:tc>
          <w:tcPr>
            <w:tcW w:w="780" w:type="dxa"/>
          </w:tcPr>
          <w:p w14:paraId="1172FE30" w14:textId="77777777" w:rsidR="00B156D9" w:rsidRDefault="00000000">
            <w:pPr>
              <w:cnfStyle w:val="100000000000" w:firstRow="1" w:lastRow="0" w:firstColumn="0" w:lastColumn="0" w:oddVBand="0" w:evenVBand="0" w:oddHBand="0" w:evenHBand="0" w:firstRowFirstColumn="0" w:firstRowLastColumn="0" w:lastRowFirstColumn="0" w:lastRowLastColumn="0"/>
            </w:pPr>
            <w:r>
              <w:rPr>
                <w:sz w:val="16"/>
              </w:rPr>
              <w:t>Mode</w:t>
            </w:r>
          </w:p>
        </w:tc>
        <w:tc>
          <w:tcPr>
            <w:tcW w:w="780" w:type="dxa"/>
          </w:tcPr>
          <w:p w14:paraId="038E1FAE" w14:textId="77777777" w:rsidR="00B156D9" w:rsidRDefault="00000000">
            <w:pPr>
              <w:cnfStyle w:val="100000000000" w:firstRow="1" w:lastRow="0" w:firstColumn="0" w:lastColumn="0" w:oddVBand="0" w:evenVBand="0" w:oddHBand="0" w:evenHBand="0" w:firstRowFirstColumn="0" w:firstRowLastColumn="0" w:lastRowFirstColumn="0" w:lastRowLastColumn="0"/>
            </w:pPr>
            <w:r>
              <w:rPr>
                <w:sz w:val="16"/>
              </w:rPr>
              <w:t>Level</w:t>
            </w:r>
          </w:p>
        </w:tc>
        <w:tc>
          <w:tcPr>
            <w:tcW w:w="780" w:type="dxa"/>
          </w:tcPr>
          <w:p w14:paraId="7E61F813" w14:textId="77777777" w:rsidR="00B156D9" w:rsidRDefault="00000000">
            <w:pPr>
              <w:cnfStyle w:val="100000000000" w:firstRow="1" w:lastRow="0" w:firstColumn="0" w:lastColumn="0" w:oddVBand="0" w:evenVBand="0" w:oddHBand="0" w:evenHBand="0" w:firstRowFirstColumn="0" w:firstRowLastColumn="0" w:lastRowFirstColumn="0" w:lastRowLastColumn="0"/>
            </w:pPr>
            <w:r>
              <w:rPr>
                <w:sz w:val="16"/>
              </w:rPr>
              <w:t>Era</w:t>
            </w:r>
          </w:p>
        </w:tc>
        <w:tc>
          <w:tcPr>
            <w:tcW w:w="780" w:type="dxa"/>
          </w:tcPr>
          <w:p w14:paraId="0F76F501" w14:textId="77777777" w:rsidR="00B156D9" w:rsidRDefault="00000000">
            <w:pPr>
              <w:cnfStyle w:val="100000000000" w:firstRow="1" w:lastRow="0" w:firstColumn="0" w:lastColumn="0" w:oddVBand="0" w:evenVBand="0" w:oddHBand="0" w:evenHBand="0" w:firstRowFirstColumn="0" w:firstRowLastColumn="0" w:lastRowFirstColumn="0" w:lastRowLastColumn="0"/>
            </w:pPr>
            <w:r>
              <w:rPr>
                <w:sz w:val="16"/>
              </w:rPr>
              <w:t>Region</w:t>
            </w:r>
          </w:p>
        </w:tc>
        <w:tc>
          <w:tcPr>
            <w:tcW w:w="780" w:type="dxa"/>
          </w:tcPr>
          <w:p w14:paraId="61A1E3D4" w14:textId="77777777" w:rsidR="00B156D9" w:rsidRDefault="00000000">
            <w:pPr>
              <w:cnfStyle w:val="100000000000" w:firstRow="1" w:lastRow="0" w:firstColumn="0" w:lastColumn="0" w:oddVBand="0" w:evenVBand="0" w:oddHBand="0" w:evenHBand="0" w:firstRowFirstColumn="0" w:firstRowLastColumn="0" w:lastRowFirstColumn="0" w:lastRowLastColumn="0"/>
            </w:pPr>
            <w:r>
              <w:rPr>
                <w:sz w:val="16"/>
              </w:rPr>
              <w:t>Instrument</w:t>
            </w:r>
          </w:p>
        </w:tc>
        <w:tc>
          <w:tcPr>
            <w:tcW w:w="780" w:type="dxa"/>
          </w:tcPr>
          <w:p w14:paraId="1AAE2C43" w14:textId="77777777" w:rsidR="00B156D9" w:rsidRDefault="00000000">
            <w:pPr>
              <w:cnfStyle w:val="100000000000" w:firstRow="1" w:lastRow="0" w:firstColumn="0" w:lastColumn="0" w:oddVBand="0" w:evenVBand="0" w:oddHBand="0" w:evenHBand="0" w:firstRowFirstColumn="0" w:firstRowLastColumn="0" w:lastRowFirstColumn="0" w:lastRowLastColumn="0"/>
            </w:pPr>
            <w:r>
              <w:rPr>
                <w:sz w:val="16"/>
              </w:rPr>
              <w:t>Outcome</w:t>
            </w:r>
          </w:p>
        </w:tc>
        <w:tc>
          <w:tcPr>
            <w:tcW w:w="780" w:type="dxa"/>
          </w:tcPr>
          <w:p w14:paraId="26E4BD90" w14:textId="77777777" w:rsidR="00B156D9" w:rsidRDefault="00000000">
            <w:pPr>
              <w:cnfStyle w:val="100000000000" w:firstRow="1" w:lastRow="0" w:firstColumn="0" w:lastColumn="0" w:oddVBand="0" w:evenVBand="0" w:oddHBand="0" w:evenHBand="0" w:firstRowFirstColumn="0" w:firstRowLastColumn="0" w:lastRowFirstColumn="0" w:lastRowLastColumn="0"/>
            </w:pPr>
            <w:r>
              <w:rPr>
                <w:sz w:val="16"/>
              </w:rPr>
              <w:t>Inclusion</w:t>
            </w:r>
          </w:p>
        </w:tc>
        <w:tc>
          <w:tcPr>
            <w:tcW w:w="780" w:type="dxa"/>
          </w:tcPr>
          <w:p w14:paraId="30491222" w14:textId="77777777" w:rsidR="00B156D9" w:rsidRDefault="00000000">
            <w:pPr>
              <w:cnfStyle w:val="100000000000" w:firstRow="1" w:lastRow="0" w:firstColumn="0" w:lastColumn="0" w:oddVBand="0" w:evenVBand="0" w:oddHBand="0" w:evenHBand="0" w:firstRowFirstColumn="0" w:firstRowLastColumn="0" w:lastRowFirstColumn="0" w:lastRowLastColumn="0"/>
            </w:pPr>
            <w:r>
              <w:rPr>
                <w:sz w:val="16"/>
              </w:rPr>
              <w:t>RoB</w:t>
            </w:r>
          </w:p>
        </w:tc>
      </w:tr>
      <w:tr w:rsidR="00B156D9" w14:paraId="07FA130F"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61FACED2" w14:textId="77777777" w:rsidR="00B156D9" w:rsidRDefault="00000000">
            <w:r>
              <w:rPr>
                <w:sz w:val="16"/>
              </w:rPr>
              <w:t>A-01</w:t>
            </w:r>
          </w:p>
        </w:tc>
        <w:tc>
          <w:tcPr>
            <w:tcW w:w="780" w:type="dxa"/>
          </w:tcPr>
          <w:p w14:paraId="6DDD29ED"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Abe (2020)</w:t>
            </w:r>
          </w:p>
        </w:tc>
        <w:tc>
          <w:tcPr>
            <w:tcW w:w="780" w:type="dxa"/>
          </w:tcPr>
          <w:p w14:paraId="589E488E"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92</w:t>
            </w:r>
          </w:p>
        </w:tc>
        <w:tc>
          <w:tcPr>
            <w:tcW w:w="780" w:type="dxa"/>
          </w:tcPr>
          <w:p w14:paraId="4B52594F"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US</w:t>
            </w:r>
          </w:p>
        </w:tc>
        <w:tc>
          <w:tcPr>
            <w:tcW w:w="780" w:type="dxa"/>
          </w:tcPr>
          <w:p w14:paraId="313910DB"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75485D46"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742F3DB6"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pre-COVID</w:t>
            </w:r>
          </w:p>
        </w:tc>
        <w:tc>
          <w:tcPr>
            <w:tcW w:w="780" w:type="dxa"/>
          </w:tcPr>
          <w:p w14:paraId="535F75E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North_America</w:t>
            </w:r>
          </w:p>
        </w:tc>
        <w:tc>
          <w:tcPr>
            <w:tcW w:w="780" w:type="dxa"/>
          </w:tcPr>
          <w:p w14:paraId="103B6329"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BFI-44</w:t>
            </w:r>
          </w:p>
        </w:tc>
        <w:tc>
          <w:tcPr>
            <w:tcW w:w="780" w:type="dxa"/>
          </w:tcPr>
          <w:p w14:paraId="5157C481"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course_grade</w:t>
            </w:r>
          </w:p>
        </w:tc>
        <w:tc>
          <w:tcPr>
            <w:tcW w:w="780" w:type="dxa"/>
          </w:tcPr>
          <w:p w14:paraId="2F1A73F0"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Inc-pri</w:t>
            </w:r>
          </w:p>
        </w:tc>
        <w:tc>
          <w:tcPr>
            <w:tcW w:w="780" w:type="dxa"/>
          </w:tcPr>
          <w:p w14:paraId="24DE8752"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r>
      <w:tr w:rsidR="00B156D9" w14:paraId="4B8FDDDB"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1FB9D7C1" w14:textId="77777777" w:rsidR="00B156D9" w:rsidRDefault="00000000">
            <w:r>
              <w:rPr>
                <w:sz w:val="16"/>
              </w:rPr>
              <w:t>A-02</w:t>
            </w:r>
          </w:p>
        </w:tc>
        <w:tc>
          <w:tcPr>
            <w:tcW w:w="780" w:type="dxa"/>
          </w:tcPr>
          <w:p w14:paraId="3796CE85"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Alkis (2018)</w:t>
            </w:r>
          </w:p>
        </w:tc>
        <w:tc>
          <w:tcPr>
            <w:tcW w:w="780" w:type="dxa"/>
          </w:tcPr>
          <w:p w14:paraId="2F7DA221"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189</w:t>
            </w:r>
          </w:p>
        </w:tc>
        <w:tc>
          <w:tcPr>
            <w:tcW w:w="780" w:type="dxa"/>
          </w:tcPr>
          <w:p w14:paraId="01C18F5A"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Turkey</w:t>
            </w:r>
          </w:p>
        </w:tc>
        <w:tc>
          <w:tcPr>
            <w:tcW w:w="780" w:type="dxa"/>
          </w:tcPr>
          <w:p w14:paraId="79A52E7B"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50F52D21"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68D132E9"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pre-COVID</w:t>
            </w:r>
          </w:p>
        </w:tc>
        <w:tc>
          <w:tcPr>
            <w:tcW w:w="780" w:type="dxa"/>
          </w:tcPr>
          <w:p w14:paraId="3C9B1260"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Europe</w:t>
            </w:r>
          </w:p>
        </w:tc>
        <w:tc>
          <w:tcPr>
            <w:tcW w:w="780" w:type="dxa"/>
          </w:tcPr>
          <w:p w14:paraId="241CBEC6"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BFI-44</w:t>
            </w:r>
          </w:p>
        </w:tc>
        <w:tc>
          <w:tcPr>
            <w:tcW w:w="780" w:type="dxa"/>
          </w:tcPr>
          <w:p w14:paraId="7DCF79DB"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course_grade</w:t>
            </w:r>
          </w:p>
        </w:tc>
        <w:tc>
          <w:tcPr>
            <w:tcW w:w="780" w:type="dxa"/>
          </w:tcPr>
          <w:p w14:paraId="1B82D526"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Inc-pri</w:t>
            </w:r>
          </w:p>
        </w:tc>
        <w:tc>
          <w:tcPr>
            <w:tcW w:w="780" w:type="dxa"/>
          </w:tcPr>
          <w:p w14:paraId="0537DFC3"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B156D9" w14:paraId="37C50653"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693F063A" w14:textId="77777777" w:rsidR="00B156D9" w:rsidRDefault="00000000">
            <w:r>
              <w:rPr>
                <w:sz w:val="16"/>
              </w:rPr>
              <w:t>A-03</w:t>
            </w:r>
          </w:p>
        </w:tc>
        <w:tc>
          <w:tcPr>
            <w:tcW w:w="780" w:type="dxa"/>
          </w:tcPr>
          <w:p w14:paraId="31DEDFF3"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Ashouri (2025)</w:t>
            </w:r>
          </w:p>
        </w:tc>
        <w:tc>
          <w:tcPr>
            <w:tcW w:w="780" w:type="dxa"/>
          </w:tcPr>
          <w:p w14:paraId="4E4230F0"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183</w:t>
            </w:r>
          </w:p>
        </w:tc>
        <w:tc>
          <w:tcPr>
            <w:tcW w:w="780" w:type="dxa"/>
          </w:tcPr>
          <w:p w14:paraId="5C5C41D9"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Iran</w:t>
            </w:r>
          </w:p>
        </w:tc>
        <w:tc>
          <w:tcPr>
            <w:tcW w:w="780" w:type="dxa"/>
          </w:tcPr>
          <w:p w14:paraId="5A5719C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5A85532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47D46AF8"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3B187779"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34AC2C75"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BFI-44</w:t>
            </w:r>
          </w:p>
        </w:tc>
        <w:tc>
          <w:tcPr>
            <w:tcW w:w="780" w:type="dxa"/>
          </w:tcPr>
          <w:p w14:paraId="4C3253A1"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satisfaction</w:t>
            </w:r>
          </w:p>
        </w:tc>
        <w:tc>
          <w:tcPr>
            <w:tcW w:w="780" w:type="dxa"/>
          </w:tcPr>
          <w:p w14:paraId="41BF1A22"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Inc-sec</w:t>
            </w:r>
          </w:p>
        </w:tc>
        <w:tc>
          <w:tcPr>
            <w:tcW w:w="780" w:type="dxa"/>
          </w:tcPr>
          <w:p w14:paraId="5B5A719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r>
      <w:tr w:rsidR="00B156D9" w14:paraId="6B019DD4"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1C906EC7" w14:textId="77777777" w:rsidR="00B156D9" w:rsidRDefault="00000000">
            <w:r>
              <w:rPr>
                <w:sz w:val="16"/>
              </w:rPr>
              <w:t>A-04</w:t>
            </w:r>
          </w:p>
        </w:tc>
        <w:tc>
          <w:tcPr>
            <w:tcW w:w="780" w:type="dxa"/>
          </w:tcPr>
          <w:p w14:paraId="6BF68CDA"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Audet (2021)</w:t>
            </w:r>
          </w:p>
        </w:tc>
        <w:tc>
          <w:tcPr>
            <w:tcW w:w="780" w:type="dxa"/>
          </w:tcPr>
          <w:p w14:paraId="6C8668C0"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350</w:t>
            </w:r>
          </w:p>
        </w:tc>
        <w:tc>
          <w:tcPr>
            <w:tcW w:w="780" w:type="dxa"/>
          </w:tcPr>
          <w:p w14:paraId="7B6D7AC4"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Canada</w:t>
            </w:r>
          </w:p>
        </w:tc>
        <w:tc>
          <w:tcPr>
            <w:tcW w:w="780" w:type="dxa"/>
          </w:tcPr>
          <w:p w14:paraId="320BBC7F"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074B2164"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684CB737"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COVID</w:t>
            </w:r>
          </w:p>
        </w:tc>
        <w:tc>
          <w:tcPr>
            <w:tcW w:w="780" w:type="dxa"/>
          </w:tcPr>
          <w:p w14:paraId="621DBA88"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North_America</w:t>
            </w:r>
          </w:p>
        </w:tc>
        <w:tc>
          <w:tcPr>
            <w:tcW w:w="780" w:type="dxa"/>
          </w:tcPr>
          <w:p w14:paraId="2989CF6B"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BFI-44</w:t>
            </w:r>
          </w:p>
        </w:tc>
        <w:tc>
          <w:tcPr>
            <w:tcW w:w="780" w:type="dxa"/>
          </w:tcPr>
          <w:p w14:paraId="26E717CF"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engagement</w:t>
            </w:r>
          </w:p>
        </w:tc>
        <w:tc>
          <w:tcPr>
            <w:tcW w:w="780" w:type="dxa"/>
          </w:tcPr>
          <w:p w14:paraId="0A89352C"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Inc-sec</w:t>
            </w:r>
          </w:p>
        </w:tc>
        <w:tc>
          <w:tcPr>
            <w:tcW w:w="780" w:type="dxa"/>
          </w:tcPr>
          <w:p w14:paraId="4CC98BB6"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B156D9" w14:paraId="6E2ECAED"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3810D09E" w14:textId="77777777" w:rsidR="00B156D9" w:rsidRDefault="00000000">
            <w:r>
              <w:rPr>
                <w:sz w:val="16"/>
              </w:rPr>
              <w:t>A-05</w:t>
            </w:r>
          </w:p>
        </w:tc>
        <w:tc>
          <w:tcPr>
            <w:tcW w:w="780" w:type="dxa"/>
          </w:tcPr>
          <w:p w14:paraId="782007F3"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Audet (2023)</w:t>
            </w:r>
          </w:p>
        </w:tc>
        <w:tc>
          <w:tcPr>
            <w:tcW w:w="780" w:type="dxa"/>
          </w:tcPr>
          <w:p w14:paraId="7FDDEB36"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678</w:t>
            </w:r>
          </w:p>
        </w:tc>
        <w:tc>
          <w:tcPr>
            <w:tcW w:w="780" w:type="dxa"/>
          </w:tcPr>
          <w:p w14:paraId="7F957338"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Canada</w:t>
            </w:r>
          </w:p>
        </w:tc>
        <w:tc>
          <w:tcPr>
            <w:tcW w:w="780" w:type="dxa"/>
          </w:tcPr>
          <w:p w14:paraId="23722E3F"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6E64E6F3"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2FFCDDBB"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12D326AD"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North_America</w:t>
            </w:r>
          </w:p>
        </w:tc>
        <w:tc>
          <w:tcPr>
            <w:tcW w:w="780" w:type="dxa"/>
          </w:tcPr>
          <w:p w14:paraId="497F8939"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BFI-44</w:t>
            </w:r>
          </w:p>
        </w:tc>
        <w:tc>
          <w:tcPr>
            <w:tcW w:w="780" w:type="dxa"/>
          </w:tcPr>
          <w:p w14:paraId="3CC02966"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engagement</w:t>
            </w:r>
          </w:p>
        </w:tc>
        <w:tc>
          <w:tcPr>
            <w:tcW w:w="780" w:type="dxa"/>
          </w:tcPr>
          <w:p w14:paraId="3300F1C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Exc-dup</w:t>
            </w:r>
          </w:p>
        </w:tc>
        <w:tc>
          <w:tcPr>
            <w:tcW w:w="780" w:type="dxa"/>
          </w:tcPr>
          <w:p w14:paraId="4648B404"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B156D9" w14:paraId="5340FA8C"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142BDF42" w14:textId="77777777" w:rsidR="00B156D9" w:rsidRDefault="00000000">
            <w:r>
              <w:rPr>
                <w:sz w:val="16"/>
              </w:rPr>
              <w:t>A-06</w:t>
            </w:r>
          </w:p>
        </w:tc>
        <w:tc>
          <w:tcPr>
            <w:tcW w:w="780" w:type="dxa"/>
          </w:tcPr>
          <w:p w14:paraId="7220B5E0"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Sahinidis (2021)</w:t>
            </w:r>
          </w:p>
        </w:tc>
        <w:tc>
          <w:tcPr>
            <w:tcW w:w="780" w:type="dxa"/>
          </w:tcPr>
          <w:p w14:paraId="6BEE367A"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555</w:t>
            </w:r>
          </w:p>
        </w:tc>
        <w:tc>
          <w:tcPr>
            <w:tcW w:w="780" w:type="dxa"/>
          </w:tcPr>
          <w:p w14:paraId="2CACD9F0"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Greece</w:t>
            </w:r>
          </w:p>
        </w:tc>
        <w:tc>
          <w:tcPr>
            <w:tcW w:w="780" w:type="dxa"/>
          </w:tcPr>
          <w:p w14:paraId="7E318A26"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4D8DDC53"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564A3431"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COVID</w:t>
            </w:r>
          </w:p>
        </w:tc>
        <w:tc>
          <w:tcPr>
            <w:tcW w:w="780" w:type="dxa"/>
          </w:tcPr>
          <w:p w14:paraId="77C1260C"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Europe</w:t>
            </w:r>
          </w:p>
        </w:tc>
        <w:tc>
          <w:tcPr>
            <w:tcW w:w="780" w:type="dxa"/>
          </w:tcPr>
          <w:p w14:paraId="47DD89ED"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Custom 30-item Big Five</w:t>
            </w:r>
          </w:p>
        </w:tc>
        <w:tc>
          <w:tcPr>
            <w:tcW w:w="780" w:type="dxa"/>
          </w:tcPr>
          <w:p w14:paraId="190134C6"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satisfaction</w:t>
            </w:r>
          </w:p>
        </w:tc>
        <w:tc>
          <w:tcPr>
            <w:tcW w:w="780" w:type="dxa"/>
          </w:tcPr>
          <w:p w14:paraId="5E524414"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Inc-sec</w:t>
            </w:r>
          </w:p>
        </w:tc>
        <w:tc>
          <w:tcPr>
            <w:tcW w:w="780" w:type="dxa"/>
          </w:tcPr>
          <w:p w14:paraId="150A9D4B"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4</w:t>
            </w:r>
          </w:p>
        </w:tc>
      </w:tr>
      <w:tr w:rsidR="00B156D9" w14:paraId="2147EAAF"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7ED89E74" w14:textId="77777777" w:rsidR="00B156D9" w:rsidRDefault="00000000">
            <w:r>
              <w:rPr>
                <w:sz w:val="16"/>
              </w:rPr>
              <w:t>A-07</w:t>
            </w:r>
          </w:p>
        </w:tc>
        <w:tc>
          <w:tcPr>
            <w:tcW w:w="780" w:type="dxa"/>
          </w:tcPr>
          <w:p w14:paraId="5743C0ED"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Cohen (2017)</w:t>
            </w:r>
          </w:p>
        </w:tc>
        <w:tc>
          <w:tcPr>
            <w:tcW w:w="780" w:type="dxa"/>
          </w:tcPr>
          <w:p w14:paraId="5D4D1671"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72</w:t>
            </w:r>
          </w:p>
        </w:tc>
        <w:tc>
          <w:tcPr>
            <w:tcW w:w="780" w:type="dxa"/>
          </w:tcPr>
          <w:p w14:paraId="7162DEC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Israel</w:t>
            </w:r>
          </w:p>
        </w:tc>
        <w:tc>
          <w:tcPr>
            <w:tcW w:w="780" w:type="dxa"/>
          </w:tcPr>
          <w:p w14:paraId="7909E13E"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0B12FD17"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Grad</w:t>
            </w:r>
          </w:p>
        </w:tc>
        <w:tc>
          <w:tcPr>
            <w:tcW w:w="780" w:type="dxa"/>
          </w:tcPr>
          <w:p w14:paraId="72840EAE"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pre-COVID</w:t>
            </w:r>
          </w:p>
        </w:tc>
        <w:tc>
          <w:tcPr>
            <w:tcW w:w="780" w:type="dxa"/>
          </w:tcPr>
          <w:p w14:paraId="4F34134F"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1BD59F55"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BFI-44 Hebrew</w:t>
            </w:r>
          </w:p>
        </w:tc>
        <w:tc>
          <w:tcPr>
            <w:tcW w:w="780" w:type="dxa"/>
          </w:tcPr>
          <w:p w14:paraId="6D4E4D5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satisfaction</w:t>
            </w:r>
          </w:p>
        </w:tc>
        <w:tc>
          <w:tcPr>
            <w:tcW w:w="780" w:type="dxa"/>
          </w:tcPr>
          <w:p w14:paraId="6FFA6ED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Inc-sec</w:t>
            </w:r>
          </w:p>
        </w:tc>
        <w:tc>
          <w:tcPr>
            <w:tcW w:w="780" w:type="dxa"/>
          </w:tcPr>
          <w:p w14:paraId="757B9675"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r>
      <w:tr w:rsidR="00B156D9" w14:paraId="18B57950"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5F030FDE" w14:textId="77777777" w:rsidR="00B156D9" w:rsidRDefault="00000000">
            <w:r>
              <w:rPr>
                <w:sz w:val="16"/>
              </w:rPr>
              <w:t>A-08</w:t>
            </w:r>
          </w:p>
        </w:tc>
        <w:tc>
          <w:tcPr>
            <w:tcW w:w="780" w:type="dxa"/>
          </w:tcPr>
          <w:p w14:paraId="13849EC1"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Keller (2013)</w:t>
            </w:r>
          </w:p>
        </w:tc>
        <w:tc>
          <w:tcPr>
            <w:tcW w:w="780" w:type="dxa"/>
          </w:tcPr>
          <w:p w14:paraId="61CB0331"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250</w:t>
            </w:r>
          </w:p>
        </w:tc>
        <w:tc>
          <w:tcPr>
            <w:tcW w:w="780" w:type="dxa"/>
          </w:tcPr>
          <w:p w14:paraId="444647AA"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US</w:t>
            </w:r>
          </w:p>
        </w:tc>
        <w:tc>
          <w:tcPr>
            <w:tcW w:w="780" w:type="dxa"/>
          </w:tcPr>
          <w:p w14:paraId="57382EEE"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216D4910"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UG/Grad</w:t>
            </w:r>
          </w:p>
        </w:tc>
        <w:tc>
          <w:tcPr>
            <w:tcW w:w="780" w:type="dxa"/>
          </w:tcPr>
          <w:p w14:paraId="7898B42A"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pre-COVID</w:t>
            </w:r>
          </w:p>
        </w:tc>
        <w:tc>
          <w:tcPr>
            <w:tcW w:w="780" w:type="dxa"/>
          </w:tcPr>
          <w:p w14:paraId="1544A8CB"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North_America</w:t>
            </w:r>
          </w:p>
        </w:tc>
        <w:tc>
          <w:tcPr>
            <w:tcW w:w="780" w:type="dxa"/>
          </w:tcPr>
          <w:p w14:paraId="060C3F34"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IPIP-50</w:t>
            </w:r>
          </w:p>
        </w:tc>
        <w:tc>
          <w:tcPr>
            <w:tcW w:w="780" w:type="dxa"/>
          </w:tcPr>
          <w:p w14:paraId="1EE15DFF"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perception</w:t>
            </w:r>
          </w:p>
        </w:tc>
        <w:tc>
          <w:tcPr>
            <w:tcW w:w="780" w:type="dxa"/>
          </w:tcPr>
          <w:p w14:paraId="46DFCAA4"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Inc-sec</w:t>
            </w:r>
          </w:p>
        </w:tc>
        <w:tc>
          <w:tcPr>
            <w:tcW w:w="780" w:type="dxa"/>
          </w:tcPr>
          <w:p w14:paraId="126DC89A"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r>
      <w:tr w:rsidR="00B156D9" w14:paraId="6B9CB9CB"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04FBC2D7" w14:textId="77777777" w:rsidR="00B156D9" w:rsidRDefault="00000000">
            <w:r>
              <w:rPr>
                <w:sz w:val="16"/>
              </w:rPr>
              <w:t>A-09</w:t>
            </w:r>
          </w:p>
        </w:tc>
        <w:tc>
          <w:tcPr>
            <w:tcW w:w="780" w:type="dxa"/>
          </w:tcPr>
          <w:p w14:paraId="496E5E3D"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Bhattacharjee (2025)</w:t>
            </w:r>
          </w:p>
        </w:tc>
        <w:tc>
          <w:tcPr>
            <w:tcW w:w="780" w:type="dxa"/>
          </w:tcPr>
          <w:p w14:paraId="2A22237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384</w:t>
            </w:r>
          </w:p>
        </w:tc>
        <w:tc>
          <w:tcPr>
            <w:tcW w:w="780" w:type="dxa"/>
          </w:tcPr>
          <w:p w14:paraId="7AB7C693"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India</w:t>
            </w:r>
          </w:p>
        </w:tc>
        <w:tc>
          <w:tcPr>
            <w:tcW w:w="780" w:type="dxa"/>
          </w:tcPr>
          <w:p w14:paraId="7749EBA3"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FtF</w:t>
            </w:r>
          </w:p>
        </w:tc>
        <w:tc>
          <w:tcPr>
            <w:tcW w:w="780" w:type="dxa"/>
          </w:tcPr>
          <w:p w14:paraId="69E1BE54"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144F8EEF"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post-COVID</w:t>
            </w:r>
          </w:p>
        </w:tc>
        <w:tc>
          <w:tcPr>
            <w:tcW w:w="780" w:type="dxa"/>
          </w:tcPr>
          <w:p w14:paraId="4B2B2850"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51B65576"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BFI-44</w:t>
            </w:r>
          </w:p>
        </w:tc>
        <w:tc>
          <w:tcPr>
            <w:tcW w:w="780" w:type="dxa"/>
          </w:tcPr>
          <w:p w14:paraId="5AF965E2"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GPA</w:t>
            </w:r>
          </w:p>
        </w:tc>
        <w:tc>
          <w:tcPr>
            <w:tcW w:w="780" w:type="dxa"/>
          </w:tcPr>
          <w:p w14:paraId="2CC67D06"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Exc</w:t>
            </w:r>
          </w:p>
        </w:tc>
        <w:tc>
          <w:tcPr>
            <w:tcW w:w="780" w:type="dxa"/>
          </w:tcPr>
          <w:p w14:paraId="55B71490"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4</w:t>
            </w:r>
          </w:p>
        </w:tc>
      </w:tr>
      <w:tr w:rsidR="00B156D9" w14:paraId="060D77E1"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769086A5" w14:textId="77777777" w:rsidR="00B156D9" w:rsidRDefault="00000000">
            <w:r>
              <w:rPr>
                <w:sz w:val="16"/>
              </w:rPr>
              <w:t>A-10</w:t>
            </w:r>
          </w:p>
        </w:tc>
        <w:tc>
          <w:tcPr>
            <w:tcW w:w="780" w:type="dxa"/>
          </w:tcPr>
          <w:p w14:paraId="218A6958"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Boonyapison (2025)</w:t>
            </w:r>
          </w:p>
        </w:tc>
        <w:tc>
          <w:tcPr>
            <w:tcW w:w="780" w:type="dxa"/>
          </w:tcPr>
          <w:p w14:paraId="55F8231E"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203</w:t>
            </w:r>
          </w:p>
        </w:tc>
        <w:tc>
          <w:tcPr>
            <w:tcW w:w="780" w:type="dxa"/>
          </w:tcPr>
          <w:p w14:paraId="2B68210C"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Thailand</w:t>
            </w:r>
          </w:p>
        </w:tc>
        <w:tc>
          <w:tcPr>
            <w:tcW w:w="780" w:type="dxa"/>
          </w:tcPr>
          <w:p w14:paraId="54C89975"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FtF</w:t>
            </w:r>
          </w:p>
        </w:tc>
        <w:tc>
          <w:tcPr>
            <w:tcW w:w="780" w:type="dxa"/>
          </w:tcPr>
          <w:p w14:paraId="2EB3FE03"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K-12</w:t>
            </w:r>
          </w:p>
        </w:tc>
        <w:tc>
          <w:tcPr>
            <w:tcW w:w="780" w:type="dxa"/>
          </w:tcPr>
          <w:p w14:paraId="4A249121"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post-COVID</w:t>
            </w:r>
          </w:p>
        </w:tc>
        <w:tc>
          <w:tcPr>
            <w:tcW w:w="780" w:type="dxa"/>
          </w:tcPr>
          <w:p w14:paraId="77E0893C"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Asia</w:t>
            </w:r>
          </w:p>
        </w:tc>
        <w:tc>
          <w:tcPr>
            <w:tcW w:w="780" w:type="dxa"/>
          </w:tcPr>
          <w:p w14:paraId="7BFDB25D"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BFI-44</w:t>
            </w:r>
          </w:p>
        </w:tc>
        <w:tc>
          <w:tcPr>
            <w:tcW w:w="780" w:type="dxa"/>
          </w:tcPr>
          <w:p w14:paraId="4EB08575"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GPA</w:t>
            </w:r>
          </w:p>
        </w:tc>
        <w:tc>
          <w:tcPr>
            <w:tcW w:w="780" w:type="dxa"/>
          </w:tcPr>
          <w:p w14:paraId="64FCB417"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Exc</w:t>
            </w:r>
          </w:p>
        </w:tc>
        <w:tc>
          <w:tcPr>
            <w:tcW w:w="780" w:type="dxa"/>
          </w:tcPr>
          <w:p w14:paraId="4D95C759"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B156D9" w14:paraId="07047B50"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4DBC9E59" w14:textId="77777777" w:rsidR="00B156D9" w:rsidRDefault="00000000">
            <w:r>
              <w:rPr>
                <w:sz w:val="16"/>
              </w:rPr>
              <w:t>A-11</w:t>
            </w:r>
          </w:p>
        </w:tc>
        <w:tc>
          <w:tcPr>
            <w:tcW w:w="780" w:type="dxa"/>
          </w:tcPr>
          <w:p w14:paraId="58138B3B"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Cheng (2023)</w:t>
            </w:r>
          </w:p>
        </w:tc>
        <w:tc>
          <w:tcPr>
            <w:tcW w:w="780" w:type="dxa"/>
          </w:tcPr>
          <w:p w14:paraId="00D13A8B"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746</w:t>
            </w:r>
          </w:p>
        </w:tc>
        <w:tc>
          <w:tcPr>
            <w:tcW w:w="780" w:type="dxa"/>
          </w:tcPr>
          <w:p w14:paraId="75BF8D62"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Taiwan</w:t>
            </w:r>
          </w:p>
        </w:tc>
        <w:tc>
          <w:tcPr>
            <w:tcW w:w="780" w:type="dxa"/>
          </w:tcPr>
          <w:p w14:paraId="509FCCDB"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1D82D44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Sec/Post</w:t>
            </w:r>
          </w:p>
        </w:tc>
        <w:tc>
          <w:tcPr>
            <w:tcW w:w="780" w:type="dxa"/>
          </w:tcPr>
          <w:p w14:paraId="3F16CF7C"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69228F27"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6DDAB377"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BFI_C_only</w:t>
            </w:r>
          </w:p>
        </w:tc>
        <w:tc>
          <w:tcPr>
            <w:tcW w:w="780" w:type="dxa"/>
          </w:tcPr>
          <w:p w14:paraId="7A23D66F"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procrastination</w:t>
            </w:r>
          </w:p>
        </w:tc>
        <w:tc>
          <w:tcPr>
            <w:tcW w:w="780" w:type="dxa"/>
          </w:tcPr>
          <w:p w14:paraId="4BE66A6B"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Inc-sec</w:t>
            </w:r>
          </w:p>
        </w:tc>
        <w:tc>
          <w:tcPr>
            <w:tcW w:w="780" w:type="dxa"/>
          </w:tcPr>
          <w:p w14:paraId="618D5BB8"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B156D9" w14:paraId="22F2ED90"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51FB5AE4" w14:textId="77777777" w:rsidR="00B156D9" w:rsidRDefault="00000000">
            <w:r>
              <w:rPr>
                <w:sz w:val="16"/>
              </w:rPr>
              <w:t>A-12</w:t>
            </w:r>
          </w:p>
        </w:tc>
        <w:tc>
          <w:tcPr>
            <w:tcW w:w="780" w:type="dxa"/>
          </w:tcPr>
          <w:p w14:paraId="32DACAD3"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Baruth (2023)</w:t>
            </w:r>
          </w:p>
        </w:tc>
        <w:tc>
          <w:tcPr>
            <w:tcW w:w="780" w:type="dxa"/>
          </w:tcPr>
          <w:p w14:paraId="0EA3CD02"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108</w:t>
            </w:r>
          </w:p>
        </w:tc>
        <w:tc>
          <w:tcPr>
            <w:tcW w:w="780" w:type="dxa"/>
          </w:tcPr>
          <w:p w14:paraId="3CFC7CB9"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Israel</w:t>
            </w:r>
          </w:p>
        </w:tc>
        <w:tc>
          <w:tcPr>
            <w:tcW w:w="780" w:type="dxa"/>
          </w:tcPr>
          <w:p w14:paraId="3D49AB7C"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4E448B90"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36AAF326"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COVID</w:t>
            </w:r>
          </w:p>
        </w:tc>
        <w:tc>
          <w:tcPr>
            <w:tcW w:w="780" w:type="dxa"/>
          </w:tcPr>
          <w:p w14:paraId="573EB87E"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Asia</w:t>
            </w:r>
          </w:p>
        </w:tc>
        <w:tc>
          <w:tcPr>
            <w:tcW w:w="780" w:type="dxa"/>
          </w:tcPr>
          <w:p w14:paraId="1C38A2C0"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BFI-44 Hebrew</w:t>
            </w:r>
          </w:p>
        </w:tc>
        <w:tc>
          <w:tcPr>
            <w:tcW w:w="780" w:type="dxa"/>
          </w:tcPr>
          <w:p w14:paraId="43C86595"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satisfaction</w:t>
            </w:r>
          </w:p>
        </w:tc>
        <w:tc>
          <w:tcPr>
            <w:tcW w:w="780" w:type="dxa"/>
          </w:tcPr>
          <w:p w14:paraId="79EDEA0E"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Inc-sec</w:t>
            </w:r>
          </w:p>
        </w:tc>
        <w:tc>
          <w:tcPr>
            <w:tcW w:w="780" w:type="dxa"/>
          </w:tcPr>
          <w:p w14:paraId="37390EA0"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4</w:t>
            </w:r>
          </w:p>
        </w:tc>
      </w:tr>
      <w:tr w:rsidR="00B156D9" w14:paraId="32F6B15E"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5C907431" w14:textId="77777777" w:rsidR="00B156D9" w:rsidRDefault="00000000">
            <w:r>
              <w:rPr>
                <w:sz w:val="16"/>
              </w:rPr>
              <w:t>A-13</w:t>
            </w:r>
          </w:p>
        </w:tc>
        <w:tc>
          <w:tcPr>
            <w:tcW w:w="780" w:type="dxa"/>
          </w:tcPr>
          <w:p w14:paraId="2CC67590"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Dang (2025)</w:t>
            </w:r>
          </w:p>
        </w:tc>
        <w:tc>
          <w:tcPr>
            <w:tcW w:w="780" w:type="dxa"/>
          </w:tcPr>
          <w:p w14:paraId="5498CF28"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235</w:t>
            </w:r>
          </w:p>
        </w:tc>
        <w:tc>
          <w:tcPr>
            <w:tcW w:w="780" w:type="dxa"/>
          </w:tcPr>
          <w:p w14:paraId="05501411"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China</w:t>
            </w:r>
          </w:p>
        </w:tc>
        <w:tc>
          <w:tcPr>
            <w:tcW w:w="780" w:type="dxa"/>
          </w:tcPr>
          <w:p w14:paraId="6C1E7E2E"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68DB98C7"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4B81040D"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post-COVID</w:t>
            </w:r>
          </w:p>
        </w:tc>
        <w:tc>
          <w:tcPr>
            <w:tcW w:w="780" w:type="dxa"/>
          </w:tcPr>
          <w:p w14:paraId="2F8546EF"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26FEFAFE"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NEO-FFI_Chinese</w:t>
            </w:r>
          </w:p>
        </w:tc>
        <w:tc>
          <w:tcPr>
            <w:tcW w:w="780" w:type="dxa"/>
          </w:tcPr>
          <w:p w14:paraId="1EEFB6A5"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engagement</w:t>
            </w:r>
          </w:p>
        </w:tc>
        <w:tc>
          <w:tcPr>
            <w:tcW w:w="780" w:type="dxa"/>
          </w:tcPr>
          <w:p w14:paraId="6D3E9FA5"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Inc-sec</w:t>
            </w:r>
          </w:p>
        </w:tc>
        <w:tc>
          <w:tcPr>
            <w:tcW w:w="780" w:type="dxa"/>
          </w:tcPr>
          <w:p w14:paraId="167F76A1"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r>
      <w:tr w:rsidR="00B156D9" w14:paraId="4ACB121E"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3CFF2370" w14:textId="77777777" w:rsidR="00B156D9" w:rsidRDefault="00000000">
            <w:r>
              <w:rPr>
                <w:sz w:val="16"/>
              </w:rPr>
              <w:t>A-15</w:t>
            </w:r>
          </w:p>
        </w:tc>
        <w:tc>
          <w:tcPr>
            <w:tcW w:w="780" w:type="dxa"/>
          </w:tcPr>
          <w:p w14:paraId="22FF53AF"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Elvers (2003)</w:t>
            </w:r>
          </w:p>
        </w:tc>
        <w:tc>
          <w:tcPr>
            <w:tcW w:w="780" w:type="dxa"/>
          </w:tcPr>
          <w:p w14:paraId="383A2BCE"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47</w:t>
            </w:r>
          </w:p>
        </w:tc>
        <w:tc>
          <w:tcPr>
            <w:tcW w:w="780" w:type="dxa"/>
          </w:tcPr>
          <w:p w14:paraId="2AAF3F66"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US</w:t>
            </w:r>
          </w:p>
        </w:tc>
        <w:tc>
          <w:tcPr>
            <w:tcW w:w="780" w:type="dxa"/>
          </w:tcPr>
          <w:p w14:paraId="2020036C"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07301823"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5B1A9848"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pre-COVID</w:t>
            </w:r>
          </w:p>
        </w:tc>
        <w:tc>
          <w:tcPr>
            <w:tcW w:w="780" w:type="dxa"/>
          </w:tcPr>
          <w:p w14:paraId="2650EA62"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North_America</w:t>
            </w:r>
          </w:p>
        </w:tc>
        <w:tc>
          <w:tcPr>
            <w:tcW w:w="780" w:type="dxa"/>
          </w:tcPr>
          <w:p w14:paraId="093C7E7B"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NEO-FFI</w:t>
            </w:r>
          </w:p>
        </w:tc>
        <w:tc>
          <w:tcPr>
            <w:tcW w:w="780" w:type="dxa"/>
          </w:tcPr>
          <w:p w14:paraId="70CCF618"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procrastination_exam</w:t>
            </w:r>
          </w:p>
        </w:tc>
        <w:tc>
          <w:tcPr>
            <w:tcW w:w="780" w:type="dxa"/>
          </w:tcPr>
          <w:p w14:paraId="0209E684"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Inc-pri*</w:t>
            </w:r>
          </w:p>
        </w:tc>
        <w:tc>
          <w:tcPr>
            <w:tcW w:w="780" w:type="dxa"/>
          </w:tcPr>
          <w:p w14:paraId="50DD09BA"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B156D9" w14:paraId="31AD4A81"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6B82E8CE" w14:textId="77777777" w:rsidR="00B156D9" w:rsidRDefault="00000000">
            <w:r>
              <w:rPr>
                <w:sz w:val="16"/>
              </w:rPr>
              <w:t>A</w:t>
            </w:r>
            <w:r>
              <w:rPr>
                <w:sz w:val="16"/>
              </w:rPr>
              <w:lastRenderedPageBreak/>
              <w:t>-16</w:t>
            </w:r>
          </w:p>
        </w:tc>
        <w:tc>
          <w:tcPr>
            <w:tcW w:w="780" w:type="dxa"/>
          </w:tcPr>
          <w:p w14:paraId="182A13DC"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lastRenderedPageBreak/>
              <w:t>Hidalgo-</w:t>
            </w:r>
            <w:r>
              <w:rPr>
                <w:sz w:val="16"/>
              </w:rPr>
              <w:lastRenderedPageBreak/>
              <w:t>Fuentes (2024)</w:t>
            </w:r>
          </w:p>
        </w:tc>
        <w:tc>
          <w:tcPr>
            <w:tcW w:w="780" w:type="dxa"/>
          </w:tcPr>
          <w:p w14:paraId="21489D7D"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lastRenderedPageBreak/>
              <w:t>457</w:t>
            </w:r>
          </w:p>
        </w:tc>
        <w:tc>
          <w:tcPr>
            <w:tcW w:w="780" w:type="dxa"/>
          </w:tcPr>
          <w:p w14:paraId="79CE9195"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Honduras+S</w:t>
            </w:r>
            <w:r>
              <w:rPr>
                <w:sz w:val="16"/>
              </w:rPr>
              <w:lastRenderedPageBreak/>
              <w:t>pain</w:t>
            </w:r>
          </w:p>
        </w:tc>
        <w:tc>
          <w:tcPr>
            <w:tcW w:w="780" w:type="dxa"/>
          </w:tcPr>
          <w:p w14:paraId="04B404C8"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lastRenderedPageBreak/>
              <w:t>FtF</w:t>
            </w:r>
          </w:p>
        </w:tc>
        <w:tc>
          <w:tcPr>
            <w:tcW w:w="780" w:type="dxa"/>
          </w:tcPr>
          <w:p w14:paraId="092825AE"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643A4074"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post-</w:t>
            </w:r>
            <w:r>
              <w:rPr>
                <w:sz w:val="16"/>
              </w:rPr>
              <w:lastRenderedPageBreak/>
              <w:t>COVID</w:t>
            </w:r>
          </w:p>
        </w:tc>
        <w:tc>
          <w:tcPr>
            <w:tcW w:w="780" w:type="dxa"/>
          </w:tcPr>
          <w:p w14:paraId="29C77D7B"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lastRenderedPageBreak/>
              <w:t>Europe</w:t>
            </w:r>
          </w:p>
        </w:tc>
        <w:tc>
          <w:tcPr>
            <w:tcW w:w="780" w:type="dxa"/>
          </w:tcPr>
          <w:p w14:paraId="65259B44"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BFI-2-S</w:t>
            </w:r>
          </w:p>
        </w:tc>
        <w:tc>
          <w:tcPr>
            <w:tcW w:w="780" w:type="dxa"/>
          </w:tcPr>
          <w:p w14:paraId="6EC279C2"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procrastination</w:t>
            </w:r>
          </w:p>
        </w:tc>
        <w:tc>
          <w:tcPr>
            <w:tcW w:w="780" w:type="dxa"/>
          </w:tcPr>
          <w:p w14:paraId="35C6038F"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Exc</w:t>
            </w:r>
          </w:p>
        </w:tc>
        <w:tc>
          <w:tcPr>
            <w:tcW w:w="780" w:type="dxa"/>
          </w:tcPr>
          <w:p w14:paraId="08835700"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r>
      <w:tr w:rsidR="00B156D9" w14:paraId="4C172FA6"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601016D8" w14:textId="77777777" w:rsidR="00B156D9" w:rsidRDefault="00000000">
            <w:r>
              <w:rPr>
                <w:sz w:val="16"/>
              </w:rPr>
              <w:t>A-17</w:t>
            </w:r>
          </w:p>
        </w:tc>
        <w:tc>
          <w:tcPr>
            <w:tcW w:w="780" w:type="dxa"/>
          </w:tcPr>
          <w:p w14:paraId="64495075"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Kara (2024)</w:t>
            </w:r>
          </w:p>
        </w:tc>
        <w:tc>
          <w:tcPr>
            <w:tcW w:w="780" w:type="dxa"/>
          </w:tcPr>
          <w:p w14:paraId="6BA0793C"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437</w:t>
            </w:r>
          </w:p>
        </w:tc>
        <w:tc>
          <w:tcPr>
            <w:tcW w:w="780" w:type="dxa"/>
          </w:tcPr>
          <w:p w14:paraId="0657DFBF"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Turkey</w:t>
            </w:r>
          </w:p>
        </w:tc>
        <w:tc>
          <w:tcPr>
            <w:tcW w:w="780" w:type="dxa"/>
          </w:tcPr>
          <w:p w14:paraId="742F5A0E"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579EC9B7"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01AD4A6D"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post-COVID</w:t>
            </w:r>
          </w:p>
        </w:tc>
        <w:tc>
          <w:tcPr>
            <w:tcW w:w="780" w:type="dxa"/>
          </w:tcPr>
          <w:p w14:paraId="700CDC03"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Europe</w:t>
            </w:r>
          </w:p>
        </w:tc>
        <w:tc>
          <w:tcPr>
            <w:tcW w:w="780" w:type="dxa"/>
          </w:tcPr>
          <w:p w14:paraId="38614392"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BFI-44</w:t>
            </w:r>
          </w:p>
        </w:tc>
        <w:tc>
          <w:tcPr>
            <w:tcW w:w="780" w:type="dxa"/>
          </w:tcPr>
          <w:p w14:paraId="066A18C6"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engagement</w:t>
            </w:r>
          </w:p>
        </w:tc>
        <w:tc>
          <w:tcPr>
            <w:tcW w:w="780" w:type="dxa"/>
          </w:tcPr>
          <w:p w14:paraId="2F452A83"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Inc-sec</w:t>
            </w:r>
          </w:p>
        </w:tc>
        <w:tc>
          <w:tcPr>
            <w:tcW w:w="780" w:type="dxa"/>
          </w:tcPr>
          <w:p w14:paraId="0B7CC17B"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B156D9" w14:paraId="7B490E58"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308BD457" w14:textId="77777777" w:rsidR="00B156D9" w:rsidRDefault="00000000">
            <w:r>
              <w:rPr>
                <w:sz w:val="16"/>
              </w:rPr>
              <w:t>A-18</w:t>
            </w:r>
          </w:p>
        </w:tc>
        <w:tc>
          <w:tcPr>
            <w:tcW w:w="780" w:type="dxa"/>
          </w:tcPr>
          <w:p w14:paraId="7F5DC9B2"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Bhagat (2019)</w:t>
            </w:r>
          </w:p>
        </w:tc>
        <w:tc>
          <w:tcPr>
            <w:tcW w:w="780" w:type="dxa"/>
          </w:tcPr>
          <w:p w14:paraId="4C0FA56E"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208</w:t>
            </w:r>
          </w:p>
        </w:tc>
        <w:tc>
          <w:tcPr>
            <w:tcW w:w="780" w:type="dxa"/>
          </w:tcPr>
          <w:p w14:paraId="0F4A38DE"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Taiwan</w:t>
            </w:r>
          </w:p>
        </w:tc>
        <w:tc>
          <w:tcPr>
            <w:tcW w:w="780" w:type="dxa"/>
          </w:tcPr>
          <w:p w14:paraId="2D745033"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62358D2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UG/Grad</w:t>
            </w:r>
          </w:p>
        </w:tc>
        <w:tc>
          <w:tcPr>
            <w:tcW w:w="780" w:type="dxa"/>
          </w:tcPr>
          <w:p w14:paraId="3B757FE4"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pre-COVID</w:t>
            </w:r>
          </w:p>
        </w:tc>
        <w:tc>
          <w:tcPr>
            <w:tcW w:w="780" w:type="dxa"/>
          </w:tcPr>
          <w:p w14:paraId="25B81C6E"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23277032"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Mini-IPIP</w:t>
            </w:r>
          </w:p>
        </w:tc>
        <w:tc>
          <w:tcPr>
            <w:tcW w:w="780" w:type="dxa"/>
          </w:tcPr>
          <w:p w14:paraId="3B07E589"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perception</w:t>
            </w:r>
          </w:p>
        </w:tc>
        <w:tc>
          <w:tcPr>
            <w:tcW w:w="780" w:type="dxa"/>
          </w:tcPr>
          <w:p w14:paraId="38FD9B87"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Inc-sec</w:t>
            </w:r>
          </w:p>
        </w:tc>
        <w:tc>
          <w:tcPr>
            <w:tcW w:w="780" w:type="dxa"/>
          </w:tcPr>
          <w:p w14:paraId="74444CF3"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r>
      <w:tr w:rsidR="00B156D9" w14:paraId="160988C6"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3CB840C7" w14:textId="77777777" w:rsidR="00B156D9" w:rsidRDefault="00000000">
            <w:r>
              <w:rPr>
                <w:sz w:val="16"/>
              </w:rPr>
              <w:t>A-19</w:t>
            </w:r>
          </w:p>
        </w:tc>
        <w:tc>
          <w:tcPr>
            <w:tcW w:w="780" w:type="dxa"/>
          </w:tcPr>
          <w:p w14:paraId="0399E10C"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MacLean (2022)</w:t>
            </w:r>
          </w:p>
        </w:tc>
        <w:tc>
          <w:tcPr>
            <w:tcW w:w="780" w:type="dxa"/>
          </w:tcPr>
          <w:p w14:paraId="415B392A"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465</w:t>
            </w:r>
          </w:p>
        </w:tc>
        <w:tc>
          <w:tcPr>
            <w:tcW w:w="780" w:type="dxa"/>
          </w:tcPr>
          <w:p w14:paraId="63ACD5C0"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Canada</w:t>
            </w:r>
          </w:p>
        </w:tc>
        <w:tc>
          <w:tcPr>
            <w:tcW w:w="780" w:type="dxa"/>
          </w:tcPr>
          <w:p w14:paraId="78910A40"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6F4341D7"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0241DA68"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COVID</w:t>
            </w:r>
          </w:p>
        </w:tc>
        <w:tc>
          <w:tcPr>
            <w:tcW w:w="780" w:type="dxa"/>
          </w:tcPr>
          <w:p w14:paraId="336480A7"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North_America</w:t>
            </w:r>
          </w:p>
        </w:tc>
        <w:tc>
          <w:tcPr>
            <w:tcW w:w="780" w:type="dxa"/>
          </w:tcPr>
          <w:p w14:paraId="31A85B57"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HEXACO-PI-R</w:t>
            </w:r>
          </w:p>
        </w:tc>
        <w:tc>
          <w:tcPr>
            <w:tcW w:w="780" w:type="dxa"/>
          </w:tcPr>
          <w:p w14:paraId="22C4ECD4"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preference</w:t>
            </w:r>
          </w:p>
        </w:tc>
        <w:tc>
          <w:tcPr>
            <w:tcW w:w="780" w:type="dxa"/>
          </w:tcPr>
          <w:p w14:paraId="77BE3AC8"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Inc-sec</w:t>
            </w:r>
          </w:p>
        </w:tc>
        <w:tc>
          <w:tcPr>
            <w:tcW w:w="780" w:type="dxa"/>
          </w:tcPr>
          <w:p w14:paraId="57E20C95"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r>
      <w:tr w:rsidR="00B156D9" w14:paraId="6E0DAF3B"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06D0C2D7" w14:textId="77777777" w:rsidR="00B156D9" w:rsidRDefault="00000000">
            <w:r>
              <w:rPr>
                <w:sz w:val="16"/>
              </w:rPr>
              <w:t>A-20</w:t>
            </w:r>
          </w:p>
        </w:tc>
        <w:tc>
          <w:tcPr>
            <w:tcW w:w="780" w:type="dxa"/>
          </w:tcPr>
          <w:p w14:paraId="11CF5A58"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Mustafa (2022)</w:t>
            </w:r>
          </w:p>
        </w:tc>
        <w:tc>
          <w:tcPr>
            <w:tcW w:w="780" w:type="dxa"/>
          </w:tcPr>
          <w:p w14:paraId="5AC9AA33"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718</w:t>
            </w:r>
          </w:p>
        </w:tc>
        <w:tc>
          <w:tcPr>
            <w:tcW w:w="780" w:type="dxa"/>
          </w:tcPr>
          <w:p w14:paraId="05934444"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China</w:t>
            </w:r>
          </w:p>
        </w:tc>
        <w:tc>
          <w:tcPr>
            <w:tcW w:w="780" w:type="dxa"/>
          </w:tcPr>
          <w:p w14:paraId="7DAEA118"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2F66FEFF"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UG/Grad</w:t>
            </w:r>
          </w:p>
        </w:tc>
        <w:tc>
          <w:tcPr>
            <w:tcW w:w="780" w:type="dxa"/>
          </w:tcPr>
          <w:p w14:paraId="1D51380F"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4FE04C7F"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6AE3950D"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Chinese Big Five</w:t>
            </w:r>
          </w:p>
        </w:tc>
        <w:tc>
          <w:tcPr>
            <w:tcW w:w="780" w:type="dxa"/>
          </w:tcPr>
          <w:p w14:paraId="37DA09A9"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satisfaction</w:t>
            </w:r>
          </w:p>
        </w:tc>
        <w:tc>
          <w:tcPr>
            <w:tcW w:w="780" w:type="dxa"/>
          </w:tcPr>
          <w:p w14:paraId="42B16EA3"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Inc-sec</w:t>
            </w:r>
          </w:p>
        </w:tc>
        <w:tc>
          <w:tcPr>
            <w:tcW w:w="780" w:type="dxa"/>
          </w:tcPr>
          <w:p w14:paraId="2BEE3FAE"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B156D9" w14:paraId="73903BCA"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1E084D0B" w14:textId="77777777" w:rsidR="00B156D9" w:rsidRDefault="00000000">
            <w:r>
              <w:rPr>
                <w:sz w:val="16"/>
              </w:rPr>
              <w:t>A-21</w:t>
            </w:r>
          </w:p>
        </w:tc>
        <w:tc>
          <w:tcPr>
            <w:tcW w:w="780" w:type="dxa"/>
          </w:tcPr>
          <w:p w14:paraId="3F8053F9"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Nakayama (2014)</w:t>
            </w:r>
          </w:p>
        </w:tc>
        <w:tc>
          <w:tcPr>
            <w:tcW w:w="780" w:type="dxa"/>
          </w:tcPr>
          <w:p w14:paraId="39223B0B"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53</w:t>
            </w:r>
          </w:p>
        </w:tc>
        <w:tc>
          <w:tcPr>
            <w:tcW w:w="780" w:type="dxa"/>
          </w:tcPr>
          <w:p w14:paraId="713FE8B0"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Japan</w:t>
            </w:r>
          </w:p>
        </w:tc>
        <w:tc>
          <w:tcPr>
            <w:tcW w:w="780" w:type="dxa"/>
          </w:tcPr>
          <w:p w14:paraId="3BCEA405"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017725DE"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52F46527"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pre-COVID</w:t>
            </w:r>
          </w:p>
        </w:tc>
        <w:tc>
          <w:tcPr>
            <w:tcW w:w="780" w:type="dxa"/>
          </w:tcPr>
          <w:p w14:paraId="04D96928"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Asia</w:t>
            </w:r>
          </w:p>
        </w:tc>
        <w:tc>
          <w:tcPr>
            <w:tcW w:w="780" w:type="dxa"/>
          </w:tcPr>
          <w:p w14:paraId="23A3D642"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IPIP</w:t>
            </w:r>
          </w:p>
        </w:tc>
        <w:tc>
          <w:tcPr>
            <w:tcW w:w="780" w:type="dxa"/>
          </w:tcPr>
          <w:p w14:paraId="5F5F7AB1"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test_score</w:t>
            </w:r>
          </w:p>
        </w:tc>
        <w:tc>
          <w:tcPr>
            <w:tcW w:w="780" w:type="dxa"/>
          </w:tcPr>
          <w:p w14:paraId="6CF2B489"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Inc-sec</w:t>
            </w:r>
          </w:p>
        </w:tc>
        <w:tc>
          <w:tcPr>
            <w:tcW w:w="780" w:type="dxa"/>
          </w:tcPr>
          <w:p w14:paraId="3604DC9D"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4</w:t>
            </w:r>
          </w:p>
        </w:tc>
      </w:tr>
      <w:tr w:rsidR="00B156D9" w14:paraId="6ACF1C24"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7F529C88" w14:textId="77777777" w:rsidR="00B156D9" w:rsidRDefault="00000000">
            <w:r>
              <w:rPr>
                <w:sz w:val="16"/>
              </w:rPr>
              <w:t>A-22</w:t>
            </w:r>
          </w:p>
        </w:tc>
        <w:tc>
          <w:tcPr>
            <w:tcW w:w="780" w:type="dxa"/>
          </w:tcPr>
          <w:p w14:paraId="1F4BF9D4"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Quigley (2022)</w:t>
            </w:r>
          </w:p>
        </w:tc>
        <w:tc>
          <w:tcPr>
            <w:tcW w:w="780" w:type="dxa"/>
          </w:tcPr>
          <w:p w14:paraId="40BC0D90"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301</w:t>
            </w:r>
          </w:p>
        </w:tc>
        <w:tc>
          <w:tcPr>
            <w:tcW w:w="780" w:type="dxa"/>
          </w:tcPr>
          <w:p w14:paraId="09611519"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UK</w:t>
            </w:r>
          </w:p>
        </w:tc>
        <w:tc>
          <w:tcPr>
            <w:tcW w:w="780" w:type="dxa"/>
          </w:tcPr>
          <w:p w14:paraId="6C731401"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15D365D9"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69F6F67E"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425B369C"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Europe</w:t>
            </w:r>
          </w:p>
        </w:tc>
        <w:tc>
          <w:tcPr>
            <w:tcW w:w="780" w:type="dxa"/>
          </w:tcPr>
          <w:p w14:paraId="404ADBA8"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BFI-44</w:t>
            </w:r>
          </w:p>
        </w:tc>
        <w:tc>
          <w:tcPr>
            <w:tcW w:w="780" w:type="dxa"/>
          </w:tcPr>
          <w:p w14:paraId="12D9A5D5"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engagement_performance</w:t>
            </w:r>
          </w:p>
        </w:tc>
        <w:tc>
          <w:tcPr>
            <w:tcW w:w="780" w:type="dxa"/>
          </w:tcPr>
          <w:p w14:paraId="42BBA223"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Inc-pri*</w:t>
            </w:r>
          </w:p>
        </w:tc>
        <w:tc>
          <w:tcPr>
            <w:tcW w:w="780" w:type="dxa"/>
          </w:tcPr>
          <w:p w14:paraId="3347F6AD"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B156D9" w14:paraId="50E121F7"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2677945B" w14:textId="77777777" w:rsidR="00B156D9" w:rsidRDefault="00000000">
            <w:r>
              <w:rPr>
                <w:sz w:val="16"/>
              </w:rPr>
              <w:t>A-23</w:t>
            </w:r>
          </w:p>
        </w:tc>
        <w:tc>
          <w:tcPr>
            <w:tcW w:w="780" w:type="dxa"/>
          </w:tcPr>
          <w:p w14:paraId="54832386"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Rodrigues (2024)</w:t>
            </w:r>
          </w:p>
        </w:tc>
        <w:tc>
          <w:tcPr>
            <w:tcW w:w="780" w:type="dxa"/>
          </w:tcPr>
          <w:p w14:paraId="45F6BBEC"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260</w:t>
            </w:r>
          </w:p>
        </w:tc>
        <w:tc>
          <w:tcPr>
            <w:tcW w:w="780" w:type="dxa"/>
          </w:tcPr>
          <w:p w14:paraId="25942A52"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Germany</w:t>
            </w:r>
          </w:p>
        </w:tc>
        <w:tc>
          <w:tcPr>
            <w:tcW w:w="780" w:type="dxa"/>
          </w:tcPr>
          <w:p w14:paraId="4028609C"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680F0BD3"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24457E9D"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COVID</w:t>
            </w:r>
          </w:p>
        </w:tc>
        <w:tc>
          <w:tcPr>
            <w:tcW w:w="780" w:type="dxa"/>
          </w:tcPr>
          <w:p w14:paraId="19170229"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Europe</w:t>
            </w:r>
          </w:p>
        </w:tc>
        <w:tc>
          <w:tcPr>
            <w:tcW w:w="780" w:type="dxa"/>
          </w:tcPr>
          <w:p w14:paraId="22BAB06B"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BFI-S</w:t>
            </w:r>
          </w:p>
        </w:tc>
        <w:tc>
          <w:tcPr>
            <w:tcW w:w="780" w:type="dxa"/>
          </w:tcPr>
          <w:p w14:paraId="6F0EC452"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GPA</w:t>
            </w:r>
          </w:p>
        </w:tc>
        <w:tc>
          <w:tcPr>
            <w:tcW w:w="780" w:type="dxa"/>
          </w:tcPr>
          <w:p w14:paraId="248E7A9F"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Inc-pri</w:t>
            </w:r>
          </w:p>
        </w:tc>
        <w:tc>
          <w:tcPr>
            <w:tcW w:w="780" w:type="dxa"/>
          </w:tcPr>
          <w:p w14:paraId="0902F0EB"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7</w:t>
            </w:r>
          </w:p>
        </w:tc>
      </w:tr>
      <w:tr w:rsidR="00B156D9" w14:paraId="32DF9494"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67E0DC37" w14:textId="77777777" w:rsidR="00B156D9" w:rsidRDefault="00000000">
            <w:r>
              <w:rPr>
                <w:sz w:val="16"/>
              </w:rPr>
              <w:t>A-24</w:t>
            </w:r>
          </w:p>
        </w:tc>
        <w:tc>
          <w:tcPr>
            <w:tcW w:w="780" w:type="dxa"/>
          </w:tcPr>
          <w:p w14:paraId="386D21DE"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Tlili (2023)</w:t>
            </w:r>
          </w:p>
        </w:tc>
        <w:tc>
          <w:tcPr>
            <w:tcW w:w="780" w:type="dxa"/>
          </w:tcPr>
          <w:p w14:paraId="4DB90D1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65</w:t>
            </w:r>
          </w:p>
        </w:tc>
        <w:tc>
          <w:tcPr>
            <w:tcW w:w="780" w:type="dxa"/>
          </w:tcPr>
          <w:p w14:paraId="4F3874E9"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Tunisia</w:t>
            </w:r>
          </w:p>
        </w:tc>
        <w:tc>
          <w:tcPr>
            <w:tcW w:w="780" w:type="dxa"/>
          </w:tcPr>
          <w:p w14:paraId="43EA0003"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030F461D"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7C0183E6"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612E05B1"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Other</w:t>
            </w:r>
          </w:p>
        </w:tc>
        <w:tc>
          <w:tcPr>
            <w:tcW w:w="780" w:type="dxa"/>
          </w:tcPr>
          <w:p w14:paraId="3D9D40E0"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BFI-44</w:t>
            </w:r>
          </w:p>
        </w:tc>
        <w:tc>
          <w:tcPr>
            <w:tcW w:w="780" w:type="dxa"/>
          </w:tcPr>
          <w:p w14:paraId="54CEA897"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navigational_behavior</w:t>
            </w:r>
          </w:p>
        </w:tc>
        <w:tc>
          <w:tcPr>
            <w:tcW w:w="780" w:type="dxa"/>
          </w:tcPr>
          <w:p w14:paraId="1726932E"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Exc</w:t>
            </w:r>
          </w:p>
        </w:tc>
        <w:tc>
          <w:tcPr>
            <w:tcW w:w="780" w:type="dxa"/>
          </w:tcPr>
          <w:p w14:paraId="3DE91BE2"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4</w:t>
            </w:r>
          </w:p>
        </w:tc>
      </w:tr>
      <w:tr w:rsidR="00B156D9" w14:paraId="2234BAD6"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4653C5AF" w14:textId="77777777" w:rsidR="00B156D9" w:rsidRDefault="00000000">
            <w:r>
              <w:rPr>
                <w:sz w:val="16"/>
              </w:rPr>
              <w:t>A-25</w:t>
            </w:r>
          </w:p>
        </w:tc>
        <w:tc>
          <w:tcPr>
            <w:tcW w:w="780" w:type="dxa"/>
          </w:tcPr>
          <w:p w14:paraId="16D3B533"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Tokiwa (2025)</w:t>
            </w:r>
          </w:p>
        </w:tc>
        <w:tc>
          <w:tcPr>
            <w:tcW w:w="780" w:type="dxa"/>
          </w:tcPr>
          <w:p w14:paraId="52DB2B36"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103</w:t>
            </w:r>
          </w:p>
        </w:tc>
        <w:tc>
          <w:tcPr>
            <w:tcW w:w="780" w:type="dxa"/>
          </w:tcPr>
          <w:p w14:paraId="3D158D9C"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Japan</w:t>
            </w:r>
          </w:p>
        </w:tc>
        <w:tc>
          <w:tcPr>
            <w:tcW w:w="780" w:type="dxa"/>
          </w:tcPr>
          <w:p w14:paraId="7EE66F16"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6940A1E4"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K-12</w:t>
            </w:r>
          </w:p>
        </w:tc>
        <w:tc>
          <w:tcPr>
            <w:tcW w:w="780" w:type="dxa"/>
          </w:tcPr>
          <w:p w14:paraId="6F8F8E41"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post-COVID</w:t>
            </w:r>
          </w:p>
        </w:tc>
        <w:tc>
          <w:tcPr>
            <w:tcW w:w="780" w:type="dxa"/>
          </w:tcPr>
          <w:p w14:paraId="71513910"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Asia</w:t>
            </w:r>
          </w:p>
        </w:tc>
        <w:tc>
          <w:tcPr>
            <w:tcW w:w="780" w:type="dxa"/>
          </w:tcPr>
          <w:p w14:paraId="540718EA"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BFI-2-J</w:t>
            </w:r>
          </w:p>
        </w:tc>
        <w:tc>
          <w:tcPr>
            <w:tcW w:w="780" w:type="dxa"/>
          </w:tcPr>
          <w:p w14:paraId="2F53BDD3"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test_completion</w:t>
            </w:r>
          </w:p>
        </w:tc>
        <w:tc>
          <w:tcPr>
            <w:tcW w:w="780" w:type="dxa"/>
          </w:tcPr>
          <w:p w14:paraId="3AA601F2"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Inc (COI)</w:t>
            </w:r>
          </w:p>
        </w:tc>
        <w:tc>
          <w:tcPr>
            <w:tcW w:w="780" w:type="dxa"/>
          </w:tcPr>
          <w:p w14:paraId="0DA586E5"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B156D9" w14:paraId="6257F04F"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5BF06DB2" w14:textId="77777777" w:rsidR="00B156D9" w:rsidRDefault="00000000">
            <w:r>
              <w:rPr>
                <w:sz w:val="16"/>
              </w:rPr>
              <w:t>A-26</w:t>
            </w:r>
          </w:p>
        </w:tc>
        <w:tc>
          <w:tcPr>
            <w:tcW w:w="780" w:type="dxa"/>
          </w:tcPr>
          <w:p w14:paraId="31AD2A38"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Wang (2023)</w:t>
            </w:r>
          </w:p>
        </w:tc>
        <w:tc>
          <w:tcPr>
            <w:tcW w:w="780" w:type="dxa"/>
          </w:tcPr>
          <w:p w14:paraId="5B39770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1625</w:t>
            </w:r>
          </w:p>
        </w:tc>
        <w:tc>
          <w:tcPr>
            <w:tcW w:w="780" w:type="dxa"/>
          </w:tcPr>
          <w:p w14:paraId="4698AC86"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China</w:t>
            </w:r>
          </w:p>
        </w:tc>
        <w:tc>
          <w:tcPr>
            <w:tcW w:w="780" w:type="dxa"/>
          </w:tcPr>
          <w:p w14:paraId="6A1F6E1D"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52D03BC8"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K-12</w:t>
            </w:r>
          </w:p>
        </w:tc>
        <w:tc>
          <w:tcPr>
            <w:tcW w:w="780" w:type="dxa"/>
          </w:tcPr>
          <w:p w14:paraId="19923B0E"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post-COVID</w:t>
            </w:r>
          </w:p>
        </w:tc>
        <w:tc>
          <w:tcPr>
            <w:tcW w:w="780" w:type="dxa"/>
          </w:tcPr>
          <w:p w14:paraId="19F041EF"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311E29FE"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Chinese Big Five</w:t>
            </w:r>
          </w:p>
        </w:tc>
        <w:tc>
          <w:tcPr>
            <w:tcW w:w="780" w:type="dxa"/>
          </w:tcPr>
          <w:p w14:paraId="6D3DC9A4"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achievement_self_report</w:t>
            </w:r>
          </w:p>
        </w:tc>
        <w:tc>
          <w:tcPr>
            <w:tcW w:w="780" w:type="dxa"/>
          </w:tcPr>
          <w:p w14:paraId="766D86A5"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Inc-pri*</w:t>
            </w:r>
          </w:p>
        </w:tc>
        <w:tc>
          <w:tcPr>
            <w:tcW w:w="780" w:type="dxa"/>
          </w:tcPr>
          <w:p w14:paraId="62D361B3"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B156D9" w14:paraId="339FFE24"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62AAF032" w14:textId="77777777" w:rsidR="00B156D9" w:rsidRDefault="00000000">
            <w:r>
              <w:rPr>
                <w:sz w:val="16"/>
              </w:rPr>
              <w:t>A-27</w:t>
            </w:r>
          </w:p>
        </w:tc>
        <w:tc>
          <w:tcPr>
            <w:tcW w:w="780" w:type="dxa"/>
          </w:tcPr>
          <w:p w14:paraId="52CDA4C6"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Wu_Yu (2024)</w:t>
            </w:r>
          </w:p>
        </w:tc>
        <w:tc>
          <w:tcPr>
            <w:tcW w:w="780" w:type="dxa"/>
          </w:tcPr>
          <w:p w14:paraId="36372E60"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1004</w:t>
            </w:r>
          </w:p>
        </w:tc>
        <w:tc>
          <w:tcPr>
            <w:tcW w:w="780" w:type="dxa"/>
          </w:tcPr>
          <w:p w14:paraId="7DFAE8AC"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China</w:t>
            </w:r>
          </w:p>
        </w:tc>
        <w:tc>
          <w:tcPr>
            <w:tcW w:w="780" w:type="dxa"/>
          </w:tcPr>
          <w:p w14:paraId="1DBCF97C"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e_learning</w:t>
            </w:r>
          </w:p>
        </w:tc>
        <w:tc>
          <w:tcPr>
            <w:tcW w:w="780" w:type="dxa"/>
          </w:tcPr>
          <w:p w14:paraId="75BBCC35"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4095F601"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w:t>
            </w:r>
          </w:p>
        </w:tc>
        <w:tc>
          <w:tcPr>
            <w:tcW w:w="780" w:type="dxa"/>
          </w:tcPr>
          <w:p w14:paraId="540B5BCE"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w:t>
            </w:r>
          </w:p>
        </w:tc>
        <w:tc>
          <w:tcPr>
            <w:tcW w:w="780" w:type="dxa"/>
          </w:tcPr>
          <w:p w14:paraId="52CDC6B3"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Big Five</w:t>
            </w:r>
          </w:p>
        </w:tc>
        <w:tc>
          <w:tcPr>
            <w:tcW w:w="780" w:type="dxa"/>
          </w:tcPr>
          <w:p w14:paraId="3B4CAB34"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engagement</w:t>
            </w:r>
          </w:p>
        </w:tc>
        <w:tc>
          <w:tcPr>
            <w:tcW w:w="780" w:type="dxa"/>
          </w:tcPr>
          <w:p w14:paraId="0750AC22"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w:t>
            </w:r>
          </w:p>
        </w:tc>
        <w:tc>
          <w:tcPr>
            <w:tcW w:w="780" w:type="dxa"/>
          </w:tcPr>
          <w:p w14:paraId="3CE83758"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w:t>
            </w:r>
          </w:p>
        </w:tc>
      </w:tr>
      <w:tr w:rsidR="00B156D9" w14:paraId="45ECA822"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1BE57662" w14:textId="77777777" w:rsidR="00B156D9" w:rsidRDefault="00000000">
            <w:r>
              <w:rPr>
                <w:sz w:val="16"/>
              </w:rPr>
              <w:t>A-28</w:t>
            </w:r>
          </w:p>
        </w:tc>
        <w:tc>
          <w:tcPr>
            <w:tcW w:w="780" w:type="dxa"/>
          </w:tcPr>
          <w:p w14:paraId="4CFB5622"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Yu (2021)</w:t>
            </w:r>
          </w:p>
        </w:tc>
        <w:tc>
          <w:tcPr>
            <w:tcW w:w="780" w:type="dxa"/>
          </w:tcPr>
          <w:p w14:paraId="61242998"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1152</w:t>
            </w:r>
          </w:p>
        </w:tc>
        <w:tc>
          <w:tcPr>
            <w:tcW w:w="780" w:type="dxa"/>
          </w:tcPr>
          <w:p w14:paraId="435CA4D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China</w:t>
            </w:r>
          </w:p>
        </w:tc>
        <w:tc>
          <w:tcPr>
            <w:tcW w:w="780" w:type="dxa"/>
          </w:tcPr>
          <w:p w14:paraId="542D29F8"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63AFE2B6"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UG/Grad</w:t>
            </w:r>
          </w:p>
        </w:tc>
        <w:tc>
          <w:tcPr>
            <w:tcW w:w="780" w:type="dxa"/>
          </w:tcPr>
          <w:p w14:paraId="6D99553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2E678E9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55D67F96"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Big Five Scale (McCrae)</w:t>
            </w:r>
          </w:p>
        </w:tc>
        <w:tc>
          <w:tcPr>
            <w:tcW w:w="780" w:type="dxa"/>
          </w:tcPr>
          <w:p w14:paraId="20E98EF0"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MOOC_composite</w:t>
            </w:r>
          </w:p>
        </w:tc>
        <w:tc>
          <w:tcPr>
            <w:tcW w:w="780" w:type="dxa"/>
          </w:tcPr>
          <w:p w14:paraId="3B1D40D0"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Inc-pri</w:t>
            </w:r>
          </w:p>
        </w:tc>
        <w:tc>
          <w:tcPr>
            <w:tcW w:w="780" w:type="dxa"/>
          </w:tcPr>
          <w:p w14:paraId="6C4C4B2B"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7</w:t>
            </w:r>
          </w:p>
        </w:tc>
      </w:tr>
      <w:tr w:rsidR="00B156D9" w14:paraId="65BE65ED"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22FAEF67" w14:textId="77777777" w:rsidR="00B156D9" w:rsidRDefault="00000000">
            <w:r>
              <w:rPr>
                <w:sz w:val="16"/>
              </w:rPr>
              <w:t>A-29</w:t>
            </w:r>
          </w:p>
        </w:tc>
        <w:tc>
          <w:tcPr>
            <w:tcW w:w="780" w:type="dxa"/>
          </w:tcPr>
          <w:p w14:paraId="0FBF0E19"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Bahcekapili (2020)</w:t>
            </w:r>
          </w:p>
        </w:tc>
        <w:tc>
          <w:tcPr>
            <w:tcW w:w="780" w:type="dxa"/>
          </w:tcPr>
          <w:p w14:paraId="2F8C9A18"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525</w:t>
            </w:r>
          </w:p>
        </w:tc>
        <w:tc>
          <w:tcPr>
            <w:tcW w:w="780" w:type="dxa"/>
          </w:tcPr>
          <w:p w14:paraId="4000495C"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Turkey</w:t>
            </w:r>
          </w:p>
        </w:tc>
        <w:tc>
          <w:tcPr>
            <w:tcW w:w="780" w:type="dxa"/>
          </w:tcPr>
          <w:p w14:paraId="660B2290"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5439EDD7"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4D6630CA"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pre-COVID</w:t>
            </w:r>
          </w:p>
        </w:tc>
        <w:tc>
          <w:tcPr>
            <w:tcW w:w="780" w:type="dxa"/>
          </w:tcPr>
          <w:p w14:paraId="646A8D7F"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Europe</w:t>
            </w:r>
          </w:p>
        </w:tc>
        <w:tc>
          <w:tcPr>
            <w:tcW w:w="780" w:type="dxa"/>
          </w:tcPr>
          <w:p w14:paraId="66C3325A"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BFI-44 Turkish</w:t>
            </w:r>
          </w:p>
        </w:tc>
        <w:tc>
          <w:tcPr>
            <w:tcW w:w="780" w:type="dxa"/>
          </w:tcPr>
          <w:p w14:paraId="696F9224"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GPA</w:t>
            </w:r>
          </w:p>
        </w:tc>
        <w:tc>
          <w:tcPr>
            <w:tcW w:w="780" w:type="dxa"/>
          </w:tcPr>
          <w:p w14:paraId="78465B0C"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Inc-pri</w:t>
            </w:r>
          </w:p>
        </w:tc>
        <w:tc>
          <w:tcPr>
            <w:tcW w:w="780" w:type="dxa"/>
          </w:tcPr>
          <w:p w14:paraId="3E1FD1BF"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B156D9" w14:paraId="7920168F"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54591142" w14:textId="77777777" w:rsidR="00B156D9" w:rsidRDefault="00000000">
            <w:r>
              <w:rPr>
                <w:sz w:val="16"/>
              </w:rPr>
              <w:t>A-30</w:t>
            </w:r>
          </w:p>
        </w:tc>
        <w:tc>
          <w:tcPr>
            <w:tcW w:w="780" w:type="dxa"/>
          </w:tcPr>
          <w:p w14:paraId="77F7FAD9"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Kaspar (2023)</w:t>
            </w:r>
          </w:p>
        </w:tc>
        <w:tc>
          <w:tcPr>
            <w:tcW w:w="780" w:type="dxa"/>
          </w:tcPr>
          <w:p w14:paraId="7F5F49EB"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413</w:t>
            </w:r>
          </w:p>
        </w:tc>
        <w:tc>
          <w:tcPr>
            <w:tcW w:w="780" w:type="dxa"/>
          </w:tcPr>
          <w:p w14:paraId="05A3BC94"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Germany</w:t>
            </w:r>
          </w:p>
        </w:tc>
        <w:tc>
          <w:tcPr>
            <w:tcW w:w="780" w:type="dxa"/>
          </w:tcPr>
          <w:p w14:paraId="75862525"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364C032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UG/Grad</w:t>
            </w:r>
          </w:p>
        </w:tc>
        <w:tc>
          <w:tcPr>
            <w:tcW w:w="780" w:type="dxa"/>
          </w:tcPr>
          <w:p w14:paraId="1D222C84"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431277A7"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Europe</w:t>
            </w:r>
          </w:p>
        </w:tc>
        <w:tc>
          <w:tcPr>
            <w:tcW w:w="780" w:type="dxa"/>
          </w:tcPr>
          <w:p w14:paraId="3685283F"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BFI-S German</w:t>
            </w:r>
          </w:p>
        </w:tc>
        <w:tc>
          <w:tcPr>
            <w:tcW w:w="780" w:type="dxa"/>
          </w:tcPr>
          <w:p w14:paraId="2D65C5EA"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performance_self_rated</w:t>
            </w:r>
          </w:p>
        </w:tc>
        <w:tc>
          <w:tcPr>
            <w:tcW w:w="780" w:type="dxa"/>
          </w:tcPr>
          <w:p w14:paraId="3466715C"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Inc-pri*</w:t>
            </w:r>
          </w:p>
        </w:tc>
        <w:tc>
          <w:tcPr>
            <w:tcW w:w="780" w:type="dxa"/>
          </w:tcPr>
          <w:p w14:paraId="5917979C"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r>
      <w:tr w:rsidR="00B156D9" w14:paraId="3AAE4C4B"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5F0E5273" w14:textId="77777777" w:rsidR="00B156D9" w:rsidRDefault="00000000">
            <w:r>
              <w:rPr>
                <w:sz w:val="16"/>
              </w:rPr>
              <w:t>A-31</w:t>
            </w:r>
          </w:p>
        </w:tc>
        <w:tc>
          <w:tcPr>
            <w:tcW w:w="780" w:type="dxa"/>
          </w:tcPr>
          <w:p w14:paraId="437DF233"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Rivers (2021)</w:t>
            </w:r>
          </w:p>
        </w:tc>
        <w:tc>
          <w:tcPr>
            <w:tcW w:w="780" w:type="dxa"/>
          </w:tcPr>
          <w:p w14:paraId="51C161FF"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149</w:t>
            </w:r>
          </w:p>
        </w:tc>
        <w:tc>
          <w:tcPr>
            <w:tcW w:w="780" w:type="dxa"/>
          </w:tcPr>
          <w:p w14:paraId="02D95AD1"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Japan</w:t>
            </w:r>
          </w:p>
        </w:tc>
        <w:tc>
          <w:tcPr>
            <w:tcW w:w="780" w:type="dxa"/>
          </w:tcPr>
          <w:p w14:paraId="677DBBF8"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5DA11434"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0790EA15"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COVID</w:t>
            </w:r>
          </w:p>
        </w:tc>
        <w:tc>
          <w:tcPr>
            <w:tcW w:w="780" w:type="dxa"/>
          </w:tcPr>
          <w:p w14:paraId="5D70DD47"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Asia</w:t>
            </w:r>
          </w:p>
        </w:tc>
        <w:tc>
          <w:tcPr>
            <w:tcW w:w="780" w:type="dxa"/>
          </w:tcPr>
          <w:p w14:paraId="4DE5C8BB"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TIPI-J</w:t>
            </w:r>
          </w:p>
        </w:tc>
        <w:tc>
          <w:tcPr>
            <w:tcW w:w="780" w:type="dxa"/>
          </w:tcPr>
          <w:p w14:paraId="035282E8"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course_grade</w:t>
            </w:r>
          </w:p>
        </w:tc>
        <w:tc>
          <w:tcPr>
            <w:tcW w:w="780" w:type="dxa"/>
          </w:tcPr>
          <w:p w14:paraId="0F74B103"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Inc-pri</w:t>
            </w:r>
          </w:p>
        </w:tc>
        <w:tc>
          <w:tcPr>
            <w:tcW w:w="780" w:type="dxa"/>
          </w:tcPr>
          <w:p w14:paraId="0AB77273" w14:textId="77777777" w:rsidR="00B156D9"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B156D9" w14:paraId="70E38A13"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4BB19AA8" w14:textId="77777777" w:rsidR="00B156D9" w:rsidRDefault="00000000">
            <w:r>
              <w:rPr>
                <w:sz w:val="16"/>
              </w:rPr>
              <w:t>A-37</w:t>
            </w:r>
          </w:p>
        </w:tc>
        <w:tc>
          <w:tcPr>
            <w:tcW w:w="780" w:type="dxa"/>
          </w:tcPr>
          <w:p w14:paraId="77870ED2"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Zheng (2023)</w:t>
            </w:r>
          </w:p>
        </w:tc>
        <w:tc>
          <w:tcPr>
            <w:tcW w:w="780" w:type="dxa"/>
          </w:tcPr>
          <w:p w14:paraId="13508ECB"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282</w:t>
            </w:r>
          </w:p>
        </w:tc>
        <w:tc>
          <w:tcPr>
            <w:tcW w:w="780" w:type="dxa"/>
          </w:tcPr>
          <w:p w14:paraId="1482C902"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US</w:t>
            </w:r>
          </w:p>
        </w:tc>
        <w:tc>
          <w:tcPr>
            <w:tcW w:w="780" w:type="dxa"/>
          </w:tcPr>
          <w:p w14:paraId="7865FB3C"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7B641EC2"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Grad</w:t>
            </w:r>
          </w:p>
        </w:tc>
        <w:tc>
          <w:tcPr>
            <w:tcW w:w="780" w:type="dxa"/>
          </w:tcPr>
          <w:p w14:paraId="4AFD0351"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Mixed_3era</w:t>
            </w:r>
          </w:p>
        </w:tc>
        <w:tc>
          <w:tcPr>
            <w:tcW w:w="780" w:type="dxa"/>
          </w:tcPr>
          <w:p w14:paraId="67752A97"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North_America</w:t>
            </w:r>
          </w:p>
        </w:tc>
        <w:tc>
          <w:tcPr>
            <w:tcW w:w="780" w:type="dxa"/>
          </w:tcPr>
          <w:p w14:paraId="14EFDFD7"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TIPI</w:t>
            </w:r>
          </w:p>
        </w:tc>
        <w:tc>
          <w:tcPr>
            <w:tcW w:w="780" w:type="dxa"/>
          </w:tcPr>
          <w:p w14:paraId="516AEDAE"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course_grade</w:t>
            </w:r>
          </w:p>
        </w:tc>
        <w:tc>
          <w:tcPr>
            <w:tcW w:w="780" w:type="dxa"/>
          </w:tcPr>
          <w:p w14:paraId="0E2D1D5B"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Inc-pri*</w:t>
            </w:r>
          </w:p>
        </w:tc>
        <w:tc>
          <w:tcPr>
            <w:tcW w:w="780" w:type="dxa"/>
          </w:tcPr>
          <w:p w14:paraId="73CBEA2C" w14:textId="77777777" w:rsidR="00B156D9" w:rsidRDefault="00000000">
            <w:pPr>
              <w:cnfStyle w:val="000000100000" w:firstRow="0" w:lastRow="0" w:firstColumn="0" w:lastColumn="0" w:oddVBand="0" w:evenVBand="0" w:oddHBand="1" w:evenHBand="0" w:firstRowFirstColumn="0" w:firstRowLastColumn="0" w:lastRowFirstColumn="0" w:lastRowLastColumn="0"/>
            </w:pPr>
            <w:r>
              <w:rPr>
                <w:sz w:val="16"/>
              </w:rPr>
              <w:t>4</w:t>
            </w:r>
          </w:p>
        </w:tc>
      </w:tr>
    </w:tbl>
    <w:p w14:paraId="6434F0EA" w14:textId="77777777" w:rsidR="00B156D9" w:rsidRDefault="00000000">
      <w:pPr>
        <w:spacing w:after="0" w:line="480" w:lineRule="auto"/>
      </w:pPr>
      <w:r>
        <w:lastRenderedPageBreak/>
        <w:t xml:space="preserve">Note. ID = study identifier in the deep-reading-notes ledger (A-XX sequence). </w:t>
      </w:r>
      <w:r>
        <w:rPr>
          <w:i/>
        </w:rPr>
        <w:t>N</w:t>
      </w:r>
      <w: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w:t>
      </w:r>
      <w:r>
        <w:rPr>
          <w:i/>
        </w:rPr>
        <w:t>k</w:t>
      </w:r>
      <w:r>
        <w:t xml:space="preserve"> = 10) — Inc-pri = included in exploratory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w:t>
      </w:r>
      <w:r>
        <w:rPr>
          <w:i/>
        </w:rPr>
        <w:t>r</w:t>
      </w:r>
      <w:r>
        <w:t xml:space="preserve"> for the exploratory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(2009) and A-27 Wu &amp; Yu (2024) are omitted from the table because the former was excluded at the modality screening stage (face-to-face) and the latter was not available as a retrievable PDF; both are disclosed in the PRISMA flow (Figure 1). Author-</w:t>
      </w:r>
      <w:r>
        <w:lastRenderedPageBreak/>
        <w:t>correction notes for studies whose original bibliographic metadata differed from the verified author, year, or country (A-06, A-07, A-08, A-12, A-13, A-16, A-18, A-20) are provided in the OSF project (Supplementary Material).</w:t>
      </w:r>
    </w:p>
    <w:p w14:paraId="5E0B1E24" w14:textId="77777777" w:rsidR="00B156D9" w:rsidRDefault="00000000">
      <w:r>
        <w:br w:type="page"/>
      </w:r>
    </w:p>
    <w:p w14:paraId="6B9042D0" w14:textId="77777777" w:rsidR="00B156D9" w:rsidRDefault="00000000">
      <w:pPr>
        <w:spacing w:after="0" w:line="480" w:lineRule="auto"/>
      </w:pPr>
      <w:r>
        <w:rPr>
          <w:b/>
        </w:rPr>
        <w:lastRenderedPageBreak/>
        <w:t>Table 2</w:t>
      </w:r>
    </w:p>
    <w:p w14:paraId="18600972" w14:textId="77777777" w:rsidR="00B156D9" w:rsidRDefault="00000000">
      <w:pPr>
        <w:spacing w:after="0" w:line="480" w:lineRule="auto"/>
      </w:pPr>
      <w:r>
        <w:rPr>
          <w:i/>
        </w:rPr>
        <w:t>Random-Effects Pooled Correlations Between Big Five Personality Traits and Academic Achievement in Online Learning Environments</w:t>
      </w:r>
    </w:p>
    <w:tbl>
      <w:tblPr>
        <w:tblStyle w:val="38"/>
        <w:tblW w:w="0" w:type="auto"/>
        <w:tblLook w:val="04A0" w:firstRow="1" w:lastRow="0" w:firstColumn="1" w:lastColumn="0" w:noHBand="0" w:noVBand="1"/>
      </w:tblPr>
      <w:tblGrid>
        <w:gridCol w:w="1762"/>
        <w:gridCol w:w="691"/>
        <w:gridCol w:w="831"/>
        <w:gridCol w:w="775"/>
        <w:gridCol w:w="1262"/>
        <w:gridCol w:w="1262"/>
        <w:gridCol w:w="868"/>
        <w:gridCol w:w="775"/>
        <w:gridCol w:w="1350"/>
      </w:tblGrid>
      <w:tr w:rsidR="00B156D9" w14:paraId="6A5BF41F" w14:textId="77777777" w:rsidTr="00B156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0" w:type="dxa"/>
          </w:tcPr>
          <w:p w14:paraId="375712D6" w14:textId="77777777" w:rsidR="00B156D9" w:rsidRDefault="00000000">
            <w:pPr>
              <w:spacing w:line="276" w:lineRule="auto"/>
            </w:pPr>
            <w:r>
              <w:rPr>
                <w:sz w:val="20"/>
              </w:rPr>
              <w:t>Trait</w:t>
            </w:r>
          </w:p>
        </w:tc>
        <w:tc>
          <w:tcPr>
            <w:tcW w:w="1040" w:type="dxa"/>
          </w:tcPr>
          <w:p w14:paraId="227A6CF7"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k</w:t>
            </w:r>
          </w:p>
        </w:tc>
        <w:tc>
          <w:tcPr>
            <w:tcW w:w="1040" w:type="dxa"/>
          </w:tcPr>
          <w:p w14:paraId="4DB315AC"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N</w:t>
            </w:r>
          </w:p>
        </w:tc>
        <w:tc>
          <w:tcPr>
            <w:tcW w:w="1040" w:type="dxa"/>
          </w:tcPr>
          <w:p w14:paraId="6A534E6F"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r</w:t>
            </w:r>
          </w:p>
        </w:tc>
        <w:tc>
          <w:tcPr>
            <w:tcW w:w="1040" w:type="dxa"/>
          </w:tcPr>
          <w:p w14:paraId="18F4E832"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95% CI</w:t>
            </w:r>
          </w:p>
        </w:tc>
        <w:tc>
          <w:tcPr>
            <w:tcW w:w="1040" w:type="dxa"/>
          </w:tcPr>
          <w:p w14:paraId="067C80E9"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95% PI</w:t>
            </w:r>
          </w:p>
        </w:tc>
        <w:tc>
          <w:tcPr>
            <w:tcW w:w="1040" w:type="dxa"/>
          </w:tcPr>
          <w:p w14:paraId="716A2DB4"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I²</w:t>
            </w:r>
          </w:p>
        </w:tc>
        <w:tc>
          <w:tcPr>
            <w:tcW w:w="1040" w:type="dxa"/>
          </w:tcPr>
          <w:p w14:paraId="11684209"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τ²</w:t>
            </w:r>
          </w:p>
        </w:tc>
        <w:tc>
          <w:tcPr>
            <w:tcW w:w="1040" w:type="dxa"/>
          </w:tcPr>
          <w:p w14:paraId="67BA1F9F"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t>Q(</w:t>
            </w:r>
            <w:r>
              <w:rPr>
                <w:i/>
              </w:rPr>
              <w:t>df</w:t>
            </w:r>
            <w:r>
              <w:t xml:space="preserve">), </w:t>
            </w:r>
            <w:r>
              <w:rPr>
                <w:i/>
              </w:rPr>
              <w:t>p</w:t>
            </w:r>
          </w:p>
        </w:tc>
      </w:tr>
      <w:tr w:rsidR="00B156D9" w14:paraId="6FA82A54"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0" w:type="dxa"/>
          </w:tcPr>
          <w:p w14:paraId="64B12F89" w14:textId="77777777" w:rsidR="00B156D9" w:rsidRDefault="00000000">
            <w:pPr>
              <w:spacing w:line="276" w:lineRule="auto"/>
            </w:pPr>
            <w:r>
              <w:rPr>
                <w:sz w:val="20"/>
              </w:rPr>
              <w:t>Conscientiousness</w:t>
            </w:r>
          </w:p>
        </w:tc>
        <w:tc>
          <w:tcPr>
            <w:tcW w:w="1040" w:type="dxa"/>
          </w:tcPr>
          <w:p w14:paraId="7C7998A5"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10</w:t>
            </w:r>
          </w:p>
        </w:tc>
        <w:tc>
          <w:tcPr>
            <w:tcW w:w="1040" w:type="dxa"/>
          </w:tcPr>
          <w:p w14:paraId="5FE1F823"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3,384</w:t>
            </w:r>
          </w:p>
        </w:tc>
        <w:tc>
          <w:tcPr>
            <w:tcW w:w="1040" w:type="dxa"/>
          </w:tcPr>
          <w:p w14:paraId="7AF93CD7"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.167</w:t>
            </w:r>
          </w:p>
        </w:tc>
        <w:tc>
          <w:tcPr>
            <w:tcW w:w="1040" w:type="dxa"/>
          </w:tcPr>
          <w:p w14:paraId="469FF40C"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[.089, .243]</w:t>
            </w:r>
          </w:p>
        </w:tc>
        <w:tc>
          <w:tcPr>
            <w:tcW w:w="1040" w:type="dxa"/>
          </w:tcPr>
          <w:p w14:paraId="01625897"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[−.020, .343]</w:t>
            </w:r>
          </w:p>
        </w:tc>
        <w:tc>
          <w:tcPr>
            <w:tcW w:w="1040" w:type="dxa"/>
          </w:tcPr>
          <w:p w14:paraId="34ED3F5F"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65.1%</w:t>
            </w:r>
          </w:p>
        </w:tc>
        <w:tc>
          <w:tcPr>
            <w:tcW w:w="1040" w:type="dxa"/>
          </w:tcPr>
          <w:p w14:paraId="0CA4E0EE"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.006</w:t>
            </w:r>
          </w:p>
        </w:tc>
        <w:tc>
          <w:tcPr>
            <w:tcW w:w="1040" w:type="dxa"/>
          </w:tcPr>
          <w:p w14:paraId="2C55B908"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25.79(9), .002</w:t>
            </w:r>
          </w:p>
        </w:tc>
      </w:tr>
      <w:tr w:rsidR="00B156D9" w14:paraId="2376DBA8"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0" w:type="dxa"/>
          </w:tcPr>
          <w:p w14:paraId="216CC67A" w14:textId="77777777" w:rsidR="00B156D9" w:rsidRDefault="00000000">
            <w:pPr>
              <w:spacing w:line="276" w:lineRule="auto"/>
            </w:pPr>
            <w:r>
              <w:rPr>
                <w:sz w:val="20"/>
              </w:rPr>
              <w:t>Agreeableness</w:t>
            </w:r>
          </w:p>
        </w:tc>
        <w:tc>
          <w:tcPr>
            <w:tcW w:w="1040" w:type="dxa"/>
          </w:tcPr>
          <w:p w14:paraId="6506EC0B"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9</w:t>
            </w:r>
          </w:p>
        </w:tc>
        <w:tc>
          <w:tcPr>
            <w:tcW w:w="1040" w:type="dxa"/>
          </w:tcPr>
          <w:p w14:paraId="559A44E7"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3,363</w:t>
            </w:r>
          </w:p>
        </w:tc>
        <w:tc>
          <w:tcPr>
            <w:tcW w:w="1040" w:type="dxa"/>
          </w:tcPr>
          <w:p w14:paraId="1A5222C5"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.112</w:t>
            </w:r>
          </w:p>
        </w:tc>
        <w:tc>
          <w:tcPr>
            <w:tcW w:w="1040" w:type="dxa"/>
          </w:tcPr>
          <w:p w14:paraId="5C0C92AB"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[−.031, .250]</w:t>
            </w:r>
          </w:p>
        </w:tc>
        <w:tc>
          <w:tcPr>
            <w:tcW w:w="1040" w:type="dxa"/>
          </w:tcPr>
          <w:p w14:paraId="69637F50"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[−.310, .496]</w:t>
            </w:r>
          </w:p>
        </w:tc>
        <w:tc>
          <w:tcPr>
            <w:tcW w:w="1040" w:type="dxa"/>
          </w:tcPr>
          <w:p w14:paraId="29180E0F"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96.2%</w:t>
            </w:r>
          </w:p>
        </w:tc>
        <w:tc>
          <w:tcPr>
            <w:tcW w:w="1040" w:type="dxa"/>
          </w:tcPr>
          <w:p w14:paraId="1AE021CE"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.030</w:t>
            </w:r>
          </w:p>
        </w:tc>
        <w:tc>
          <w:tcPr>
            <w:tcW w:w="1040" w:type="dxa"/>
          </w:tcPr>
          <w:p w14:paraId="237D92D6"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208.49(8), &lt;.001</w:t>
            </w:r>
          </w:p>
        </w:tc>
      </w:tr>
      <w:tr w:rsidR="00B156D9" w14:paraId="2EE87807"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0" w:type="dxa"/>
          </w:tcPr>
          <w:p w14:paraId="21D5938D" w14:textId="77777777" w:rsidR="00B156D9" w:rsidRDefault="00000000">
            <w:pPr>
              <w:spacing w:line="276" w:lineRule="auto"/>
            </w:pPr>
            <w:r>
              <w:rPr>
                <w:sz w:val="20"/>
              </w:rPr>
              <w:t>Openness</w:t>
            </w:r>
          </w:p>
        </w:tc>
        <w:tc>
          <w:tcPr>
            <w:tcW w:w="1040" w:type="dxa"/>
          </w:tcPr>
          <w:p w14:paraId="198A41B2"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9</w:t>
            </w:r>
          </w:p>
        </w:tc>
        <w:tc>
          <w:tcPr>
            <w:tcW w:w="1040" w:type="dxa"/>
          </w:tcPr>
          <w:p w14:paraId="6807095A"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3,363</w:t>
            </w:r>
          </w:p>
        </w:tc>
        <w:tc>
          <w:tcPr>
            <w:tcW w:w="1040" w:type="dxa"/>
          </w:tcPr>
          <w:p w14:paraId="70FEAAAB"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.086</w:t>
            </w:r>
          </w:p>
        </w:tc>
        <w:tc>
          <w:tcPr>
            <w:tcW w:w="1040" w:type="dxa"/>
          </w:tcPr>
          <w:p w14:paraId="74E64E51"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[−.044, .214]</w:t>
            </w:r>
          </w:p>
        </w:tc>
        <w:tc>
          <w:tcPr>
            <w:tcW w:w="1040" w:type="dxa"/>
          </w:tcPr>
          <w:p w14:paraId="42575E5B"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[−.273, .425]</w:t>
            </w:r>
          </w:p>
        </w:tc>
        <w:tc>
          <w:tcPr>
            <w:tcW w:w="1040" w:type="dxa"/>
          </w:tcPr>
          <w:p w14:paraId="2CCB9650"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92.0%</w:t>
            </w:r>
          </w:p>
        </w:tc>
        <w:tc>
          <w:tcPr>
            <w:tcW w:w="1040" w:type="dxa"/>
          </w:tcPr>
          <w:p w14:paraId="195238F5"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.021</w:t>
            </w:r>
          </w:p>
        </w:tc>
        <w:tc>
          <w:tcPr>
            <w:tcW w:w="1040" w:type="dxa"/>
          </w:tcPr>
          <w:p w14:paraId="025FC3D5"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100.17(8), &lt;.001</w:t>
            </w:r>
          </w:p>
        </w:tc>
      </w:tr>
      <w:tr w:rsidR="00B156D9" w14:paraId="711B2BEB"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0" w:type="dxa"/>
          </w:tcPr>
          <w:p w14:paraId="2751807C" w14:textId="77777777" w:rsidR="00B156D9" w:rsidRDefault="00000000">
            <w:pPr>
              <w:spacing w:line="276" w:lineRule="auto"/>
            </w:pPr>
            <w:r>
              <w:rPr>
                <w:sz w:val="20"/>
              </w:rPr>
              <w:t>Neuroticism</w:t>
            </w:r>
          </w:p>
        </w:tc>
        <w:tc>
          <w:tcPr>
            <w:tcW w:w="1040" w:type="dxa"/>
          </w:tcPr>
          <w:p w14:paraId="7CBADAA7"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10</w:t>
            </w:r>
          </w:p>
        </w:tc>
        <w:tc>
          <w:tcPr>
            <w:tcW w:w="1040" w:type="dxa"/>
          </w:tcPr>
          <w:p w14:paraId="27632F0E"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3,384</w:t>
            </w:r>
          </w:p>
        </w:tc>
        <w:tc>
          <w:tcPr>
            <w:tcW w:w="1040" w:type="dxa"/>
          </w:tcPr>
          <w:p w14:paraId="231105A1"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.018</w:t>
            </w:r>
          </w:p>
        </w:tc>
        <w:tc>
          <w:tcPr>
            <w:tcW w:w="1040" w:type="dxa"/>
          </w:tcPr>
          <w:p w14:paraId="5F11A749"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[−.079, .114]</w:t>
            </w:r>
          </w:p>
        </w:tc>
        <w:tc>
          <w:tcPr>
            <w:tcW w:w="1040" w:type="dxa"/>
          </w:tcPr>
          <w:p w14:paraId="434B8565"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[−.229, .263]</w:t>
            </w:r>
          </w:p>
        </w:tc>
        <w:tc>
          <w:tcPr>
            <w:tcW w:w="1040" w:type="dxa"/>
          </w:tcPr>
          <w:p w14:paraId="4349406B"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79.0%</w:t>
            </w:r>
          </w:p>
        </w:tc>
        <w:tc>
          <w:tcPr>
            <w:tcW w:w="1040" w:type="dxa"/>
          </w:tcPr>
          <w:p w14:paraId="6C3922B5"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.010</w:t>
            </w:r>
          </w:p>
        </w:tc>
        <w:tc>
          <w:tcPr>
            <w:tcW w:w="1040" w:type="dxa"/>
          </w:tcPr>
          <w:p w14:paraId="66F571C9"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42.76(9), &lt;.001</w:t>
            </w:r>
          </w:p>
        </w:tc>
      </w:tr>
      <w:tr w:rsidR="00B156D9" w14:paraId="23D340FE"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0" w:type="dxa"/>
          </w:tcPr>
          <w:p w14:paraId="3A70D8E6" w14:textId="77777777" w:rsidR="00B156D9" w:rsidRDefault="00000000">
            <w:pPr>
              <w:spacing w:line="276" w:lineRule="auto"/>
            </w:pPr>
            <w:r>
              <w:rPr>
                <w:sz w:val="20"/>
              </w:rPr>
              <w:t>Extraversion</w:t>
            </w:r>
          </w:p>
        </w:tc>
        <w:tc>
          <w:tcPr>
            <w:tcW w:w="1040" w:type="dxa"/>
          </w:tcPr>
          <w:p w14:paraId="163DB338"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9</w:t>
            </w:r>
          </w:p>
        </w:tc>
        <w:tc>
          <w:tcPr>
            <w:tcW w:w="1040" w:type="dxa"/>
          </w:tcPr>
          <w:p w14:paraId="58111FA4"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3,363</w:t>
            </w:r>
          </w:p>
        </w:tc>
        <w:tc>
          <w:tcPr>
            <w:tcW w:w="1040" w:type="dxa"/>
          </w:tcPr>
          <w:p w14:paraId="23F7CE8A"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.002</w:t>
            </w:r>
          </w:p>
        </w:tc>
        <w:tc>
          <w:tcPr>
            <w:tcW w:w="1040" w:type="dxa"/>
          </w:tcPr>
          <w:p w14:paraId="74BB568D"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[−.076, .080]</w:t>
            </w:r>
          </w:p>
        </w:tc>
        <w:tc>
          <w:tcPr>
            <w:tcW w:w="1040" w:type="dxa"/>
          </w:tcPr>
          <w:p w14:paraId="51F457EE"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[−.195, .200]</w:t>
            </w:r>
          </w:p>
        </w:tc>
        <w:tc>
          <w:tcPr>
            <w:tcW w:w="1040" w:type="dxa"/>
          </w:tcPr>
          <w:p w14:paraId="25DE3747"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75.5%</w:t>
            </w:r>
          </w:p>
        </w:tc>
        <w:tc>
          <w:tcPr>
            <w:tcW w:w="1040" w:type="dxa"/>
          </w:tcPr>
          <w:p w14:paraId="58FB7542"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.006</w:t>
            </w:r>
          </w:p>
        </w:tc>
        <w:tc>
          <w:tcPr>
            <w:tcW w:w="1040" w:type="dxa"/>
          </w:tcPr>
          <w:p w14:paraId="41CE5658"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32.66(8), &lt;.001</w:t>
            </w:r>
          </w:p>
        </w:tc>
      </w:tr>
    </w:tbl>
    <w:p w14:paraId="7A710DA3" w14:textId="77777777" w:rsidR="00B156D9" w:rsidRDefault="00000000">
      <w:pPr>
        <w:spacing w:after="0" w:line="480" w:lineRule="auto"/>
      </w:pPr>
      <w:r>
        <w:t xml:space="preserve">Note. </w:t>
      </w:r>
      <w:r>
        <w:rPr>
          <w:i/>
        </w:rPr>
        <w:t>k</w:t>
      </w:r>
      <w:r>
        <w:t xml:space="preserve"> = number of independent samples contributing a direct Pearson </w:t>
      </w:r>
      <w:r>
        <w:rPr>
          <w:i/>
        </w:rPr>
        <w:t>r</w:t>
      </w:r>
      <w:r>
        <w:t xml:space="preserve"> or Peterson-Brown-converted </w:t>
      </w:r>
      <w:r>
        <w:rPr>
          <w:i/>
        </w:rPr>
        <w:t>β</w:t>
      </w:r>
      <w:r>
        <w:t xml:space="preserve"> to the trait pool. </w:t>
      </w:r>
      <w:r>
        <w:rPr>
          <w:i/>
        </w:rPr>
        <w:t>N</w:t>
      </w:r>
      <w:r>
        <w:t xml:space="preserve"> = total pooled sample size. </w:t>
      </w:r>
      <w:r>
        <w:rPr>
          <w:i/>
        </w:rPr>
        <w:t>r</w:t>
      </w:r>
      <w:r>
        <w:t xml:space="preserve"> = random-effects REML pooled correlation on the Fisher </w:t>
      </w:r>
      <w:r>
        <w:rPr>
          <w:i/>
        </w:rPr>
        <w:t>z</w:t>
      </w:r>
      <w:r>
        <w:t xml:space="preserve"> scale, back-transformed to </w:t>
      </w:r>
      <w:r>
        <w:rPr>
          <w:i/>
        </w:rPr>
        <w:t>r</w:t>
      </w:r>
      <w:r>
        <w:t xml:space="preserve"> for display. 95% CI = Hartung-Knapp-Sidik-Jonkman–adjusted confidence interval. 95% PI = prediction interval for true effects in a new study. </w:t>
      </w:r>
      <w:r>
        <w:rPr>
          <w:i/>
        </w:rPr>
        <w:t>I²</w:t>
      </w:r>
      <w:r>
        <w:t xml:space="preserve"> = Higgins &amp; Thompson's heterogeneity index. </w:t>
      </w:r>
      <w:r>
        <w:rPr>
          <w:i/>
        </w:rPr>
        <w:t>τ²</w:t>
      </w:r>
      <w:r>
        <w:t xml:space="preserve"> = REML between-study variance. </w:t>
      </w:r>
      <w:r>
        <w:rPr>
          <w:i/>
        </w:rPr>
        <w:t>Q</w:t>
      </w:r>
      <w:r>
        <w:t xml:space="preserve"> = Cochran's heterogeneity statistic; </w:t>
      </w:r>
      <w:r>
        <w:rPr>
          <w:i/>
        </w:rPr>
        <w:t>df</w:t>
      </w:r>
      <w:r>
        <w:t xml:space="preserve"> = degrees of freedom; </w:t>
      </w:r>
      <w:r>
        <w:rPr>
          <w:i/>
        </w:rPr>
        <w:t>p</w:t>
      </w:r>
      <w:r>
        <w:t xml:space="preserve"> = associated p-value. Traits are sorted by pooled </w:t>
      </w:r>
      <w:r>
        <w:rPr>
          <w:i/>
        </w:rPr>
        <w:t>r</w:t>
      </w:r>
      <w:r>
        <w:t xml:space="preserve"> (descending).</w:t>
      </w:r>
    </w:p>
    <w:p w14:paraId="5E251D59" w14:textId="77777777" w:rsidR="00B156D9" w:rsidRDefault="00000000">
      <w:r>
        <w:br w:type="page"/>
      </w:r>
    </w:p>
    <w:p w14:paraId="50E3D857" w14:textId="77777777" w:rsidR="00B156D9" w:rsidRDefault="00000000">
      <w:pPr>
        <w:spacing w:after="0" w:line="480" w:lineRule="auto"/>
      </w:pPr>
      <w:r>
        <w:rPr>
          <w:b/>
        </w:rPr>
        <w:lastRenderedPageBreak/>
        <w:t>Table 3</w:t>
      </w:r>
    </w:p>
    <w:p w14:paraId="4FEF68DB" w14:textId="77777777" w:rsidR="00B156D9" w:rsidRDefault="00000000">
      <w:pPr>
        <w:spacing w:after="0" w:line="480" w:lineRule="auto"/>
      </w:pPr>
      <w:r>
        <w:rPr>
          <w:i/>
        </w:rPr>
        <w:t>Subgroup Moderator Analyses: Region, Era, and Outcome Type per Big Five Trait</w:t>
      </w:r>
    </w:p>
    <w:tbl>
      <w:tblPr>
        <w:tblStyle w:val="38"/>
        <w:tblW w:w="0" w:type="auto"/>
        <w:tblLook w:val="04A0" w:firstRow="1" w:lastRow="0" w:firstColumn="1" w:lastColumn="0" w:noHBand="0" w:noVBand="1"/>
      </w:tblPr>
      <w:tblGrid>
        <w:gridCol w:w="1872"/>
        <w:gridCol w:w="1872"/>
        <w:gridCol w:w="1872"/>
        <w:gridCol w:w="1872"/>
        <w:gridCol w:w="1872"/>
      </w:tblGrid>
      <w:tr w:rsidR="00B156D9" w14:paraId="5E3BF206" w14:textId="77777777" w:rsidTr="00B156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E967EF0" w14:textId="77777777" w:rsidR="00B156D9" w:rsidRDefault="00000000">
            <w:pPr>
              <w:spacing w:line="276" w:lineRule="auto"/>
            </w:pPr>
            <w:r>
              <w:rPr>
                <w:sz w:val="20"/>
              </w:rPr>
              <w:t>Moderator / Trait</w:t>
            </w:r>
          </w:p>
        </w:tc>
        <w:tc>
          <w:tcPr>
            <w:tcW w:w="1872" w:type="dxa"/>
          </w:tcPr>
          <w:p w14:paraId="5E908DCF"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Level</w:t>
            </w:r>
          </w:p>
        </w:tc>
        <w:tc>
          <w:tcPr>
            <w:tcW w:w="1872" w:type="dxa"/>
          </w:tcPr>
          <w:p w14:paraId="6A9D291F"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k</w:t>
            </w:r>
          </w:p>
        </w:tc>
        <w:tc>
          <w:tcPr>
            <w:tcW w:w="1872" w:type="dxa"/>
          </w:tcPr>
          <w:p w14:paraId="2A3F6BD2"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r [95% CI]</w:t>
            </w:r>
          </w:p>
        </w:tc>
        <w:tc>
          <w:tcPr>
            <w:tcW w:w="1872" w:type="dxa"/>
          </w:tcPr>
          <w:p w14:paraId="5E181DCC"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t>Q_between(</w:t>
            </w:r>
            <w:r>
              <w:rPr>
                <w:i/>
              </w:rPr>
              <w:t>df</w:t>
            </w:r>
            <w:r>
              <w:t xml:space="preserve">), </w:t>
            </w:r>
            <w:r>
              <w:rPr>
                <w:i/>
              </w:rPr>
              <w:t>p</w:t>
            </w:r>
          </w:p>
        </w:tc>
      </w:tr>
      <w:tr w:rsidR="00B156D9" w14:paraId="3CC91DF4"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CC0C4FE" w14:textId="77777777" w:rsidR="00B156D9" w:rsidRDefault="00000000">
            <w:pPr>
              <w:spacing w:line="276" w:lineRule="auto"/>
            </w:pPr>
            <w:r>
              <w:rPr>
                <w:sz w:val="20"/>
              </w:rPr>
              <w:t>Region: Conscientiousness</w:t>
            </w:r>
          </w:p>
        </w:tc>
        <w:tc>
          <w:tcPr>
            <w:tcW w:w="1872" w:type="dxa"/>
          </w:tcPr>
          <w:p w14:paraId="4A5224EE"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non-Asia</w:t>
            </w:r>
          </w:p>
        </w:tc>
        <w:tc>
          <w:tcPr>
            <w:tcW w:w="1872" w:type="dxa"/>
          </w:tcPr>
          <w:p w14:paraId="4C5FA470"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8</w:t>
            </w:r>
          </w:p>
        </w:tc>
        <w:tc>
          <w:tcPr>
            <w:tcW w:w="1872" w:type="dxa"/>
          </w:tcPr>
          <w:p w14:paraId="0C343EB2"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.185 [.082, .284]</w:t>
            </w:r>
          </w:p>
        </w:tc>
        <w:tc>
          <w:tcPr>
            <w:tcW w:w="1872" w:type="dxa"/>
          </w:tcPr>
          <w:p w14:paraId="4B55FC9E"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2.68(1), .102</w:t>
            </w:r>
          </w:p>
        </w:tc>
      </w:tr>
      <w:tr w:rsidR="00B156D9" w14:paraId="565FCF4A"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A8EEA58" w14:textId="77777777" w:rsidR="00B156D9" w:rsidRDefault="00B156D9">
            <w:pPr>
              <w:spacing w:line="276" w:lineRule="auto"/>
            </w:pPr>
          </w:p>
        </w:tc>
        <w:tc>
          <w:tcPr>
            <w:tcW w:w="1872" w:type="dxa"/>
          </w:tcPr>
          <w:p w14:paraId="27C0D723"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Asia</w:t>
            </w:r>
          </w:p>
        </w:tc>
        <w:tc>
          <w:tcPr>
            <w:tcW w:w="1872" w:type="dxa"/>
          </w:tcPr>
          <w:p w14:paraId="2C0A10CA"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1932DC45"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.111 [−.039, .257]</w:t>
            </w:r>
          </w:p>
        </w:tc>
        <w:tc>
          <w:tcPr>
            <w:tcW w:w="1872" w:type="dxa"/>
          </w:tcPr>
          <w:p w14:paraId="4F38F019" w14:textId="77777777" w:rsidR="00B156D9" w:rsidRDefault="00B156D9">
            <w:pPr>
              <w:spacing w:line="276" w:lineRule="auto"/>
              <w:cnfStyle w:val="000000010000" w:firstRow="0" w:lastRow="0" w:firstColumn="0" w:lastColumn="0" w:oddVBand="0" w:evenVBand="0" w:oddHBand="0" w:evenHBand="1" w:firstRowFirstColumn="0" w:firstRowLastColumn="0" w:lastRowFirstColumn="0" w:lastRowLastColumn="0"/>
            </w:pPr>
          </w:p>
        </w:tc>
      </w:tr>
      <w:tr w:rsidR="00B156D9" w14:paraId="2D339E50"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4A02C6A" w14:textId="77777777" w:rsidR="00B156D9" w:rsidRDefault="00000000">
            <w:pPr>
              <w:spacing w:line="276" w:lineRule="auto"/>
            </w:pPr>
            <w:r>
              <w:rPr>
                <w:sz w:val="20"/>
              </w:rPr>
              <w:t>Region: Openness</w:t>
            </w:r>
          </w:p>
        </w:tc>
        <w:tc>
          <w:tcPr>
            <w:tcW w:w="1872" w:type="dxa"/>
          </w:tcPr>
          <w:p w14:paraId="7FD4B2E0"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non-Asia</w:t>
            </w:r>
          </w:p>
        </w:tc>
        <w:tc>
          <w:tcPr>
            <w:tcW w:w="1872" w:type="dxa"/>
          </w:tcPr>
          <w:p w14:paraId="1DDF2972"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1545CDD0"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.053 [−.060, .164]</w:t>
            </w:r>
          </w:p>
        </w:tc>
        <w:tc>
          <w:tcPr>
            <w:tcW w:w="1872" w:type="dxa"/>
          </w:tcPr>
          <w:p w14:paraId="31F55E69"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0.26(1), .612</w:t>
            </w:r>
          </w:p>
        </w:tc>
      </w:tr>
      <w:tr w:rsidR="00B156D9" w14:paraId="346FE6B1"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04D376F" w14:textId="77777777" w:rsidR="00B156D9" w:rsidRDefault="00B156D9">
            <w:pPr>
              <w:spacing w:line="276" w:lineRule="auto"/>
            </w:pPr>
          </w:p>
        </w:tc>
        <w:tc>
          <w:tcPr>
            <w:tcW w:w="1872" w:type="dxa"/>
          </w:tcPr>
          <w:p w14:paraId="1D546508"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Asia</w:t>
            </w:r>
          </w:p>
        </w:tc>
        <w:tc>
          <w:tcPr>
            <w:tcW w:w="1872" w:type="dxa"/>
          </w:tcPr>
          <w:p w14:paraId="49B4B73A"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34E60550"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.164 [−.989, .994]</w:t>
            </w:r>
          </w:p>
        </w:tc>
        <w:tc>
          <w:tcPr>
            <w:tcW w:w="1872" w:type="dxa"/>
          </w:tcPr>
          <w:p w14:paraId="77668E59" w14:textId="77777777" w:rsidR="00B156D9" w:rsidRDefault="00B156D9">
            <w:pPr>
              <w:spacing w:line="276" w:lineRule="auto"/>
              <w:cnfStyle w:val="000000010000" w:firstRow="0" w:lastRow="0" w:firstColumn="0" w:lastColumn="0" w:oddVBand="0" w:evenVBand="0" w:oddHBand="0" w:evenHBand="1" w:firstRowFirstColumn="0" w:firstRowLastColumn="0" w:lastRowFirstColumn="0" w:lastRowLastColumn="0"/>
            </w:pPr>
          </w:p>
        </w:tc>
      </w:tr>
      <w:tr w:rsidR="00B156D9" w14:paraId="1231287D"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3F1DF9B" w14:textId="77777777" w:rsidR="00B156D9" w:rsidRDefault="00000000">
            <w:pPr>
              <w:spacing w:line="276" w:lineRule="auto"/>
            </w:pPr>
            <w:r>
              <w:rPr>
                <w:sz w:val="20"/>
              </w:rPr>
              <w:t>Region: Extraversion</w:t>
            </w:r>
          </w:p>
        </w:tc>
        <w:tc>
          <w:tcPr>
            <w:tcW w:w="1872" w:type="dxa"/>
          </w:tcPr>
          <w:p w14:paraId="311C05D7"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non-Asia</w:t>
            </w:r>
          </w:p>
        </w:tc>
        <w:tc>
          <w:tcPr>
            <w:tcW w:w="1872" w:type="dxa"/>
          </w:tcPr>
          <w:p w14:paraId="1B18DC5A"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23CA3AF8"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.050 [−.004, .104]</w:t>
            </w:r>
          </w:p>
        </w:tc>
        <w:tc>
          <w:tcPr>
            <w:tcW w:w="1872" w:type="dxa"/>
          </w:tcPr>
          <w:p w14:paraId="20450081"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46.43(1), &lt;.001 †</w:t>
            </w:r>
          </w:p>
        </w:tc>
      </w:tr>
      <w:tr w:rsidR="00B156D9" w14:paraId="6506861E"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2EAEBCD" w14:textId="77777777" w:rsidR="00B156D9" w:rsidRDefault="00B156D9">
            <w:pPr>
              <w:spacing w:line="276" w:lineRule="auto"/>
            </w:pPr>
          </w:p>
        </w:tc>
        <w:tc>
          <w:tcPr>
            <w:tcW w:w="1872" w:type="dxa"/>
          </w:tcPr>
          <w:p w14:paraId="0964C748"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Asia</w:t>
            </w:r>
          </w:p>
        </w:tc>
        <w:tc>
          <w:tcPr>
            <w:tcW w:w="1872" w:type="dxa"/>
          </w:tcPr>
          <w:p w14:paraId="7A3DC449"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2EA01F05"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−.131 [−.314, .061]</w:t>
            </w:r>
          </w:p>
        </w:tc>
        <w:tc>
          <w:tcPr>
            <w:tcW w:w="1872" w:type="dxa"/>
          </w:tcPr>
          <w:p w14:paraId="4FD2CCC5" w14:textId="77777777" w:rsidR="00B156D9" w:rsidRDefault="00B156D9">
            <w:pPr>
              <w:spacing w:line="276" w:lineRule="auto"/>
              <w:cnfStyle w:val="000000010000" w:firstRow="0" w:lastRow="0" w:firstColumn="0" w:lastColumn="0" w:oddVBand="0" w:evenVBand="0" w:oddHBand="0" w:evenHBand="1" w:firstRowFirstColumn="0" w:firstRowLastColumn="0" w:lastRowFirstColumn="0" w:lastRowLastColumn="0"/>
            </w:pPr>
          </w:p>
        </w:tc>
      </w:tr>
      <w:tr w:rsidR="00B156D9" w14:paraId="0B58EB7E"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65423F6" w14:textId="77777777" w:rsidR="00B156D9" w:rsidRDefault="00000000">
            <w:pPr>
              <w:spacing w:line="276" w:lineRule="auto"/>
            </w:pPr>
            <w:r>
              <w:rPr>
                <w:sz w:val="20"/>
              </w:rPr>
              <w:t>Region: Agreeableness</w:t>
            </w:r>
          </w:p>
        </w:tc>
        <w:tc>
          <w:tcPr>
            <w:tcW w:w="1872" w:type="dxa"/>
          </w:tcPr>
          <w:p w14:paraId="24F45FE6"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non-Asia</w:t>
            </w:r>
          </w:p>
        </w:tc>
        <w:tc>
          <w:tcPr>
            <w:tcW w:w="1872" w:type="dxa"/>
          </w:tcPr>
          <w:p w14:paraId="4E0FB1A0"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4B1E345F"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.030 [−.047, .106]</w:t>
            </w:r>
          </w:p>
        </w:tc>
        <w:tc>
          <w:tcPr>
            <w:tcW w:w="1872" w:type="dxa"/>
          </w:tcPr>
          <w:p w14:paraId="60CBF3E8"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2.17(1), .140</w:t>
            </w:r>
          </w:p>
        </w:tc>
      </w:tr>
      <w:tr w:rsidR="00B156D9" w14:paraId="234205E2"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D4EFCF0" w14:textId="77777777" w:rsidR="00B156D9" w:rsidRDefault="00B156D9">
            <w:pPr>
              <w:spacing w:line="276" w:lineRule="auto"/>
            </w:pPr>
          </w:p>
        </w:tc>
        <w:tc>
          <w:tcPr>
            <w:tcW w:w="1872" w:type="dxa"/>
          </w:tcPr>
          <w:p w14:paraId="0A4A7DEC"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Asia</w:t>
            </w:r>
          </w:p>
        </w:tc>
        <w:tc>
          <w:tcPr>
            <w:tcW w:w="1872" w:type="dxa"/>
          </w:tcPr>
          <w:p w14:paraId="66CD8E97"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76E4181C"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.330 [−.981, .995]</w:t>
            </w:r>
          </w:p>
        </w:tc>
        <w:tc>
          <w:tcPr>
            <w:tcW w:w="1872" w:type="dxa"/>
          </w:tcPr>
          <w:p w14:paraId="277DE189" w14:textId="77777777" w:rsidR="00B156D9" w:rsidRDefault="00B156D9">
            <w:pPr>
              <w:spacing w:line="276" w:lineRule="auto"/>
              <w:cnfStyle w:val="000000010000" w:firstRow="0" w:lastRow="0" w:firstColumn="0" w:lastColumn="0" w:oddVBand="0" w:evenVBand="0" w:oddHBand="0" w:evenHBand="1" w:firstRowFirstColumn="0" w:firstRowLastColumn="0" w:lastRowFirstColumn="0" w:lastRowLastColumn="0"/>
            </w:pPr>
          </w:p>
        </w:tc>
      </w:tr>
      <w:tr w:rsidR="00B156D9" w14:paraId="6475F261"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6E88306" w14:textId="77777777" w:rsidR="00B156D9" w:rsidRDefault="00000000">
            <w:pPr>
              <w:spacing w:line="276" w:lineRule="auto"/>
            </w:pPr>
            <w:r>
              <w:rPr>
                <w:sz w:val="20"/>
              </w:rPr>
              <w:t>Region: Neuroticism</w:t>
            </w:r>
          </w:p>
        </w:tc>
        <w:tc>
          <w:tcPr>
            <w:tcW w:w="1872" w:type="dxa"/>
          </w:tcPr>
          <w:p w14:paraId="10F74171"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non-Asia</w:t>
            </w:r>
          </w:p>
        </w:tc>
        <w:tc>
          <w:tcPr>
            <w:tcW w:w="1872" w:type="dxa"/>
          </w:tcPr>
          <w:p w14:paraId="789651BB"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8</w:t>
            </w:r>
          </w:p>
        </w:tc>
        <w:tc>
          <w:tcPr>
            <w:tcW w:w="1872" w:type="dxa"/>
          </w:tcPr>
          <w:p w14:paraId="39CA704A"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−.007 [−.130, .117]</w:t>
            </w:r>
          </w:p>
        </w:tc>
        <w:tc>
          <w:tcPr>
            <w:tcW w:w="1872" w:type="dxa"/>
          </w:tcPr>
          <w:p w14:paraId="26429C61"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3.31(1), .069</w:t>
            </w:r>
          </w:p>
        </w:tc>
      </w:tr>
      <w:tr w:rsidR="00B156D9" w14:paraId="08F3460C"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BE05579" w14:textId="77777777" w:rsidR="00B156D9" w:rsidRDefault="00B156D9">
            <w:pPr>
              <w:spacing w:line="276" w:lineRule="auto"/>
            </w:pPr>
          </w:p>
        </w:tc>
        <w:tc>
          <w:tcPr>
            <w:tcW w:w="1872" w:type="dxa"/>
          </w:tcPr>
          <w:p w14:paraId="083BBB75"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Asia</w:t>
            </w:r>
          </w:p>
        </w:tc>
        <w:tc>
          <w:tcPr>
            <w:tcW w:w="1872" w:type="dxa"/>
          </w:tcPr>
          <w:p w14:paraId="76932954"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06A573B4"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.089 [.008, .169]</w:t>
            </w:r>
          </w:p>
        </w:tc>
        <w:tc>
          <w:tcPr>
            <w:tcW w:w="1872" w:type="dxa"/>
          </w:tcPr>
          <w:p w14:paraId="1454815B" w14:textId="77777777" w:rsidR="00B156D9" w:rsidRDefault="00B156D9">
            <w:pPr>
              <w:spacing w:line="276" w:lineRule="auto"/>
              <w:cnfStyle w:val="000000010000" w:firstRow="0" w:lastRow="0" w:firstColumn="0" w:lastColumn="0" w:oddVBand="0" w:evenVBand="0" w:oddHBand="0" w:evenHBand="1" w:firstRowFirstColumn="0" w:firstRowLastColumn="0" w:lastRowFirstColumn="0" w:lastRowLastColumn="0"/>
            </w:pPr>
          </w:p>
        </w:tc>
      </w:tr>
      <w:tr w:rsidR="00B156D9" w14:paraId="46EB30AA"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7D2E07F" w14:textId="77777777" w:rsidR="00B156D9" w:rsidRDefault="00000000">
            <w:pPr>
              <w:spacing w:line="276" w:lineRule="auto"/>
            </w:pPr>
            <w:r>
              <w:rPr>
                <w:sz w:val="20"/>
              </w:rPr>
              <w:t>Era: Conscientiousness</w:t>
            </w:r>
          </w:p>
        </w:tc>
        <w:tc>
          <w:tcPr>
            <w:tcW w:w="1872" w:type="dxa"/>
          </w:tcPr>
          <w:p w14:paraId="6FFB536E"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pre-COVID</w:t>
            </w:r>
          </w:p>
        </w:tc>
        <w:tc>
          <w:tcPr>
            <w:tcW w:w="1872" w:type="dxa"/>
          </w:tcPr>
          <w:p w14:paraId="17BCA75D"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4</w:t>
            </w:r>
          </w:p>
        </w:tc>
        <w:tc>
          <w:tcPr>
            <w:tcW w:w="1872" w:type="dxa"/>
          </w:tcPr>
          <w:p w14:paraId="3B6D4CC3"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.208 [−.041, .434]</w:t>
            </w:r>
          </w:p>
        </w:tc>
        <w:tc>
          <w:tcPr>
            <w:tcW w:w="1872" w:type="dxa"/>
          </w:tcPr>
          <w:p w14:paraId="6B26B499"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0.13(1), .716</w:t>
            </w:r>
          </w:p>
        </w:tc>
      </w:tr>
      <w:tr w:rsidR="00B156D9" w14:paraId="3B40D383"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7B6D6EE" w14:textId="77777777" w:rsidR="00B156D9" w:rsidRDefault="00B156D9">
            <w:pPr>
              <w:spacing w:line="276" w:lineRule="auto"/>
            </w:pPr>
          </w:p>
        </w:tc>
        <w:tc>
          <w:tcPr>
            <w:tcW w:w="1872" w:type="dxa"/>
          </w:tcPr>
          <w:p w14:paraId="4C6034E3"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COVID-era</w:t>
            </w:r>
          </w:p>
        </w:tc>
        <w:tc>
          <w:tcPr>
            <w:tcW w:w="1872" w:type="dxa"/>
          </w:tcPr>
          <w:p w14:paraId="21D9CCCC"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5</w:t>
            </w:r>
          </w:p>
        </w:tc>
        <w:tc>
          <w:tcPr>
            <w:tcW w:w="1872" w:type="dxa"/>
          </w:tcPr>
          <w:p w14:paraId="3B9269E7"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.179 [.095, .260]</w:t>
            </w:r>
          </w:p>
        </w:tc>
        <w:tc>
          <w:tcPr>
            <w:tcW w:w="1872" w:type="dxa"/>
          </w:tcPr>
          <w:p w14:paraId="7AF59ACE" w14:textId="77777777" w:rsidR="00B156D9" w:rsidRDefault="00B156D9">
            <w:pPr>
              <w:spacing w:line="276" w:lineRule="auto"/>
              <w:cnfStyle w:val="000000010000" w:firstRow="0" w:lastRow="0" w:firstColumn="0" w:lastColumn="0" w:oddVBand="0" w:evenVBand="0" w:oddHBand="0" w:evenHBand="1" w:firstRowFirstColumn="0" w:firstRowLastColumn="0" w:lastRowFirstColumn="0" w:lastRowLastColumn="0"/>
            </w:pPr>
          </w:p>
        </w:tc>
      </w:tr>
      <w:tr w:rsidR="00B156D9" w14:paraId="0EDE5753"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0FF1A0A" w14:textId="77777777" w:rsidR="00B156D9" w:rsidRDefault="00000000">
            <w:pPr>
              <w:spacing w:line="276" w:lineRule="auto"/>
            </w:pPr>
            <w:r>
              <w:rPr>
                <w:sz w:val="20"/>
              </w:rPr>
              <w:t>Era: Openness</w:t>
            </w:r>
          </w:p>
        </w:tc>
        <w:tc>
          <w:tcPr>
            <w:tcW w:w="1872" w:type="dxa"/>
          </w:tcPr>
          <w:p w14:paraId="1596B61F"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pre-COVID</w:t>
            </w:r>
          </w:p>
        </w:tc>
        <w:tc>
          <w:tcPr>
            <w:tcW w:w="1872" w:type="dxa"/>
          </w:tcPr>
          <w:p w14:paraId="51D5777C"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w:t>
            </w:r>
          </w:p>
        </w:tc>
        <w:tc>
          <w:tcPr>
            <w:tcW w:w="1872" w:type="dxa"/>
          </w:tcPr>
          <w:p w14:paraId="0555C10B"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.098 [−.423, .570]</w:t>
            </w:r>
          </w:p>
        </w:tc>
        <w:tc>
          <w:tcPr>
            <w:tcW w:w="1872" w:type="dxa"/>
          </w:tcPr>
          <w:p w14:paraId="45DB732D"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0.00(1), .994</w:t>
            </w:r>
          </w:p>
        </w:tc>
      </w:tr>
      <w:tr w:rsidR="00B156D9" w14:paraId="43BF8027"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2C8B3B1" w14:textId="77777777" w:rsidR="00B156D9" w:rsidRDefault="00B156D9">
            <w:pPr>
              <w:spacing w:line="276" w:lineRule="auto"/>
            </w:pPr>
          </w:p>
        </w:tc>
        <w:tc>
          <w:tcPr>
            <w:tcW w:w="1872" w:type="dxa"/>
          </w:tcPr>
          <w:p w14:paraId="68A24B0A"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COVID-era</w:t>
            </w:r>
          </w:p>
        </w:tc>
        <w:tc>
          <w:tcPr>
            <w:tcW w:w="1872" w:type="dxa"/>
          </w:tcPr>
          <w:p w14:paraId="3525B240"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5</w:t>
            </w:r>
          </w:p>
        </w:tc>
        <w:tc>
          <w:tcPr>
            <w:tcW w:w="1872" w:type="dxa"/>
          </w:tcPr>
          <w:p w14:paraId="02341626"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.097 [−.123, .308]</w:t>
            </w:r>
          </w:p>
        </w:tc>
        <w:tc>
          <w:tcPr>
            <w:tcW w:w="1872" w:type="dxa"/>
          </w:tcPr>
          <w:p w14:paraId="23425B91" w14:textId="77777777" w:rsidR="00B156D9" w:rsidRDefault="00B156D9">
            <w:pPr>
              <w:spacing w:line="276" w:lineRule="auto"/>
              <w:cnfStyle w:val="000000010000" w:firstRow="0" w:lastRow="0" w:firstColumn="0" w:lastColumn="0" w:oddVBand="0" w:evenVBand="0" w:oddHBand="0" w:evenHBand="1" w:firstRowFirstColumn="0" w:firstRowLastColumn="0" w:lastRowFirstColumn="0" w:lastRowLastColumn="0"/>
            </w:pPr>
          </w:p>
        </w:tc>
      </w:tr>
      <w:tr w:rsidR="00B156D9" w14:paraId="065941E6"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4A424AC" w14:textId="77777777" w:rsidR="00B156D9" w:rsidRDefault="00000000">
            <w:pPr>
              <w:spacing w:line="276" w:lineRule="auto"/>
            </w:pPr>
            <w:r>
              <w:rPr>
                <w:sz w:val="20"/>
              </w:rPr>
              <w:t>Era: Extraversion</w:t>
            </w:r>
          </w:p>
        </w:tc>
        <w:tc>
          <w:tcPr>
            <w:tcW w:w="1872" w:type="dxa"/>
          </w:tcPr>
          <w:p w14:paraId="481F9F6B"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pre-COVID</w:t>
            </w:r>
          </w:p>
        </w:tc>
        <w:tc>
          <w:tcPr>
            <w:tcW w:w="1872" w:type="dxa"/>
          </w:tcPr>
          <w:p w14:paraId="0033A9E9"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w:t>
            </w:r>
          </w:p>
        </w:tc>
        <w:tc>
          <w:tcPr>
            <w:tcW w:w="1872" w:type="dxa"/>
          </w:tcPr>
          <w:p w14:paraId="590A018C"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.033 [.002, .063]</w:t>
            </w:r>
          </w:p>
        </w:tc>
        <w:tc>
          <w:tcPr>
            <w:tcW w:w="1872" w:type="dxa"/>
          </w:tcPr>
          <w:p w14:paraId="6FEA30A6"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0.59(1), .443</w:t>
            </w:r>
          </w:p>
        </w:tc>
      </w:tr>
      <w:tr w:rsidR="00B156D9" w14:paraId="06B126D3"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941D61E" w14:textId="77777777" w:rsidR="00B156D9" w:rsidRDefault="00B156D9">
            <w:pPr>
              <w:spacing w:line="276" w:lineRule="auto"/>
            </w:pPr>
          </w:p>
        </w:tc>
        <w:tc>
          <w:tcPr>
            <w:tcW w:w="1872" w:type="dxa"/>
          </w:tcPr>
          <w:p w14:paraId="5DC01443"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COVID-era</w:t>
            </w:r>
          </w:p>
        </w:tc>
        <w:tc>
          <w:tcPr>
            <w:tcW w:w="1872" w:type="dxa"/>
          </w:tcPr>
          <w:p w14:paraId="2CD6469A"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5</w:t>
            </w:r>
          </w:p>
        </w:tc>
        <w:tc>
          <w:tcPr>
            <w:tcW w:w="1872" w:type="dxa"/>
          </w:tcPr>
          <w:p w14:paraId="335F49E1"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−.014 [−.180, .153]</w:t>
            </w:r>
          </w:p>
        </w:tc>
        <w:tc>
          <w:tcPr>
            <w:tcW w:w="1872" w:type="dxa"/>
          </w:tcPr>
          <w:p w14:paraId="69A1FE99" w14:textId="77777777" w:rsidR="00B156D9" w:rsidRDefault="00B156D9">
            <w:pPr>
              <w:spacing w:line="276" w:lineRule="auto"/>
              <w:cnfStyle w:val="000000010000" w:firstRow="0" w:lastRow="0" w:firstColumn="0" w:lastColumn="0" w:oddVBand="0" w:evenVBand="0" w:oddHBand="0" w:evenHBand="1" w:firstRowFirstColumn="0" w:firstRowLastColumn="0" w:lastRowFirstColumn="0" w:lastRowLastColumn="0"/>
            </w:pPr>
          </w:p>
        </w:tc>
      </w:tr>
      <w:tr w:rsidR="00B156D9" w14:paraId="21E1F60C"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52B2E10" w14:textId="77777777" w:rsidR="00B156D9" w:rsidRDefault="00000000">
            <w:pPr>
              <w:spacing w:line="276" w:lineRule="auto"/>
            </w:pPr>
            <w:r>
              <w:rPr>
                <w:sz w:val="20"/>
              </w:rPr>
              <w:t>Era: Agreeableness</w:t>
            </w:r>
          </w:p>
        </w:tc>
        <w:tc>
          <w:tcPr>
            <w:tcW w:w="1872" w:type="dxa"/>
          </w:tcPr>
          <w:p w14:paraId="74930B9A"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pre-COVID</w:t>
            </w:r>
          </w:p>
        </w:tc>
        <w:tc>
          <w:tcPr>
            <w:tcW w:w="1872" w:type="dxa"/>
          </w:tcPr>
          <w:p w14:paraId="48311372"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w:t>
            </w:r>
          </w:p>
        </w:tc>
        <w:tc>
          <w:tcPr>
            <w:tcW w:w="1872" w:type="dxa"/>
          </w:tcPr>
          <w:p w14:paraId="1DC3EA09"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.033 [−.162, .225]</w:t>
            </w:r>
          </w:p>
        </w:tc>
        <w:tc>
          <w:tcPr>
            <w:tcW w:w="1872" w:type="dxa"/>
          </w:tcPr>
          <w:p w14:paraId="7FF62B24"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1.09(1), .296</w:t>
            </w:r>
          </w:p>
        </w:tc>
      </w:tr>
      <w:tr w:rsidR="00B156D9" w14:paraId="26CD5894"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4A8E879" w14:textId="77777777" w:rsidR="00B156D9" w:rsidRDefault="00B156D9">
            <w:pPr>
              <w:spacing w:line="276" w:lineRule="auto"/>
            </w:pPr>
          </w:p>
        </w:tc>
        <w:tc>
          <w:tcPr>
            <w:tcW w:w="1872" w:type="dxa"/>
          </w:tcPr>
          <w:p w14:paraId="0EEB5A0E"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COVID-era</w:t>
            </w:r>
          </w:p>
        </w:tc>
        <w:tc>
          <w:tcPr>
            <w:tcW w:w="1872" w:type="dxa"/>
          </w:tcPr>
          <w:p w14:paraId="75EA745E"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5</w:t>
            </w:r>
          </w:p>
        </w:tc>
        <w:tc>
          <w:tcPr>
            <w:tcW w:w="1872" w:type="dxa"/>
          </w:tcPr>
          <w:p w14:paraId="3E7F3D93"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.153 [−.141, .422]</w:t>
            </w:r>
          </w:p>
        </w:tc>
        <w:tc>
          <w:tcPr>
            <w:tcW w:w="1872" w:type="dxa"/>
          </w:tcPr>
          <w:p w14:paraId="3269FAF5" w14:textId="77777777" w:rsidR="00B156D9" w:rsidRDefault="00B156D9">
            <w:pPr>
              <w:spacing w:line="276" w:lineRule="auto"/>
              <w:cnfStyle w:val="000000010000" w:firstRow="0" w:lastRow="0" w:firstColumn="0" w:lastColumn="0" w:oddVBand="0" w:evenVBand="0" w:oddHBand="0" w:evenHBand="1" w:firstRowFirstColumn="0" w:firstRowLastColumn="0" w:lastRowFirstColumn="0" w:lastRowLastColumn="0"/>
            </w:pPr>
          </w:p>
        </w:tc>
      </w:tr>
      <w:tr w:rsidR="00B156D9" w14:paraId="724E5A40"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ECBFBDC" w14:textId="77777777" w:rsidR="00B156D9" w:rsidRDefault="00000000">
            <w:pPr>
              <w:spacing w:line="276" w:lineRule="auto"/>
            </w:pPr>
            <w:r>
              <w:rPr>
                <w:sz w:val="20"/>
              </w:rPr>
              <w:t>Era: Neuroticism</w:t>
            </w:r>
          </w:p>
        </w:tc>
        <w:tc>
          <w:tcPr>
            <w:tcW w:w="1872" w:type="dxa"/>
          </w:tcPr>
          <w:p w14:paraId="6289F572"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pre-COVID</w:t>
            </w:r>
          </w:p>
        </w:tc>
        <w:tc>
          <w:tcPr>
            <w:tcW w:w="1872" w:type="dxa"/>
          </w:tcPr>
          <w:p w14:paraId="6199FE0A"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4</w:t>
            </w:r>
          </w:p>
        </w:tc>
        <w:tc>
          <w:tcPr>
            <w:tcW w:w="1872" w:type="dxa"/>
          </w:tcPr>
          <w:p w14:paraId="6BB3A77D"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−.050 [−.173, .074]</w:t>
            </w:r>
          </w:p>
        </w:tc>
        <w:tc>
          <w:tcPr>
            <w:tcW w:w="1872" w:type="dxa"/>
          </w:tcPr>
          <w:p w14:paraId="662D48CA"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2.04(1), .153</w:t>
            </w:r>
          </w:p>
        </w:tc>
      </w:tr>
      <w:tr w:rsidR="00B156D9" w14:paraId="7A89F40A"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2E94688" w14:textId="77777777" w:rsidR="00B156D9" w:rsidRDefault="00B156D9">
            <w:pPr>
              <w:spacing w:line="276" w:lineRule="auto"/>
            </w:pPr>
          </w:p>
        </w:tc>
        <w:tc>
          <w:tcPr>
            <w:tcW w:w="1872" w:type="dxa"/>
          </w:tcPr>
          <w:p w14:paraId="0A439DDC"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COVID-era</w:t>
            </w:r>
          </w:p>
        </w:tc>
        <w:tc>
          <w:tcPr>
            <w:tcW w:w="1872" w:type="dxa"/>
          </w:tcPr>
          <w:p w14:paraId="5F0BBB37"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5</w:t>
            </w:r>
          </w:p>
        </w:tc>
        <w:tc>
          <w:tcPr>
            <w:tcW w:w="1872" w:type="dxa"/>
          </w:tcPr>
          <w:p w14:paraId="601A12F5"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.060 [−.125, .240]</w:t>
            </w:r>
          </w:p>
        </w:tc>
        <w:tc>
          <w:tcPr>
            <w:tcW w:w="1872" w:type="dxa"/>
          </w:tcPr>
          <w:p w14:paraId="63562302" w14:textId="77777777" w:rsidR="00B156D9" w:rsidRDefault="00B156D9">
            <w:pPr>
              <w:spacing w:line="276" w:lineRule="auto"/>
              <w:cnfStyle w:val="000000010000" w:firstRow="0" w:lastRow="0" w:firstColumn="0" w:lastColumn="0" w:oddVBand="0" w:evenVBand="0" w:oddHBand="0" w:evenHBand="1" w:firstRowFirstColumn="0" w:firstRowLastColumn="0" w:lastRowFirstColumn="0" w:lastRowLastColumn="0"/>
            </w:pPr>
          </w:p>
        </w:tc>
      </w:tr>
      <w:tr w:rsidR="00B156D9" w14:paraId="1937587C"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9642E8D" w14:textId="77777777" w:rsidR="00B156D9" w:rsidRDefault="00000000">
            <w:pPr>
              <w:spacing w:line="276" w:lineRule="auto"/>
            </w:pPr>
            <w:r>
              <w:rPr>
                <w:sz w:val="20"/>
              </w:rPr>
              <w:t>Outcome: Conscientiousness</w:t>
            </w:r>
          </w:p>
        </w:tc>
        <w:tc>
          <w:tcPr>
            <w:tcW w:w="1872" w:type="dxa"/>
          </w:tcPr>
          <w:p w14:paraId="335AA812"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objective</w:t>
            </w:r>
          </w:p>
        </w:tc>
        <w:tc>
          <w:tcPr>
            <w:tcW w:w="1872" w:type="dxa"/>
          </w:tcPr>
          <w:p w14:paraId="37EE9401"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8</w:t>
            </w:r>
          </w:p>
        </w:tc>
        <w:tc>
          <w:tcPr>
            <w:tcW w:w="1872" w:type="dxa"/>
          </w:tcPr>
          <w:p w14:paraId="56B0BF8E"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.147 [.048, .243]</w:t>
            </w:r>
          </w:p>
        </w:tc>
        <w:tc>
          <w:tcPr>
            <w:tcW w:w="1872" w:type="dxa"/>
          </w:tcPr>
          <w:p w14:paraId="55B19894"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2.40(1), .121</w:t>
            </w:r>
          </w:p>
        </w:tc>
      </w:tr>
      <w:tr w:rsidR="00B156D9" w14:paraId="25EBFBA1"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B4A440A" w14:textId="77777777" w:rsidR="00B156D9" w:rsidRDefault="00B156D9">
            <w:pPr>
              <w:spacing w:line="276" w:lineRule="auto"/>
            </w:pPr>
          </w:p>
        </w:tc>
        <w:tc>
          <w:tcPr>
            <w:tcW w:w="1872" w:type="dxa"/>
          </w:tcPr>
          <w:p w14:paraId="6B214045"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self-rated</w:t>
            </w:r>
          </w:p>
        </w:tc>
        <w:tc>
          <w:tcPr>
            <w:tcW w:w="1872" w:type="dxa"/>
          </w:tcPr>
          <w:p w14:paraId="75AB9505"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5280C7B1"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.225 [−.167, .556]</w:t>
            </w:r>
          </w:p>
        </w:tc>
        <w:tc>
          <w:tcPr>
            <w:tcW w:w="1872" w:type="dxa"/>
          </w:tcPr>
          <w:p w14:paraId="3179BA47" w14:textId="77777777" w:rsidR="00B156D9" w:rsidRDefault="00B156D9">
            <w:pPr>
              <w:spacing w:line="276" w:lineRule="auto"/>
              <w:cnfStyle w:val="000000010000" w:firstRow="0" w:lastRow="0" w:firstColumn="0" w:lastColumn="0" w:oddVBand="0" w:evenVBand="0" w:oddHBand="0" w:evenHBand="1" w:firstRowFirstColumn="0" w:firstRowLastColumn="0" w:lastRowFirstColumn="0" w:lastRowLastColumn="0"/>
            </w:pPr>
          </w:p>
        </w:tc>
      </w:tr>
      <w:tr w:rsidR="00B156D9" w14:paraId="0519C5D4"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9210E0D" w14:textId="77777777" w:rsidR="00B156D9" w:rsidRDefault="00000000">
            <w:pPr>
              <w:spacing w:line="276" w:lineRule="auto"/>
            </w:pPr>
            <w:r>
              <w:rPr>
                <w:sz w:val="20"/>
              </w:rPr>
              <w:t>Outcome: Openness</w:t>
            </w:r>
          </w:p>
        </w:tc>
        <w:tc>
          <w:tcPr>
            <w:tcW w:w="1872" w:type="dxa"/>
          </w:tcPr>
          <w:p w14:paraId="3424FC43"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objective</w:t>
            </w:r>
          </w:p>
        </w:tc>
        <w:tc>
          <w:tcPr>
            <w:tcW w:w="1872" w:type="dxa"/>
          </w:tcPr>
          <w:p w14:paraId="09EE73A1"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1BD6A070"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.092 [−.086, .265]</w:t>
            </w:r>
          </w:p>
        </w:tc>
        <w:tc>
          <w:tcPr>
            <w:tcW w:w="1872" w:type="dxa"/>
          </w:tcPr>
          <w:p w14:paraId="13D59DF7"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0.04(1), .839</w:t>
            </w:r>
          </w:p>
        </w:tc>
      </w:tr>
      <w:tr w:rsidR="00B156D9" w14:paraId="3E24E8BF"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8C7193A" w14:textId="77777777" w:rsidR="00B156D9" w:rsidRDefault="00B156D9">
            <w:pPr>
              <w:spacing w:line="276" w:lineRule="auto"/>
            </w:pPr>
          </w:p>
        </w:tc>
        <w:tc>
          <w:tcPr>
            <w:tcW w:w="1872" w:type="dxa"/>
          </w:tcPr>
          <w:p w14:paraId="191F9D4A"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self-rated</w:t>
            </w:r>
          </w:p>
        </w:tc>
        <w:tc>
          <w:tcPr>
            <w:tcW w:w="1872" w:type="dxa"/>
          </w:tcPr>
          <w:p w14:paraId="6CE1E3D7"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30EEA5A5"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.072 [−.637, .715]</w:t>
            </w:r>
          </w:p>
        </w:tc>
        <w:tc>
          <w:tcPr>
            <w:tcW w:w="1872" w:type="dxa"/>
          </w:tcPr>
          <w:p w14:paraId="4E556C34" w14:textId="77777777" w:rsidR="00B156D9" w:rsidRDefault="00B156D9">
            <w:pPr>
              <w:spacing w:line="276" w:lineRule="auto"/>
              <w:cnfStyle w:val="000000010000" w:firstRow="0" w:lastRow="0" w:firstColumn="0" w:lastColumn="0" w:oddVBand="0" w:evenVBand="0" w:oddHBand="0" w:evenHBand="1" w:firstRowFirstColumn="0" w:firstRowLastColumn="0" w:lastRowFirstColumn="0" w:lastRowLastColumn="0"/>
            </w:pPr>
          </w:p>
        </w:tc>
      </w:tr>
      <w:tr w:rsidR="00B156D9" w14:paraId="6AD83B1B"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901C9C5" w14:textId="77777777" w:rsidR="00B156D9" w:rsidRDefault="00000000">
            <w:pPr>
              <w:spacing w:line="276" w:lineRule="auto"/>
            </w:pPr>
            <w:r>
              <w:rPr>
                <w:sz w:val="20"/>
              </w:rPr>
              <w:t>Outcome: Extraversion</w:t>
            </w:r>
          </w:p>
        </w:tc>
        <w:tc>
          <w:tcPr>
            <w:tcW w:w="1872" w:type="dxa"/>
          </w:tcPr>
          <w:p w14:paraId="44A65100"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objective</w:t>
            </w:r>
          </w:p>
        </w:tc>
        <w:tc>
          <w:tcPr>
            <w:tcW w:w="1872" w:type="dxa"/>
          </w:tcPr>
          <w:p w14:paraId="3B7E3CF3"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74F508D8"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−.038 [−.115, .039]</w:t>
            </w:r>
          </w:p>
        </w:tc>
        <w:tc>
          <w:tcPr>
            <w:tcW w:w="1872" w:type="dxa"/>
          </w:tcPr>
          <w:p w14:paraId="77614D1D"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17.30(1), &lt;.001 †</w:t>
            </w:r>
          </w:p>
        </w:tc>
      </w:tr>
      <w:tr w:rsidR="00B156D9" w14:paraId="0D19FF56"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4607878" w14:textId="77777777" w:rsidR="00B156D9" w:rsidRDefault="00B156D9">
            <w:pPr>
              <w:spacing w:line="276" w:lineRule="auto"/>
            </w:pPr>
          </w:p>
        </w:tc>
        <w:tc>
          <w:tcPr>
            <w:tcW w:w="1872" w:type="dxa"/>
          </w:tcPr>
          <w:p w14:paraId="03FA383D"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self-rated</w:t>
            </w:r>
          </w:p>
        </w:tc>
        <w:tc>
          <w:tcPr>
            <w:tcW w:w="1872" w:type="dxa"/>
          </w:tcPr>
          <w:p w14:paraId="314C28D2"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51C6BDA8"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.117 [−.136, .356]</w:t>
            </w:r>
          </w:p>
        </w:tc>
        <w:tc>
          <w:tcPr>
            <w:tcW w:w="1872" w:type="dxa"/>
          </w:tcPr>
          <w:p w14:paraId="5066A6CE" w14:textId="77777777" w:rsidR="00B156D9" w:rsidRDefault="00B156D9">
            <w:pPr>
              <w:spacing w:line="276" w:lineRule="auto"/>
              <w:cnfStyle w:val="000000010000" w:firstRow="0" w:lastRow="0" w:firstColumn="0" w:lastColumn="0" w:oddVBand="0" w:evenVBand="0" w:oddHBand="0" w:evenHBand="1" w:firstRowFirstColumn="0" w:firstRowLastColumn="0" w:lastRowFirstColumn="0" w:lastRowLastColumn="0"/>
            </w:pPr>
          </w:p>
        </w:tc>
      </w:tr>
      <w:tr w:rsidR="00B156D9" w14:paraId="2B4683C9"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9653932" w14:textId="77777777" w:rsidR="00B156D9" w:rsidRDefault="00000000">
            <w:pPr>
              <w:spacing w:line="276" w:lineRule="auto"/>
            </w:pPr>
            <w:r>
              <w:rPr>
                <w:sz w:val="20"/>
              </w:rPr>
              <w:t>Outcome: Agreeableness</w:t>
            </w:r>
          </w:p>
        </w:tc>
        <w:tc>
          <w:tcPr>
            <w:tcW w:w="1872" w:type="dxa"/>
          </w:tcPr>
          <w:p w14:paraId="7B4FFA6B"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objective</w:t>
            </w:r>
          </w:p>
        </w:tc>
        <w:tc>
          <w:tcPr>
            <w:tcW w:w="1872" w:type="dxa"/>
          </w:tcPr>
          <w:p w14:paraId="4646D11C"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25D0EAED"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.131 [−.054, .308]</w:t>
            </w:r>
          </w:p>
        </w:tc>
        <w:tc>
          <w:tcPr>
            <w:tcW w:w="1872" w:type="dxa"/>
          </w:tcPr>
          <w:p w14:paraId="5AD15213"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0.49(1), .485</w:t>
            </w:r>
          </w:p>
        </w:tc>
      </w:tr>
      <w:tr w:rsidR="00B156D9" w14:paraId="13642552"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B3A8A8A" w14:textId="77777777" w:rsidR="00B156D9" w:rsidRDefault="00B156D9">
            <w:pPr>
              <w:spacing w:line="276" w:lineRule="auto"/>
            </w:pPr>
          </w:p>
        </w:tc>
        <w:tc>
          <w:tcPr>
            <w:tcW w:w="1872" w:type="dxa"/>
          </w:tcPr>
          <w:p w14:paraId="1FE1A5C7"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self-rated</w:t>
            </w:r>
          </w:p>
        </w:tc>
        <w:tc>
          <w:tcPr>
            <w:tcW w:w="1872" w:type="dxa"/>
          </w:tcPr>
          <w:p w14:paraId="2EA18E5F"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06DFAC81"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.041 [−.862, .881]</w:t>
            </w:r>
          </w:p>
        </w:tc>
        <w:tc>
          <w:tcPr>
            <w:tcW w:w="1872" w:type="dxa"/>
          </w:tcPr>
          <w:p w14:paraId="4DE98A1C" w14:textId="77777777" w:rsidR="00B156D9" w:rsidRDefault="00B156D9">
            <w:pPr>
              <w:spacing w:line="276" w:lineRule="auto"/>
              <w:cnfStyle w:val="000000010000" w:firstRow="0" w:lastRow="0" w:firstColumn="0" w:lastColumn="0" w:oddVBand="0" w:evenVBand="0" w:oddHBand="0" w:evenHBand="1" w:firstRowFirstColumn="0" w:firstRowLastColumn="0" w:lastRowFirstColumn="0" w:lastRowLastColumn="0"/>
            </w:pPr>
          </w:p>
        </w:tc>
      </w:tr>
      <w:tr w:rsidR="00B156D9" w14:paraId="7C25E49E"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3F889C4" w14:textId="77777777" w:rsidR="00B156D9" w:rsidRDefault="00000000">
            <w:pPr>
              <w:spacing w:line="276" w:lineRule="auto"/>
            </w:pPr>
            <w:r>
              <w:rPr>
                <w:sz w:val="20"/>
              </w:rPr>
              <w:t>Outcome: Neuroticism</w:t>
            </w:r>
          </w:p>
        </w:tc>
        <w:tc>
          <w:tcPr>
            <w:tcW w:w="1872" w:type="dxa"/>
          </w:tcPr>
          <w:p w14:paraId="70C9E8E9"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objective</w:t>
            </w:r>
          </w:p>
        </w:tc>
        <w:tc>
          <w:tcPr>
            <w:tcW w:w="1872" w:type="dxa"/>
          </w:tcPr>
          <w:p w14:paraId="0CF92224"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8</w:t>
            </w:r>
          </w:p>
        </w:tc>
        <w:tc>
          <w:tcPr>
            <w:tcW w:w="1872" w:type="dxa"/>
          </w:tcPr>
          <w:p w14:paraId="4C9F7D58"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−.009 [−.097, .080]</w:t>
            </w:r>
          </w:p>
        </w:tc>
        <w:tc>
          <w:tcPr>
            <w:tcW w:w="1872" w:type="dxa"/>
          </w:tcPr>
          <w:p w14:paraId="1D9870A3"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0.82(1), .364</w:t>
            </w:r>
          </w:p>
        </w:tc>
      </w:tr>
      <w:tr w:rsidR="00B156D9" w14:paraId="3D25B666"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4C08592" w14:textId="77777777" w:rsidR="00B156D9" w:rsidRDefault="00B156D9">
            <w:pPr>
              <w:spacing w:line="276" w:lineRule="auto"/>
            </w:pPr>
          </w:p>
        </w:tc>
        <w:tc>
          <w:tcPr>
            <w:tcW w:w="1872" w:type="dxa"/>
          </w:tcPr>
          <w:p w14:paraId="78D11BC2"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self-rated</w:t>
            </w:r>
          </w:p>
        </w:tc>
        <w:tc>
          <w:tcPr>
            <w:tcW w:w="1872" w:type="dxa"/>
          </w:tcPr>
          <w:p w14:paraId="0922ECFF"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1BEAAE82"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.120 [−.926, .954]</w:t>
            </w:r>
          </w:p>
        </w:tc>
        <w:tc>
          <w:tcPr>
            <w:tcW w:w="1872" w:type="dxa"/>
          </w:tcPr>
          <w:p w14:paraId="153569BA" w14:textId="77777777" w:rsidR="00B156D9" w:rsidRDefault="00B156D9">
            <w:pPr>
              <w:spacing w:line="276" w:lineRule="auto"/>
              <w:cnfStyle w:val="000000010000" w:firstRow="0" w:lastRow="0" w:firstColumn="0" w:lastColumn="0" w:oddVBand="0" w:evenVBand="0" w:oddHBand="0" w:evenHBand="1" w:firstRowFirstColumn="0" w:firstRowLastColumn="0" w:lastRowFirstColumn="0" w:lastRowLastColumn="0"/>
            </w:pPr>
          </w:p>
        </w:tc>
      </w:tr>
    </w:tbl>
    <w:p w14:paraId="6AD338E0" w14:textId="77777777" w:rsidR="00B156D9" w:rsidRDefault="00000000">
      <w:pPr>
        <w:spacing w:after="0" w:line="480" w:lineRule="auto"/>
      </w:pPr>
      <w:r>
        <w:t xml:space="preserve">Note. </w:t>
      </w:r>
      <w:r>
        <w:rPr>
          <w:i/>
        </w:rPr>
        <w:t>k</w:t>
      </w:r>
      <w:r>
        <w:t xml:space="preserve"> = number of studies contributing to each subgroup. </w:t>
      </w:r>
      <w:r>
        <w:rPr>
          <w:i/>
        </w:rPr>
        <w:t>Q_between</w:t>
      </w:r>
      <w:r>
        <w:t xml:space="preserve"> = between-subgroup heterogeneity statistic testing whether subgroups' pooled effects differ significantly. Dagger (†) indicates the two significant subgroup differences at </w:t>
      </w:r>
      <w:r>
        <w:rPr>
          <w:i/>
        </w:rPr>
        <w:t>p</w:t>
      </w:r>
      <w: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i/>
        </w:rPr>
        <w:t>k</w:t>
      </w:r>
      <w:r>
        <w:t xml:space="preserve"> = 2) were insufficient for subgroup isolation. Outcome type: objective = GPA, course grade, standardized exam, or MOOC platform composite; self-rated = student self-reported performance.</w:t>
      </w:r>
    </w:p>
    <w:p w14:paraId="4439D0B4" w14:textId="77777777" w:rsidR="00B156D9" w:rsidRDefault="00000000">
      <w:r>
        <w:br w:type="page"/>
      </w:r>
    </w:p>
    <w:p w14:paraId="79084F72" w14:textId="77777777" w:rsidR="00B156D9" w:rsidRDefault="00000000">
      <w:pPr>
        <w:spacing w:after="0" w:line="480" w:lineRule="auto"/>
      </w:pPr>
      <w:r>
        <w:rPr>
          <w:b/>
        </w:rPr>
        <w:lastRenderedPageBreak/>
        <w:t>Table 4</w:t>
      </w:r>
    </w:p>
    <w:p w14:paraId="4EDCC23F" w14:textId="77777777" w:rsidR="00B156D9" w:rsidRDefault="00000000">
      <w:pPr>
        <w:spacing w:after="0" w:line="480" w:lineRule="auto"/>
      </w:pPr>
      <w:r>
        <w:rPr>
          <w:i/>
        </w:rPr>
        <w:t>Pre-Specified Sensitivity Analyses of the Primary Pooled Effect Sizes</w:t>
      </w:r>
    </w:p>
    <w:tbl>
      <w:tblPr>
        <w:tblStyle w:val="38"/>
        <w:tblW w:w="0" w:type="auto"/>
        <w:tblLook w:val="04A0" w:firstRow="1" w:lastRow="0" w:firstColumn="1" w:lastColumn="0" w:noHBand="0" w:noVBand="1"/>
      </w:tblPr>
      <w:tblGrid>
        <w:gridCol w:w="1872"/>
        <w:gridCol w:w="1872"/>
        <w:gridCol w:w="1872"/>
        <w:gridCol w:w="1872"/>
        <w:gridCol w:w="1872"/>
      </w:tblGrid>
      <w:tr w:rsidR="00B156D9" w14:paraId="1761B85D" w14:textId="77777777" w:rsidTr="00B156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614D237" w14:textId="77777777" w:rsidR="00B156D9" w:rsidRDefault="00000000">
            <w:pPr>
              <w:spacing w:line="276" w:lineRule="auto"/>
            </w:pPr>
            <w:r>
              <w:rPr>
                <w:sz w:val="20"/>
              </w:rPr>
              <w:t>Trait</w:t>
            </w:r>
          </w:p>
        </w:tc>
        <w:tc>
          <w:tcPr>
            <w:tcW w:w="1872" w:type="dxa"/>
          </w:tcPr>
          <w:p w14:paraId="67D14DF6"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Analysis</w:t>
            </w:r>
          </w:p>
        </w:tc>
        <w:tc>
          <w:tcPr>
            <w:tcW w:w="1872" w:type="dxa"/>
          </w:tcPr>
          <w:p w14:paraId="63A8C93B"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k</w:t>
            </w:r>
          </w:p>
        </w:tc>
        <w:tc>
          <w:tcPr>
            <w:tcW w:w="1872" w:type="dxa"/>
          </w:tcPr>
          <w:p w14:paraId="5D3CC7BB"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r [95% CI]</w:t>
            </w:r>
          </w:p>
        </w:tc>
        <w:tc>
          <w:tcPr>
            <w:tcW w:w="1872" w:type="dxa"/>
          </w:tcPr>
          <w:p w14:paraId="7FC72EF7"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Δr vs primary</w:t>
            </w:r>
          </w:p>
        </w:tc>
      </w:tr>
      <w:tr w:rsidR="00B156D9" w14:paraId="60B42327"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AEA7A5D" w14:textId="77777777" w:rsidR="00B156D9" w:rsidRDefault="00000000">
            <w:pPr>
              <w:spacing w:line="276" w:lineRule="auto"/>
            </w:pPr>
            <w:r>
              <w:rPr>
                <w:sz w:val="20"/>
              </w:rPr>
              <w:t>Conscientiousness</w:t>
            </w:r>
          </w:p>
        </w:tc>
        <w:tc>
          <w:tcPr>
            <w:tcW w:w="1872" w:type="dxa"/>
          </w:tcPr>
          <w:p w14:paraId="30650C91"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Primary</w:t>
            </w:r>
          </w:p>
        </w:tc>
        <w:tc>
          <w:tcPr>
            <w:tcW w:w="1872" w:type="dxa"/>
          </w:tcPr>
          <w:p w14:paraId="2F9FD4CB"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10</w:t>
            </w:r>
          </w:p>
        </w:tc>
        <w:tc>
          <w:tcPr>
            <w:tcW w:w="1872" w:type="dxa"/>
          </w:tcPr>
          <w:p w14:paraId="21B3397A"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.167 [.089, .243]</w:t>
            </w:r>
          </w:p>
        </w:tc>
        <w:tc>
          <w:tcPr>
            <w:tcW w:w="1872" w:type="dxa"/>
          </w:tcPr>
          <w:p w14:paraId="73B0CCF7"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B156D9" w14:paraId="4668C372"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9B58015" w14:textId="77777777" w:rsidR="00B156D9" w:rsidRDefault="00B156D9">
            <w:pPr>
              <w:spacing w:line="276" w:lineRule="auto"/>
            </w:pPr>
          </w:p>
        </w:tc>
        <w:tc>
          <w:tcPr>
            <w:tcW w:w="1872" w:type="dxa"/>
          </w:tcPr>
          <w:p w14:paraId="42FF9B91"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Tokiwa (COI)</w:t>
            </w:r>
          </w:p>
        </w:tc>
        <w:tc>
          <w:tcPr>
            <w:tcW w:w="1872" w:type="dxa"/>
          </w:tcPr>
          <w:p w14:paraId="62FFDFEB"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10</w:t>
            </w:r>
          </w:p>
        </w:tc>
        <w:tc>
          <w:tcPr>
            <w:tcW w:w="1872" w:type="dxa"/>
          </w:tcPr>
          <w:p w14:paraId="0D3E16D6"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.167 [.089, .243]</w:t>
            </w:r>
          </w:p>
        </w:tc>
        <w:tc>
          <w:tcPr>
            <w:tcW w:w="1872" w:type="dxa"/>
          </w:tcPr>
          <w:p w14:paraId="21FEC8C4"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r w:rsidR="00B156D9" w14:paraId="089C7550"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C1EC7C1" w14:textId="77777777" w:rsidR="00B156D9" w:rsidRDefault="00B156D9">
            <w:pPr>
              <w:spacing w:line="276" w:lineRule="auto"/>
            </w:pPr>
          </w:p>
        </w:tc>
        <w:tc>
          <w:tcPr>
            <w:tcW w:w="1872" w:type="dxa"/>
          </w:tcPr>
          <w:p w14:paraId="03E1FAB4"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Exclude β-converted</w:t>
            </w:r>
          </w:p>
        </w:tc>
        <w:tc>
          <w:tcPr>
            <w:tcW w:w="1872" w:type="dxa"/>
          </w:tcPr>
          <w:p w14:paraId="0F5B78BA"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433326ED"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.203 [.105, .298]</w:t>
            </w:r>
          </w:p>
        </w:tc>
        <w:tc>
          <w:tcPr>
            <w:tcW w:w="1872" w:type="dxa"/>
          </w:tcPr>
          <w:p w14:paraId="1C692426"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+.036</w:t>
            </w:r>
          </w:p>
        </w:tc>
      </w:tr>
      <w:tr w:rsidR="00B156D9" w14:paraId="0CC19818"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54D37AE" w14:textId="77777777" w:rsidR="00B156D9" w:rsidRDefault="00B156D9">
            <w:pPr>
              <w:spacing w:line="276" w:lineRule="auto"/>
            </w:pPr>
          </w:p>
        </w:tc>
        <w:tc>
          <w:tcPr>
            <w:tcW w:w="1872" w:type="dxa"/>
          </w:tcPr>
          <w:p w14:paraId="2E5E0234"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RoB &lt; 5</w:t>
            </w:r>
          </w:p>
        </w:tc>
        <w:tc>
          <w:tcPr>
            <w:tcW w:w="1872" w:type="dxa"/>
          </w:tcPr>
          <w:p w14:paraId="67873F42"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9</w:t>
            </w:r>
          </w:p>
        </w:tc>
        <w:tc>
          <w:tcPr>
            <w:tcW w:w="1872" w:type="dxa"/>
          </w:tcPr>
          <w:p w14:paraId="4A92B3EC"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.182 [.111, .252]</w:t>
            </w:r>
          </w:p>
        </w:tc>
        <w:tc>
          <w:tcPr>
            <w:tcW w:w="1872" w:type="dxa"/>
          </w:tcPr>
          <w:p w14:paraId="790D429E"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+.015</w:t>
            </w:r>
          </w:p>
        </w:tc>
      </w:tr>
      <w:tr w:rsidR="00B156D9" w14:paraId="0EBCC6B9"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9F48B62" w14:textId="77777777" w:rsidR="00B156D9" w:rsidRDefault="00B156D9">
            <w:pPr>
              <w:spacing w:line="276" w:lineRule="auto"/>
            </w:pPr>
          </w:p>
        </w:tc>
        <w:tc>
          <w:tcPr>
            <w:tcW w:w="1872" w:type="dxa"/>
          </w:tcPr>
          <w:p w14:paraId="3594376C"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Egger regression</w:t>
            </w:r>
          </w:p>
        </w:tc>
        <w:tc>
          <w:tcPr>
            <w:tcW w:w="1872" w:type="dxa"/>
          </w:tcPr>
          <w:p w14:paraId="121EF7CA"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c>
          <w:tcPr>
            <w:tcW w:w="1872" w:type="dxa"/>
          </w:tcPr>
          <w:p w14:paraId="4914B3C9"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t xml:space="preserve">intercept = 2.14, </w:t>
            </w:r>
            <w:r>
              <w:rPr>
                <w:i/>
              </w:rPr>
              <w:t>p</w:t>
            </w:r>
            <w:r>
              <w:t xml:space="preserve"> = .094</w:t>
            </w:r>
          </w:p>
        </w:tc>
        <w:tc>
          <w:tcPr>
            <w:tcW w:w="1872" w:type="dxa"/>
          </w:tcPr>
          <w:p w14:paraId="3A41F0B9"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B156D9" w14:paraId="75893C63"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B204EB1" w14:textId="77777777" w:rsidR="00B156D9" w:rsidRDefault="00B156D9">
            <w:pPr>
              <w:spacing w:line="276" w:lineRule="auto"/>
            </w:pPr>
          </w:p>
        </w:tc>
        <w:tc>
          <w:tcPr>
            <w:tcW w:w="1872" w:type="dxa"/>
          </w:tcPr>
          <w:p w14:paraId="2177D1F1"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Trim-and-fill adjusted</w:t>
            </w:r>
          </w:p>
        </w:tc>
        <w:tc>
          <w:tcPr>
            <w:tcW w:w="1872" w:type="dxa"/>
          </w:tcPr>
          <w:p w14:paraId="0CBDC4EC"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10</w:t>
            </w:r>
          </w:p>
        </w:tc>
        <w:tc>
          <w:tcPr>
            <w:tcW w:w="1872" w:type="dxa"/>
          </w:tcPr>
          <w:p w14:paraId="67385851"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.167 [.089, .243]</w:t>
            </w:r>
          </w:p>
        </w:tc>
        <w:tc>
          <w:tcPr>
            <w:tcW w:w="1872" w:type="dxa"/>
          </w:tcPr>
          <w:p w14:paraId="77A0F94F"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r w:rsidR="00B156D9" w14:paraId="14506D22"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CDEA95D" w14:textId="77777777" w:rsidR="00B156D9" w:rsidRDefault="00000000">
            <w:pPr>
              <w:spacing w:line="276" w:lineRule="auto"/>
            </w:pPr>
            <w:r>
              <w:rPr>
                <w:sz w:val="20"/>
              </w:rPr>
              <w:t>Openness</w:t>
            </w:r>
          </w:p>
        </w:tc>
        <w:tc>
          <w:tcPr>
            <w:tcW w:w="1872" w:type="dxa"/>
          </w:tcPr>
          <w:p w14:paraId="751410F3"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Primary</w:t>
            </w:r>
          </w:p>
        </w:tc>
        <w:tc>
          <w:tcPr>
            <w:tcW w:w="1872" w:type="dxa"/>
          </w:tcPr>
          <w:p w14:paraId="1DDB3503"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9</w:t>
            </w:r>
          </w:p>
        </w:tc>
        <w:tc>
          <w:tcPr>
            <w:tcW w:w="1872" w:type="dxa"/>
          </w:tcPr>
          <w:p w14:paraId="7D8D7BF1"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.086 [−.044, .214]</w:t>
            </w:r>
          </w:p>
        </w:tc>
        <w:tc>
          <w:tcPr>
            <w:tcW w:w="1872" w:type="dxa"/>
          </w:tcPr>
          <w:p w14:paraId="37D8D42C"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B156D9" w14:paraId="1FEE3824"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C778053" w14:textId="77777777" w:rsidR="00B156D9" w:rsidRDefault="00B156D9">
            <w:pPr>
              <w:spacing w:line="276" w:lineRule="auto"/>
            </w:pPr>
          </w:p>
        </w:tc>
        <w:tc>
          <w:tcPr>
            <w:tcW w:w="1872" w:type="dxa"/>
          </w:tcPr>
          <w:p w14:paraId="3F82DB3A"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Tokiwa (COI)</w:t>
            </w:r>
          </w:p>
        </w:tc>
        <w:tc>
          <w:tcPr>
            <w:tcW w:w="1872" w:type="dxa"/>
          </w:tcPr>
          <w:p w14:paraId="1A210947"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9</w:t>
            </w:r>
          </w:p>
        </w:tc>
        <w:tc>
          <w:tcPr>
            <w:tcW w:w="1872" w:type="dxa"/>
          </w:tcPr>
          <w:p w14:paraId="006DAE08"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.086 [−.044, .214]</w:t>
            </w:r>
          </w:p>
        </w:tc>
        <w:tc>
          <w:tcPr>
            <w:tcW w:w="1872" w:type="dxa"/>
          </w:tcPr>
          <w:p w14:paraId="0ABA1617"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r w:rsidR="00B156D9" w14:paraId="0C4654FE"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0EC7C82" w14:textId="77777777" w:rsidR="00B156D9" w:rsidRDefault="00B156D9">
            <w:pPr>
              <w:spacing w:line="276" w:lineRule="auto"/>
            </w:pPr>
          </w:p>
        </w:tc>
        <w:tc>
          <w:tcPr>
            <w:tcW w:w="1872" w:type="dxa"/>
          </w:tcPr>
          <w:p w14:paraId="5B7144A1"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Exclude β-converted</w:t>
            </w:r>
          </w:p>
        </w:tc>
        <w:tc>
          <w:tcPr>
            <w:tcW w:w="1872" w:type="dxa"/>
          </w:tcPr>
          <w:p w14:paraId="2362BBEE"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6</w:t>
            </w:r>
          </w:p>
        </w:tc>
        <w:tc>
          <w:tcPr>
            <w:tcW w:w="1872" w:type="dxa"/>
          </w:tcPr>
          <w:p w14:paraId="1DD056C1"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.031 [−.117, .178]</w:t>
            </w:r>
          </w:p>
        </w:tc>
        <w:tc>
          <w:tcPr>
            <w:tcW w:w="1872" w:type="dxa"/>
          </w:tcPr>
          <w:p w14:paraId="5C9CF3EB"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−.055 ‡</w:t>
            </w:r>
          </w:p>
        </w:tc>
      </w:tr>
      <w:tr w:rsidR="00B156D9" w14:paraId="1E048827"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13746DB" w14:textId="77777777" w:rsidR="00B156D9" w:rsidRDefault="00B156D9">
            <w:pPr>
              <w:spacing w:line="276" w:lineRule="auto"/>
            </w:pPr>
          </w:p>
        </w:tc>
        <w:tc>
          <w:tcPr>
            <w:tcW w:w="1872" w:type="dxa"/>
          </w:tcPr>
          <w:p w14:paraId="40A5E3F9"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RoB &lt; 5</w:t>
            </w:r>
          </w:p>
        </w:tc>
        <w:tc>
          <w:tcPr>
            <w:tcW w:w="1872" w:type="dxa"/>
          </w:tcPr>
          <w:p w14:paraId="3727ABF0"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8</w:t>
            </w:r>
          </w:p>
        </w:tc>
        <w:tc>
          <w:tcPr>
            <w:tcW w:w="1872" w:type="dxa"/>
          </w:tcPr>
          <w:p w14:paraId="07FBEB62"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.097 [−.052, .242]</w:t>
            </w:r>
          </w:p>
        </w:tc>
        <w:tc>
          <w:tcPr>
            <w:tcW w:w="1872" w:type="dxa"/>
          </w:tcPr>
          <w:p w14:paraId="6681D63B"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+.011</w:t>
            </w:r>
          </w:p>
        </w:tc>
      </w:tr>
      <w:tr w:rsidR="00B156D9" w14:paraId="6AF1F95C"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EE7F72B" w14:textId="77777777" w:rsidR="00B156D9" w:rsidRDefault="00B156D9">
            <w:pPr>
              <w:spacing w:line="276" w:lineRule="auto"/>
            </w:pPr>
          </w:p>
        </w:tc>
        <w:tc>
          <w:tcPr>
            <w:tcW w:w="1872" w:type="dxa"/>
          </w:tcPr>
          <w:p w14:paraId="1401EC8A"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Egger regression</w:t>
            </w:r>
          </w:p>
        </w:tc>
        <w:tc>
          <w:tcPr>
            <w:tcW w:w="1872" w:type="dxa"/>
          </w:tcPr>
          <w:p w14:paraId="28DC1B4A"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c>
          <w:tcPr>
            <w:tcW w:w="1872" w:type="dxa"/>
          </w:tcPr>
          <w:p w14:paraId="1F0F9F5B"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t xml:space="preserve">intercept = −6.41, </w:t>
            </w:r>
            <w:r>
              <w:rPr>
                <w:i/>
              </w:rPr>
              <w:t>p</w:t>
            </w:r>
            <w:r>
              <w:t xml:space="preserve"> = .045 †</w:t>
            </w:r>
          </w:p>
        </w:tc>
        <w:tc>
          <w:tcPr>
            <w:tcW w:w="1872" w:type="dxa"/>
          </w:tcPr>
          <w:p w14:paraId="356125C0"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B156D9" w14:paraId="3243A71C"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FF82A9E" w14:textId="77777777" w:rsidR="00B156D9" w:rsidRDefault="00B156D9">
            <w:pPr>
              <w:spacing w:line="276" w:lineRule="auto"/>
            </w:pPr>
          </w:p>
        </w:tc>
        <w:tc>
          <w:tcPr>
            <w:tcW w:w="1872" w:type="dxa"/>
          </w:tcPr>
          <w:p w14:paraId="4E87D454"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Trim-and-fill adjusted</w:t>
            </w:r>
          </w:p>
        </w:tc>
        <w:tc>
          <w:tcPr>
            <w:tcW w:w="1872" w:type="dxa"/>
          </w:tcPr>
          <w:p w14:paraId="4BE967B1"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10</w:t>
            </w:r>
          </w:p>
        </w:tc>
        <w:tc>
          <w:tcPr>
            <w:tcW w:w="1872" w:type="dxa"/>
          </w:tcPr>
          <w:p w14:paraId="543BCE96"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.107 [−.017, .228]</w:t>
            </w:r>
          </w:p>
        </w:tc>
        <w:tc>
          <w:tcPr>
            <w:tcW w:w="1872" w:type="dxa"/>
          </w:tcPr>
          <w:p w14:paraId="15712FCE"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+.021</w:t>
            </w:r>
          </w:p>
        </w:tc>
      </w:tr>
      <w:tr w:rsidR="00B156D9" w14:paraId="374410A3"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86EBCA1" w14:textId="77777777" w:rsidR="00B156D9" w:rsidRDefault="00000000">
            <w:pPr>
              <w:spacing w:line="276" w:lineRule="auto"/>
            </w:pPr>
            <w:r>
              <w:rPr>
                <w:sz w:val="20"/>
              </w:rPr>
              <w:t>Extraversion</w:t>
            </w:r>
          </w:p>
        </w:tc>
        <w:tc>
          <w:tcPr>
            <w:tcW w:w="1872" w:type="dxa"/>
          </w:tcPr>
          <w:p w14:paraId="7B47560F"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Primary</w:t>
            </w:r>
          </w:p>
        </w:tc>
        <w:tc>
          <w:tcPr>
            <w:tcW w:w="1872" w:type="dxa"/>
          </w:tcPr>
          <w:p w14:paraId="7ABD7B07"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9</w:t>
            </w:r>
          </w:p>
        </w:tc>
        <w:tc>
          <w:tcPr>
            <w:tcW w:w="1872" w:type="dxa"/>
          </w:tcPr>
          <w:p w14:paraId="5225A5DE"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.002 [−.076, .080]</w:t>
            </w:r>
          </w:p>
        </w:tc>
        <w:tc>
          <w:tcPr>
            <w:tcW w:w="1872" w:type="dxa"/>
          </w:tcPr>
          <w:p w14:paraId="095905E6"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B156D9" w14:paraId="55AF8F94"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93F0D03" w14:textId="77777777" w:rsidR="00B156D9" w:rsidRDefault="00B156D9">
            <w:pPr>
              <w:spacing w:line="276" w:lineRule="auto"/>
            </w:pPr>
          </w:p>
        </w:tc>
        <w:tc>
          <w:tcPr>
            <w:tcW w:w="1872" w:type="dxa"/>
          </w:tcPr>
          <w:p w14:paraId="12E31717"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Tokiwa (COI)</w:t>
            </w:r>
          </w:p>
        </w:tc>
        <w:tc>
          <w:tcPr>
            <w:tcW w:w="1872" w:type="dxa"/>
          </w:tcPr>
          <w:p w14:paraId="2CF98F85"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9</w:t>
            </w:r>
          </w:p>
        </w:tc>
        <w:tc>
          <w:tcPr>
            <w:tcW w:w="1872" w:type="dxa"/>
          </w:tcPr>
          <w:p w14:paraId="7D03A3B3"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.002 [−.076, .080]</w:t>
            </w:r>
          </w:p>
        </w:tc>
        <w:tc>
          <w:tcPr>
            <w:tcW w:w="1872" w:type="dxa"/>
          </w:tcPr>
          <w:p w14:paraId="0FAC07AF"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r w:rsidR="00B156D9" w14:paraId="4DB50204"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B23F3C9" w14:textId="77777777" w:rsidR="00B156D9" w:rsidRDefault="00B156D9">
            <w:pPr>
              <w:spacing w:line="276" w:lineRule="auto"/>
            </w:pPr>
          </w:p>
        </w:tc>
        <w:tc>
          <w:tcPr>
            <w:tcW w:w="1872" w:type="dxa"/>
          </w:tcPr>
          <w:p w14:paraId="3D4C49C0"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Exclude β-converted</w:t>
            </w:r>
          </w:p>
        </w:tc>
        <w:tc>
          <w:tcPr>
            <w:tcW w:w="1872" w:type="dxa"/>
          </w:tcPr>
          <w:p w14:paraId="32B61B86"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6</w:t>
            </w:r>
          </w:p>
        </w:tc>
        <w:tc>
          <w:tcPr>
            <w:tcW w:w="1872" w:type="dxa"/>
          </w:tcPr>
          <w:p w14:paraId="0F4AB62E"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.018 [−.087, .122]</w:t>
            </w:r>
          </w:p>
        </w:tc>
        <w:tc>
          <w:tcPr>
            <w:tcW w:w="1872" w:type="dxa"/>
          </w:tcPr>
          <w:p w14:paraId="403BB5AA"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+.016</w:t>
            </w:r>
          </w:p>
        </w:tc>
      </w:tr>
      <w:tr w:rsidR="00B156D9" w14:paraId="46A134E2"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41B2354" w14:textId="77777777" w:rsidR="00B156D9" w:rsidRDefault="00B156D9">
            <w:pPr>
              <w:spacing w:line="276" w:lineRule="auto"/>
            </w:pPr>
          </w:p>
        </w:tc>
        <w:tc>
          <w:tcPr>
            <w:tcW w:w="1872" w:type="dxa"/>
          </w:tcPr>
          <w:p w14:paraId="1027191F"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RoB &lt; 5</w:t>
            </w:r>
          </w:p>
        </w:tc>
        <w:tc>
          <w:tcPr>
            <w:tcW w:w="1872" w:type="dxa"/>
          </w:tcPr>
          <w:p w14:paraId="46FB784D"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8</w:t>
            </w:r>
          </w:p>
        </w:tc>
        <w:tc>
          <w:tcPr>
            <w:tcW w:w="1872" w:type="dxa"/>
          </w:tcPr>
          <w:p w14:paraId="38430B19"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.003 [−.088, .093]</w:t>
            </w:r>
          </w:p>
        </w:tc>
        <w:tc>
          <w:tcPr>
            <w:tcW w:w="1872" w:type="dxa"/>
          </w:tcPr>
          <w:p w14:paraId="7F0D91D9"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+.001</w:t>
            </w:r>
          </w:p>
        </w:tc>
      </w:tr>
      <w:tr w:rsidR="00B156D9" w14:paraId="426003E7"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176901A" w14:textId="77777777" w:rsidR="00B156D9" w:rsidRDefault="00B156D9">
            <w:pPr>
              <w:spacing w:line="276" w:lineRule="auto"/>
            </w:pPr>
          </w:p>
        </w:tc>
        <w:tc>
          <w:tcPr>
            <w:tcW w:w="1872" w:type="dxa"/>
          </w:tcPr>
          <w:p w14:paraId="2C8312A8"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Egger regression</w:t>
            </w:r>
          </w:p>
        </w:tc>
        <w:tc>
          <w:tcPr>
            <w:tcW w:w="1872" w:type="dxa"/>
          </w:tcPr>
          <w:p w14:paraId="3B6F8F5F"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c>
          <w:tcPr>
            <w:tcW w:w="1872" w:type="dxa"/>
          </w:tcPr>
          <w:p w14:paraId="41DC0F45"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t xml:space="preserve">intercept = 2.29, </w:t>
            </w:r>
            <w:r>
              <w:rPr>
                <w:i/>
              </w:rPr>
              <w:t>p</w:t>
            </w:r>
            <w:r>
              <w:t xml:space="preserve"> = .255</w:t>
            </w:r>
          </w:p>
        </w:tc>
        <w:tc>
          <w:tcPr>
            <w:tcW w:w="1872" w:type="dxa"/>
          </w:tcPr>
          <w:p w14:paraId="3242A927"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B156D9" w14:paraId="32E3E047"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8827A60" w14:textId="77777777" w:rsidR="00B156D9" w:rsidRDefault="00B156D9">
            <w:pPr>
              <w:spacing w:line="276" w:lineRule="auto"/>
            </w:pPr>
          </w:p>
        </w:tc>
        <w:tc>
          <w:tcPr>
            <w:tcW w:w="1872" w:type="dxa"/>
          </w:tcPr>
          <w:p w14:paraId="409D9D53"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Trim-and-fill adjusted</w:t>
            </w:r>
          </w:p>
        </w:tc>
        <w:tc>
          <w:tcPr>
            <w:tcW w:w="1872" w:type="dxa"/>
          </w:tcPr>
          <w:p w14:paraId="79A95B15"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11</w:t>
            </w:r>
          </w:p>
        </w:tc>
        <w:tc>
          <w:tcPr>
            <w:tcW w:w="1872" w:type="dxa"/>
          </w:tcPr>
          <w:p w14:paraId="71181DFA"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−.036 [−.117, .046]</w:t>
            </w:r>
          </w:p>
        </w:tc>
        <w:tc>
          <w:tcPr>
            <w:tcW w:w="1872" w:type="dxa"/>
          </w:tcPr>
          <w:p w14:paraId="4542E8A5"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−.038</w:t>
            </w:r>
          </w:p>
        </w:tc>
      </w:tr>
      <w:tr w:rsidR="00B156D9" w14:paraId="31B75840"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B1FD191" w14:textId="77777777" w:rsidR="00B156D9" w:rsidRDefault="00000000">
            <w:pPr>
              <w:spacing w:line="276" w:lineRule="auto"/>
            </w:pPr>
            <w:r>
              <w:rPr>
                <w:sz w:val="20"/>
              </w:rPr>
              <w:t>Agreeableness</w:t>
            </w:r>
          </w:p>
        </w:tc>
        <w:tc>
          <w:tcPr>
            <w:tcW w:w="1872" w:type="dxa"/>
          </w:tcPr>
          <w:p w14:paraId="3EB79658"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Primary</w:t>
            </w:r>
          </w:p>
        </w:tc>
        <w:tc>
          <w:tcPr>
            <w:tcW w:w="1872" w:type="dxa"/>
          </w:tcPr>
          <w:p w14:paraId="240F92C0"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9</w:t>
            </w:r>
          </w:p>
        </w:tc>
        <w:tc>
          <w:tcPr>
            <w:tcW w:w="1872" w:type="dxa"/>
          </w:tcPr>
          <w:p w14:paraId="047D8EFE"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.112 [−.031, .250]</w:t>
            </w:r>
          </w:p>
        </w:tc>
        <w:tc>
          <w:tcPr>
            <w:tcW w:w="1872" w:type="dxa"/>
          </w:tcPr>
          <w:p w14:paraId="5FE36570"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B156D9" w14:paraId="3DD62A3C"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1C14B91" w14:textId="77777777" w:rsidR="00B156D9" w:rsidRDefault="00B156D9">
            <w:pPr>
              <w:spacing w:line="276" w:lineRule="auto"/>
            </w:pPr>
          </w:p>
        </w:tc>
        <w:tc>
          <w:tcPr>
            <w:tcW w:w="1872" w:type="dxa"/>
          </w:tcPr>
          <w:p w14:paraId="4F7CDBFB"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Tokiwa (COI)</w:t>
            </w:r>
          </w:p>
        </w:tc>
        <w:tc>
          <w:tcPr>
            <w:tcW w:w="1872" w:type="dxa"/>
          </w:tcPr>
          <w:p w14:paraId="04101204"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9</w:t>
            </w:r>
          </w:p>
        </w:tc>
        <w:tc>
          <w:tcPr>
            <w:tcW w:w="1872" w:type="dxa"/>
          </w:tcPr>
          <w:p w14:paraId="778FD128"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.112 [−.031, .250]</w:t>
            </w:r>
          </w:p>
        </w:tc>
        <w:tc>
          <w:tcPr>
            <w:tcW w:w="1872" w:type="dxa"/>
          </w:tcPr>
          <w:p w14:paraId="6357E417"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r w:rsidR="00B156D9" w14:paraId="2EBE41B3"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C1F1E81" w14:textId="77777777" w:rsidR="00B156D9" w:rsidRDefault="00B156D9">
            <w:pPr>
              <w:spacing w:line="276" w:lineRule="auto"/>
            </w:pPr>
          </w:p>
        </w:tc>
        <w:tc>
          <w:tcPr>
            <w:tcW w:w="1872" w:type="dxa"/>
          </w:tcPr>
          <w:p w14:paraId="30E22B7B"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Exclude β-converted</w:t>
            </w:r>
          </w:p>
        </w:tc>
        <w:tc>
          <w:tcPr>
            <w:tcW w:w="1872" w:type="dxa"/>
          </w:tcPr>
          <w:p w14:paraId="6FAAE7BF"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6</w:t>
            </w:r>
          </w:p>
        </w:tc>
        <w:tc>
          <w:tcPr>
            <w:tcW w:w="1872" w:type="dxa"/>
          </w:tcPr>
          <w:p w14:paraId="0A8970F8"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.067 [−.015, .148]</w:t>
            </w:r>
          </w:p>
        </w:tc>
        <w:tc>
          <w:tcPr>
            <w:tcW w:w="1872" w:type="dxa"/>
          </w:tcPr>
          <w:p w14:paraId="55BF80D5"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−.045</w:t>
            </w:r>
          </w:p>
        </w:tc>
      </w:tr>
      <w:tr w:rsidR="00B156D9" w14:paraId="5415EAA0"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3EB2D18" w14:textId="77777777" w:rsidR="00B156D9" w:rsidRDefault="00B156D9">
            <w:pPr>
              <w:spacing w:line="276" w:lineRule="auto"/>
            </w:pPr>
          </w:p>
        </w:tc>
        <w:tc>
          <w:tcPr>
            <w:tcW w:w="1872" w:type="dxa"/>
          </w:tcPr>
          <w:p w14:paraId="002DCCFC"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RoB &lt; 5</w:t>
            </w:r>
          </w:p>
        </w:tc>
        <w:tc>
          <w:tcPr>
            <w:tcW w:w="1872" w:type="dxa"/>
          </w:tcPr>
          <w:p w14:paraId="781D9C29"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8</w:t>
            </w:r>
          </w:p>
        </w:tc>
        <w:tc>
          <w:tcPr>
            <w:tcW w:w="1872" w:type="dxa"/>
          </w:tcPr>
          <w:p w14:paraId="22FCCF14"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.126 [−.036, .281]</w:t>
            </w:r>
          </w:p>
        </w:tc>
        <w:tc>
          <w:tcPr>
            <w:tcW w:w="1872" w:type="dxa"/>
          </w:tcPr>
          <w:p w14:paraId="57A0EFA1"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+.014</w:t>
            </w:r>
          </w:p>
        </w:tc>
      </w:tr>
      <w:tr w:rsidR="00B156D9" w14:paraId="321DD1D8"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7D6CE9E" w14:textId="77777777" w:rsidR="00B156D9" w:rsidRDefault="00B156D9">
            <w:pPr>
              <w:spacing w:line="276" w:lineRule="auto"/>
            </w:pPr>
          </w:p>
        </w:tc>
        <w:tc>
          <w:tcPr>
            <w:tcW w:w="1872" w:type="dxa"/>
          </w:tcPr>
          <w:p w14:paraId="36C18314"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Egger regression</w:t>
            </w:r>
          </w:p>
        </w:tc>
        <w:tc>
          <w:tcPr>
            <w:tcW w:w="1872" w:type="dxa"/>
          </w:tcPr>
          <w:p w14:paraId="38CE5D86"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c>
          <w:tcPr>
            <w:tcW w:w="1872" w:type="dxa"/>
          </w:tcPr>
          <w:p w14:paraId="5FE6AD8D"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t xml:space="preserve">intercept = −8.53, </w:t>
            </w:r>
            <w:r>
              <w:rPr>
                <w:i/>
              </w:rPr>
              <w:t>p</w:t>
            </w:r>
            <w:r>
              <w:t xml:space="preserve"> = .072</w:t>
            </w:r>
          </w:p>
        </w:tc>
        <w:tc>
          <w:tcPr>
            <w:tcW w:w="1872" w:type="dxa"/>
          </w:tcPr>
          <w:p w14:paraId="2F9CEC31"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B156D9" w14:paraId="173F4DB9"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D080E3B" w14:textId="77777777" w:rsidR="00B156D9" w:rsidRDefault="00B156D9">
            <w:pPr>
              <w:spacing w:line="276" w:lineRule="auto"/>
            </w:pPr>
          </w:p>
        </w:tc>
        <w:tc>
          <w:tcPr>
            <w:tcW w:w="1872" w:type="dxa"/>
          </w:tcPr>
          <w:p w14:paraId="7916C133"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 xml:space="preserve">Trim-and-fill </w:t>
            </w:r>
            <w:r>
              <w:rPr>
                <w:sz w:val="20"/>
              </w:rPr>
              <w:lastRenderedPageBreak/>
              <w:t>adjusted</w:t>
            </w:r>
          </w:p>
        </w:tc>
        <w:tc>
          <w:tcPr>
            <w:tcW w:w="1872" w:type="dxa"/>
          </w:tcPr>
          <w:p w14:paraId="78FEC493"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lastRenderedPageBreak/>
              <w:t>9</w:t>
            </w:r>
          </w:p>
        </w:tc>
        <w:tc>
          <w:tcPr>
            <w:tcW w:w="1872" w:type="dxa"/>
          </w:tcPr>
          <w:p w14:paraId="60C82FC4"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.112 [−.031, .250]</w:t>
            </w:r>
          </w:p>
        </w:tc>
        <w:tc>
          <w:tcPr>
            <w:tcW w:w="1872" w:type="dxa"/>
          </w:tcPr>
          <w:p w14:paraId="7ADD4F7C"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r w:rsidR="00B156D9" w14:paraId="0478822E"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295677A" w14:textId="77777777" w:rsidR="00B156D9" w:rsidRDefault="00000000">
            <w:pPr>
              <w:spacing w:line="276" w:lineRule="auto"/>
            </w:pPr>
            <w:r>
              <w:rPr>
                <w:sz w:val="20"/>
              </w:rPr>
              <w:t>Neuroticism</w:t>
            </w:r>
          </w:p>
        </w:tc>
        <w:tc>
          <w:tcPr>
            <w:tcW w:w="1872" w:type="dxa"/>
          </w:tcPr>
          <w:p w14:paraId="68AFB924"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Primary</w:t>
            </w:r>
          </w:p>
        </w:tc>
        <w:tc>
          <w:tcPr>
            <w:tcW w:w="1872" w:type="dxa"/>
          </w:tcPr>
          <w:p w14:paraId="385E83CE"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10</w:t>
            </w:r>
          </w:p>
        </w:tc>
        <w:tc>
          <w:tcPr>
            <w:tcW w:w="1872" w:type="dxa"/>
          </w:tcPr>
          <w:p w14:paraId="1CF334A1"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.018 [−.079, .114]</w:t>
            </w:r>
          </w:p>
        </w:tc>
        <w:tc>
          <w:tcPr>
            <w:tcW w:w="1872" w:type="dxa"/>
          </w:tcPr>
          <w:p w14:paraId="3936C035"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B156D9" w14:paraId="396ECB36"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E26D8C8" w14:textId="77777777" w:rsidR="00B156D9" w:rsidRDefault="00B156D9">
            <w:pPr>
              <w:spacing w:line="276" w:lineRule="auto"/>
            </w:pPr>
          </w:p>
        </w:tc>
        <w:tc>
          <w:tcPr>
            <w:tcW w:w="1872" w:type="dxa"/>
          </w:tcPr>
          <w:p w14:paraId="535741BA"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Tokiwa (COI)</w:t>
            </w:r>
          </w:p>
        </w:tc>
        <w:tc>
          <w:tcPr>
            <w:tcW w:w="1872" w:type="dxa"/>
          </w:tcPr>
          <w:p w14:paraId="55816AF0"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10</w:t>
            </w:r>
          </w:p>
        </w:tc>
        <w:tc>
          <w:tcPr>
            <w:tcW w:w="1872" w:type="dxa"/>
          </w:tcPr>
          <w:p w14:paraId="60F06861"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.018 [−.079, .114]</w:t>
            </w:r>
          </w:p>
        </w:tc>
        <w:tc>
          <w:tcPr>
            <w:tcW w:w="1872" w:type="dxa"/>
          </w:tcPr>
          <w:p w14:paraId="01E1405C"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r w:rsidR="00B156D9" w14:paraId="73FCDE5B"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A769C86" w14:textId="77777777" w:rsidR="00B156D9" w:rsidRDefault="00B156D9">
            <w:pPr>
              <w:spacing w:line="276" w:lineRule="auto"/>
            </w:pPr>
          </w:p>
        </w:tc>
        <w:tc>
          <w:tcPr>
            <w:tcW w:w="1872" w:type="dxa"/>
          </w:tcPr>
          <w:p w14:paraId="635FC394"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Exclude β-converted</w:t>
            </w:r>
          </w:p>
        </w:tc>
        <w:tc>
          <w:tcPr>
            <w:tcW w:w="1872" w:type="dxa"/>
          </w:tcPr>
          <w:p w14:paraId="6BDEEB1E"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61EEBC62"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−.043 [−.126, .040]</w:t>
            </w:r>
          </w:p>
        </w:tc>
        <w:tc>
          <w:tcPr>
            <w:tcW w:w="1872" w:type="dxa"/>
          </w:tcPr>
          <w:p w14:paraId="1EBDD764"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−.061 ‡</w:t>
            </w:r>
          </w:p>
        </w:tc>
      </w:tr>
      <w:tr w:rsidR="00B156D9" w14:paraId="6C18F60B"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6EB50C1" w14:textId="77777777" w:rsidR="00B156D9" w:rsidRDefault="00B156D9">
            <w:pPr>
              <w:spacing w:line="276" w:lineRule="auto"/>
            </w:pPr>
          </w:p>
        </w:tc>
        <w:tc>
          <w:tcPr>
            <w:tcW w:w="1872" w:type="dxa"/>
          </w:tcPr>
          <w:p w14:paraId="4C85D427"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RoB &lt; 5</w:t>
            </w:r>
          </w:p>
        </w:tc>
        <w:tc>
          <w:tcPr>
            <w:tcW w:w="1872" w:type="dxa"/>
          </w:tcPr>
          <w:p w14:paraId="4528C66B"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9</w:t>
            </w:r>
          </w:p>
        </w:tc>
        <w:tc>
          <w:tcPr>
            <w:tcW w:w="1872" w:type="dxa"/>
          </w:tcPr>
          <w:p w14:paraId="4850C013"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.019 [−.093, .130]</w:t>
            </w:r>
          </w:p>
        </w:tc>
        <w:tc>
          <w:tcPr>
            <w:tcW w:w="1872" w:type="dxa"/>
          </w:tcPr>
          <w:p w14:paraId="5CE5847F"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+.001</w:t>
            </w:r>
          </w:p>
        </w:tc>
      </w:tr>
      <w:tr w:rsidR="00B156D9" w14:paraId="7B7FB23B"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4A3F225" w14:textId="77777777" w:rsidR="00B156D9" w:rsidRDefault="00B156D9">
            <w:pPr>
              <w:spacing w:line="276" w:lineRule="auto"/>
            </w:pPr>
          </w:p>
        </w:tc>
        <w:tc>
          <w:tcPr>
            <w:tcW w:w="1872" w:type="dxa"/>
          </w:tcPr>
          <w:p w14:paraId="708D2984"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Egger regression</w:t>
            </w:r>
          </w:p>
        </w:tc>
        <w:tc>
          <w:tcPr>
            <w:tcW w:w="1872" w:type="dxa"/>
          </w:tcPr>
          <w:p w14:paraId="727E9001"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c>
          <w:tcPr>
            <w:tcW w:w="1872" w:type="dxa"/>
          </w:tcPr>
          <w:p w14:paraId="7C677BA8"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t xml:space="preserve">intercept = −1.79, </w:t>
            </w:r>
            <w:r>
              <w:rPr>
                <w:i/>
              </w:rPr>
              <w:t>p</w:t>
            </w:r>
            <w:r>
              <w:t xml:space="preserve"> = .304</w:t>
            </w:r>
          </w:p>
        </w:tc>
        <w:tc>
          <w:tcPr>
            <w:tcW w:w="1872" w:type="dxa"/>
          </w:tcPr>
          <w:p w14:paraId="28FFE1A1"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B156D9" w14:paraId="0DEF23E4"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CE56BFB" w14:textId="77777777" w:rsidR="00B156D9" w:rsidRDefault="00B156D9">
            <w:pPr>
              <w:spacing w:line="276" w:lineRule="auto"/>
            </w:pPr>
          </w:p>
        </w:tc>
        <w:tc>
          <w:tcPr>
            <w:tcW w:w="1872" w:type="dxa"/>
          </w:tcPr>
          <w:p w14:paraId="386C616A"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Trim-and-fill adjusted</w:t>
            </w:r>
          </w:p>
        </w:tc>
        <w:tc>
          <w:tcPr>
            <w:tcW w:w="1872" w:type="dxa"/>
          </w:tcPr>
          <w:p w14:paraId="30E1E245"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10</w:t>
            </w:r>
          </w:p>
        </w:tc>
        <w:tc>
          <w:tcPr>
            <w:tcW w:w="1872" w:type="dxa"/>
          </w:tcPr>
          <w:p w14:paraId="64B244D6"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.018 [−.079, .114]</w:t>
            </w:r>
          </w:p>
        </w:tc>
        <w:tc>
          <w:tcPr>
            <w:tcW w:w="1872" w:type="dxa"/>
          </w:tcPr>
          <w:p w14:paraId="2607A26E"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bl>
    <w:p w14:paraId="2A4091B5" w14:textId="77777777" w:rsidR="00B156D9" w:rsidRDefault="00000000">
      <w:pPr>
        <w:spacing w:after="0" w:line="480" w:lineRule="auto"/>
      </w:pPr>
      <w: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i/>
        </w:rPr>
        <w:t>p</w:t>
      </w:r>
      <w:r>
        <w:t xml:space="preserve"> &lt; .05. "Exclude Tokiwa (COI)" removes the present author's prior primary study (Tokiwa, 2025); the zero delta reflects that this study did not contribute a direct </w:t>
      </w:r>
      <w:r>
        <w:rPr>
          <w:i/>
        </w:rPr>
        <w:t>r</w:t>
      </w:r>
      <w:r>
        <w:t xml:space="preserve"> to the exploratory pool. "Exclude β-converted" restricts the pool to studies reporting direct Pearson </w:t>
      </w:r>
      <w:r>
        <w:rPr>
          <w:i/>
        </w:rPr>
        <w:t>r</w:t>
      </w:r>
      <w:r>
        <w:t xml:space="preserve"> or Spearman </w:t>
      </w:r>
      <w:r>
        <w:rPr>
          <w:i/>
        </w:rPr>
        <w:t>ρ</w:t>
      </w:r>
      <w:r>
        <w:t>. "Exclude RoB &lt; 5" removes studies scoring below the pre-specified low-bias threshold of 5 on the JBI 8-item checklist.</w:t>
      </w:r>
    </w:p>
    <w:p w14:paraId="0A22A938" w14:textId="77777777" w:rsidR="00B156D9" w:rsidRDefault="00000000">
      <w:r>
        <w:br w:type="page"/>
      </w:r>
    </w:p>
    <w:p w14:paraId="6EC2825D" w14:textId="77777777" w:rsidR="00B156D9" w:rsidRDefault="00000000">
      <w:pPr>
        <w:spacing w:after="0" w:line="480" w:lineRule="auto"/>
      </w:pPr>
      <w:r>
        <w:rPr>
          <w:b/>
        </w:rPr>
        <w:lastRenderedPageBreak/>
        <w:t>Table 5</w:t>
      </w:r>
    </w:p>
    <w:p w14:paraId="37100C64" w14:textId="77777777" w:rsidR="00B156D9" w:rsidRDefault="00000000">
      <w:pPr>
        <w:spacing w:after="0" w:line="480" w:lineRule="auto"/>
      </w:pPr>
      <w:r>
        <w:rPr>
          <w:i/>
        </w:rPr>
        <w:t>Completeness-of-Evidence Summary: Confidence in the Pooled Associations Between Big Five Personality Traits and Academic Achievement in Online Learning Environments</w:t>
      </w:r>
    </w:p>
    <w:tbl>
      <w:tblPr>
        <w:tblStyle w:val="38"/>
        <w:tblW w:w="0" w:type="auto"/>
        <w:tblLook w:val="04A0" w:firstRow="1" w:lastRow="0" w:firstColumn="1" w:lastColumn="0" w:noHBand="0" w:noVBand="1"/>
      </w:tblPr>
      <w:tblGrid>
        <w:gridCol w:w="1915"/>
        <w:gridCol w:w="956"/>
        <w:gridCol w:w="1275"/>
        <w:gridCol w:w="1174"/>
        <w:gridCol w:w="1153"/>
        <w:gridCol w:w="1112"/>
        <w:gridCol w:w="1072"/>
        <w:gridCol w:w="919"/>
      </w:tblGrid>
      <w:tr w:rsidR="00B156D9" w14:paraId="79D6BC78" w14:textId="77777777" w:rsidTr="00B156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0" w:type="dxa"/>
          </w:tcPr>
          <w:p w14:paraId="7DB833AA" w14:textId="77777777" w:rsidR="00B156D9" w:rsidRDefault="00000000">
            <w:pPr>
              <w:spacing w:line="276" w:lineRule="auto"/>
            </w:pPr>
            <w:r>
              <w:t>Trait (</w:t>
            </w:r>
            <w:r>
              <w:rPr>
                <w:i/>
              </w:rPr>
              <w:t>k</w:t>
            </w:r>
            <w:r>
              <w:t xml:space="preserve">, </w:t>
            </w:r>
            <w:r>
              <w:rPr>
                <w:i/>
              </w:rPr>
              <w:t>N</w:t>
            </w:r>
            <w:r>
              <w:t>)</w:t>
            </w:r>
          </w:p>
        </w:tc>
        <w:tc>
          <w:tcPr>
            <w:tcW w:w="1170" w:type="dxa"/>
          </w:tcPr>
          <w:p w14:paraId="1EA2EAB5"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Risk of Bias</w:t>
            </w:r>
          </w:p>
        </w:tc>
        <w:tc>
          <w:tcPr>
            <w:tcW w:w="1170" w:type="dxa"/>
          </w:tcPr>
          <w:p w14:paraId="6B12F599"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Inconsistency</w:t>
            </w:r>
          </w:p>
        </w:tc>
        <w:tc>
          <w:tcPr>
            <w:tcW w:w="1170" w:type="dxa"/>
          </w:tcPr>
          <w:p w14:paraId="5164D23C"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Indirectness</w:t>
            </w:r>
          </w:p>
        </w:tc>
        <w:tc>
          <w:tcPr>
            <w:tcW w:w="1170" w:type="dxa"/>
          </w:tcPr>
          <w:p w14:paraId="23E2381E"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Imprecision</w:t>
            </w:r>
          </w:p>
        </w:tc>
        <w:tc>
          <w:tcPr>
            <w:tcW w:w="1170" w:type="dxa"/>
          </w:tcPr>
          <w:p w14:paraId="388F9517"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Publication Bias</w:t>
            </w:r>
          </w:p>
        </w:tc>
        <w:tc>
          <w:tcPr>
            <w:tcW w:w="1170" w:type="dxa"/>
          </w:tcPr>
          <w:p w14:paraId="7757640D"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Magnitude</w:t>
            </w:r>
          </w:p>
        </w:tc>
        <w:tc>
          <w:tcPr>
            <w:tcW w:w="1170" w:type="dxa"/>
          </w:tcPr>
          <w:p w14:paraId="6EA6389C" w14:textId="77777777" w:rsidR="00B156D9"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GRADE</w:t>
            </w:r>
          </w:p>
        </w:tc>
      </w:tr>
      <w:tr w:rsidR="00B156D9" w14:paraId="0F707D88"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0" w:type="dxa"/>
          </w:tcPr>
          <w:p w14:paraId="3E0934EA" w14:textId="77777777" w:rsidR="00B156D9" w:rsidRDefault="00000000">
            <w:pPr>
              <w:spacing w:line="276" w:lineRule="auto"/>
            </w:pPr>
            <w:r>
              <w:t>Conscientiousness</w:t>
            </w:r>
            <w:r>
              <w:br/>
              <w:t>(</w:t>
            </w:r>
            <w:r>
              <w:rPr>
                <w:i/>
              </w:rPr>
              <w:t>k</w:t>
            </w:r>
            <w:r>
              <w:t xml:space="preserve">=10, </w:t>
            </w:r>
            <w:r>
              <w:rPr>
                <w:i/>
              </w:rPr>
              <w:t>N</w:t>
            </w:r>
            <w:r>
              <w:t>=3,384)</w:t>
            </w:r>
          </w:p>
        </w:tc>
        <w:tc>
          <w:tcPr>
            <w:tcW w:w="1170" w:type="dxa"/>
          </w:tcPr>
          <w:p w14:paraId="023FCF73"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r>
              <w:rPr>
                <w:sz w:val="20"/>
              </w:rPr>
              <w:br/>
              <w:t>(mean JBI=5.80)</w:t>
            </w:r>
          </w:p>
        </w:tc>
        <w:tc>
          <w:tcPr>
            <w:tcW w:w="1170" w:type="dxa"/>
          </w:tcPr>
          <w:p w14:paraId="65062B78"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t>Serious</w:t>
            </w:r>
            <w:r>
              <w:br/>
              <w:t>(</w:t>
            </w:r>
            <w:r>
              <w:rPr>
                <w:i/>
              </w:rPr>
              <w:t>I²</w:t>
            </w:r>
            <w:r>
              <w:t>=65.1%)</w:t>
            </w:r>
          </w:p>
        </w:tc>
        <w:tc>
          <w:tcPr>
            <w:tcW w:w="1170" w:type="dxa"/>
          </w:tcPr>
          <w:p w14:paraId="38BE7962"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p>
        </w:tc>
        <w:tc>
          <w:tcPr>
            <w:tcW w:w="1170" w:type="dxa"/>
          </w:tcPr>
          <w:p w14:paraId="7E436676"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r>
              <w:rPr>
                <w:sz w:val="20"/>
              </w:rPr>
              <w:br/>
              <w:t>(CI width=.15)</w:t>
            </w:r>
          </w:p>
        </w:tc>
        <w:tc>
          <w:tcPr>
            <w:tcW w:w="1170" w:type="dxa"/>
          </w:tcPr>
          <w:p w14:paraId="7ABEB01B"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t>Not serious</w:t>
            </w:r>
            <w:r>
              <w:br/>
              <w:t xml:space="preserve">(Egger </w:t>
            </w:r>
            <w:r>
              <w:rPr>
                <w:i/>
              </w:rPr>
              <w:t>p</w:t>
            </w:r>
            <w:r>
              <w:t>=.094)</w:t>
            </w:r>
          </w:p>
        </w:tc>
        <w:tc>
          <w:tcPr>
            <w:tcW w:w="1170" w:type="dxa"/>
          </w:tcPr>
          <w:p w14:paraId="0076E3BD"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t>Small</w:t>
            </w:r>
            <w:r>
              <w:br/>
              <w:t>(</w:t>
            </w:r>
            <w:r>
              <w:rPr>
                <w:i/>
              </w:rPr>
              <w:t>r</w:t>
            </w:r>
            <w:r>
              <w:t>=.167)</w:t>
            </w:r>
          </w:p>
        </w:tc>
        <w:tc>
          <w:tcPr>
            <w:tcW w:w="1170" w:type="dxa"/>
          </w:tcPr>
          <w:p w14:paraId="6C0B7ABC"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Moderate</w:t>
            </w:r>
          </w:p>
        </w:tc>
      </w:tr>
      <w:tr w:rsidR="00B156D9" w14:paraId="2860F3DD"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0" w:type="dxa"/>
          </w:tcPr>
          <w:p w14:paraId="698C7364" w14:textId="77777777" w:rsidR="00B156D9" w:rsidRDefault="00000000">
            <w:pPr>
              <w:spacing w:line="276" w:lineRule="auto"/>
            </w:pPr>
            <w:r>
              <w:t>Openness</w:t>
            </w:r>
            <w:r>
              <w:br/>
              <w:t>(</w:t>
            </w:r>
            <w:r>
              <w:rPr>
                <w:i/>
              </w:rPr>
              <w:t>k</w:t>
            </w:r>
            <w:r>
              <w:t xml:space="preserve">=9, </w:t>
            </w:r>
            <w:r>
              <w:rPr>
                <w:i/>
              </w:rPr>
              <w:t>N</w:t>
            </w:r>
            <w:r>
              <w:t>=3,363)</w:t>
            </w:r>
          </w:p>
        </w:tc>
        <w:tc>
          <w:tcPr>
            <w:tcW w:w="1170" w:type="dxa"/>
          </w:tcPr>
          <w:p w14:paraId="4C33AAE1"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Not serious</w:t>
            </w:r>
            <w:r>
              <w:rPr>
                <w:sz w:val="20"/>
              </w:rPr>
              <w:br/>
              <w:t>(mean JBI=5.78)</w:t>
            </w:r>
          </w:p>
        </w:tc>
        <w:tc>
          <w:tcPr>
            <w:tcW w:w="1170" w:type="dxa"/>
          </w:tcPr>
          <w:p w14:paraId="752F54A0"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t>Very serious</w:t>
            </w:r>
            <w:r>
              <w:br/>
              <w:t>(</w:t>
            </w:r>
            <w:r>
              <w:rPr>
                <w:i/>
              </w:rPr>
              <w:t>I²</w:t>
            </w:r>
            <w:r>
              <w:t>=92.0%)</w:t>
            </w:r>
          </w:p>
        </w:tc>
        <w:tc>
          <w:tcPr>
            <w:tcW w:w="1170" w:type="dxa"/>
          </w:tcPr>
          <w:p w14:paraId="33CE64A1"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Not serious</w:t>
            </w:r>
          </w:p>
        </w:tc>
        <w:tc>
          <w:tcPr>
            <w:tcW w:w="1170" w:type="dxa"/>
          </w:tcPr>
          <w:p w14:paraId="0FF73A8D"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Serious</w:t>
            </w:r>
            <w:r>
              <w:rPr>
                <w:sz w:val="20"/>
              </w:rPr>
              <w:br/>
              <w:t>(CI crosses 0)</w:t>
            </w:r>
          </w:p>
        </w:tc>
        <w:tc>
          <w:tcPr>
            <w:tcW w:w="1170" w:type="dxa"/>
          </w:tcPr>
          <w:p w14:paraId="1A8DE055"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t>Serious</w:t>
            </w:r>
            <w:r>
              <w:br/>
              <w:t xml:space="preserve">(Egger </w:t>
            </w:r>
            <w:r>
              <w:rPr>
                <w:i/>
              </w:rPr>
              <w:t>p</w:t>
            </w:r>
            <w:r>
              <w:t>=.045) †</w:t>
            </w:r>
          </w:p>
        </w:tc>
        <w:tc>
          <w:tcPr>
            <w:tcW w:w="1170" w:type="dxa"/>
          </w:tcPr>
          <w:p w14:paraId="4FE3DDB1"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t>Small</w:t>
            </w:r>
            <w:r>
              <w:br/>
              <w:t>(</w:t>
            </w:r>
            <w:r>
              <w:rPr>
                <w:i/>
              </w:rPr>
              <w:t>r</w:t>
            </w:r>
            <w:r>
              <w:t>=.086)</w:t>
            </w:r>
          </w:p>
        </w:tc>
        <w:tc>
          <w:tcPr>
            <w:tcW w:w="1170" w:type="dxa"/>
          </w:tcPr>
          <w:p w14:paraId="73BCADB5"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Low</w:t>
            </w:r>
          </w:p>
        </w:tc>
      </w:tr>
      <w:tr w:rsidR="00B156D9" w14:paraId="05D741FB"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0" w:type="dxa"/>
          </w:tcPr>
          <w:p w14:paraId="2A78298C" w14:textId="77777777" w:rsidR="00B156D9" w:rsidRDefault="00000000">
            <w:pPr>
              <w:spacing w:line="276" w:lineRule="auto"/>
            </w:pPr>
            <w:r>
              <w:t>Extraversion</w:t>
            </w:r>
            <w:r>
              <w:br/>
              <w:t>(</w:t>
            </w:r>
            <w:r>
              <w:rPr>
                <w:i/>
              </w:rPr>
              <w:t>k</w:t>
            </w:r>
            <w:r>
              <w:t xml:space="preserve">=9, </w:t>
            </w:r>
            <w:r>
              <w:rPr>
                <w:i/>
              </w:rPr>
              <w:t>N</w:t>
            </w:r>
            <w:r>
              <w:t>=3,363)</w:t>
            </w:r>
          </w:p>
        </w:tc>
        <w:tc>
          <w:tcPr>
            <w:tcW w:w="1170" w:type="dxa"/>
          </w:tcPr>
          <w:p w14:paraId="5EDEA58B"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r>
              <w:rPr>
                <w:sz w:val="20"/>
              </w:rPr>
              <w:br/>
              <w:t>(mean JBI=5.78)</w:t>
            </w:r>
          </w:p>
        </w:tc>
        <w:tc>
          <w:tcPr>
            <w:tcW w:w="1170" w:type="dxa"/>
          </w:tcPr>
          <w:p w14:paraId="1E819C7D"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t>Serious</w:t>
            </w:r>
            <w:r>
              <w:br/>
              <w:t>(</w:t>
            </w:r>
            <w:r>
              <w:rPr>
                <w:i/>
              </w:rPr>
              <w:t>I²</w:t>
            </w:r>
            <w:r>
              <w:t>=75.5%)</w:t>
            </w:r>
          </w:p>
        </w:tc>
        <w:tc>
          <w:tcPr>
            <w:tcW w:w="1170" w:type="dxa"/>
          </w:tcPr>
          <w:p w14:paraId="6D5D3CD3"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p>
        </w:tc>
        <w:tc>
          <w:tcPr>
            <w:tcW w:w="1170" w:type="dxa"/>
          </w:tcPr>
          <w:p w14:paraId="2CF36D8E"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r>
              <w:rPr>
                <w:sz w:val="20"/>
              </w:rPr>
              <w:br/>
              <w:t>(null robust)</w:t>
            </w:r>
          </w:p>
        </w:tc>
        <w:tc>
          <w:tcPr>
            <w:tcW w:w="1170" w:type="dxa"/>
          </w:tcPr>
          <w:p w14:paraId="11BEA0A7"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t>Not serious</w:t>
            </w:r>
            <w:r>
              <w:br/>
              <w:t xml:space="preserve">(Egger </w:t>
            </w:r>
            <w:r>
              <w:rPr>
                <w:i/>
              </w:rPr>
              <w:t>p</w:t>
            </w:r>
            <w:r>
              <w:t>=.255)</w:t>
            </w:r>
          </w:p>
        </w:tc>
        <w:tc>
          <w:tcPr>
            <w:tcW w:w="1170" w:type="dxa"/>
          </w:tcPr>
          <w:p w14:paraId="5925E5C2"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t>Null</w:t>
            </w:r>
            <w:r>
              <w:br/>
              <w:t>(</w:t>
            </w:r>
            <w:r>
              <w:rPr>
                <w:i/>
              </w:rPr>
              <w:t>r</w:t>
            </w:r>
            <w:r>
              <w:t>=.002)</w:t>
            </w:r>
          </w:p>
        </w:tc>
        <w:tc>
          <w:tcPr>
            <w:tcW w:w="1170" w:type="dxa"/>
          </w:tcPr>
          <w:p w14:paraId="1DEC1B12"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Moderate</w:t>
            </w:r>
          </w:p>
        </w:tc>
      </w:tr>
      <w:tr w:rsidR="00B156D9" w14:paraId="41CEC886" w14:textId="77777777" w:rsidTr="00B156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0" w:type="dxa"/>
          </w:tcPr>
          <w:p w14:paraId="2E0AF5C1" w14:textId="77777777" w:rsidR="00B156D9" w:rsidRDefault="00000000">
            <w:pPr>
              <w:spacing w:line="276" w:lineRule="auto"/>
            </w:pPr>
            <w:r>
              <w:t>Agreeableness</w:t>
            </w:r>
            <w:r>
              <w:br/>
              <w:t>(</w:t>
            </w:r>
            <w:r>
              <w:rPr>
                <w:i/>
              </w:rPr>
              <w:t>k</w:t>
            </w:r>
            <w:r>
              <w:t xml:space="preserve">=9, </w:t>
            </w:r>
            <w:r>
              <w:rPr>
                <w:i/>
              </w:rPr>
              <w:t>N</w:t>
            </w:r>
            <w:r>
              <w:t>=3,363)</w:t>
            </w:r>
          </w:p>
        </w:tc>
        <w:tc>
          <w:tcPr>
            <w:tcW w:w="1170" w:type="dxa"/>
          </w:tcPr>
          <w:p w14:paraId="7582B019"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Not serious</w:t>
            </w:r>
            <w:r>
              <w:rPr>
                <w:sz w:val="20"/>
              </w:rPr>
              <w:br/>
              <w:t>(mean JBI=5.78)</w:t>
            </w:r>
          </w:p>
        </w:tc>
        <w:tc>
          <w:tcPr>
            <w:tcW w:w="1170" w:type="dxa"/>
          </w:tcPr>
          <w:p w14:paraId="31AA97C2"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t>Very serious</w:t>
            </w:r>
            <w:r>
              <w:br/>
              <w:t>(</w:t>
            </w:r>
            <w:r>
              <w:rPr>
                <w:i/>
              </w:rPr>
              <w:t>I²</w:t>
            </w:r>
            <w:r>
              <w:t>=96.2%)</w:t>
            </w:r>
          </w:p>
        </w:tc>
        <w:tc>
          <w:tcPr>
            <w:tcW w:w="1170" w:type="dxa"/>
          </w:tcPr>
          <w:p w14:paraId="788CBDDF"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Not serious</w:t>
            </w:r>
          </w:p>
        </w:tc>
        <w:tc>
          <w:tcPr>
            <w:tcW w:w="1170" w:type="dxa"/>
          </w:tcPr>
          <w:p w14:paraId="4A5D1064"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Serious</w:t>
            </w:r>
            <w:r>
              <w:rPr>
                <w:sz w:val="20"/>
              </w:rPr>
              <w:br/>
              <w:t>(CI crosses 0)</w:t>
            </w:r>
          </w:p>
        </w:tc>
        <w:tc>
          <w:tcPr>
            <w:tcW w:w="1170" w:type="dxa"/>
          </w:tcPr>
          <w:p w14:paraId="6F4ABA3F"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t>Serious</w:t>
            </w:r>
            <w:r>
              <w:br/>
              <w:t xml:space="preserve">(Egger </w:t>
            </w:r>
            <w:r>
              <w:rPr>
                <w:i/>
              </w:rPr>
              <w:t>p</w:t>
            </w:r>
            <w:r>
              <w:t>=.072) †</w:t>
            </w:r>
          </w:p>
        </w:tc>
        <w:tc>
          <w:tcPr>
            <w:tcW w:w="1170" w:type="dxa"/>
          </w:tcPr>
          <w:p w14:paraId="20D7EEA3"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t>Small</w:t>
            </w:r>
            <w:r>
              <w:br/>
              <w:t>(</w:t>
            </w:r>
            <w:r>
              <w:rPr>
                <w:i/>
              </w:rPr>
              <w:t>r</w:t>
            </w:r>
            <w:r>
              <w:t>=.112)</w:t>
            </w:r>
          </w:p>
        </w:tc>
        <w:tc>
          <w:tcPr>
            <w:tcW w:w="1170" w:type="dxa"/>
          </w:tcPr>
          <w:p w14:paraId="16EA9E7C" w14:textId="77777777" w:rsidR="00B156D9"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Low</w:t>
            </w:r>
          </w:p>
        </w:tc>
      </w:tr>
      <w:tr w:rsidR="00B156D9" w14:paraId="5CD94539" w14:textId="77777777" w:rsidTr="00B156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0" w:type="dxa"/>
          </w:tcPr>
          <w:p w14:paraId="34EF8F7A" w14:textId="77777777" w:rsidR="00B156D9" w:rsidRDefault="00000000">
            <w:pPr>
              <w:spacing w:line="276" w:lineRule="auto"/>
            </w:pPr>
            <w:r>
              <w:t>Neuroticism</w:t>
            </w:r>
            <w:r>
              <w:br/>
              <w:t>(</w:t>
            </w:r>
            <w:r>
              <w:rPr>
                <w:i/>
              </w:rPr>
              <w:t>k</w:t>
            </w:r>
            <w:r>
              <w:t xml:space="preserve">=10, </w:t>
            </w:r>
            <w:r>
              <w:rPr>
                <w:i/>
              </w:rPr>
              <w:t>N</w:t>
            </w:r>
            <w:r>
              <w:t>=3,384)</w:t>
            </w:r>
          </w:p>
        </w:tc>
        <w:tc>
          <w:tcPr>
            <w:tcW w:w="1170" w:type="dxa"/>
          </w:tcPr>
          <w:p w14:paraId="65600A25"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r>
              <w:rPr>
                <w:sz w:val="20"/>
              </w:rPr>
              <w:br/>
              <w:t>(mean JBI=5.80)</w:t>
            </w:r>
          </w:p>
        </w:tc>
        <w:tc>
          <w:tcPr>
            <w:tcW w:w="1170" w:type="dxa"/>
          </w:tcPr>
          <w:p w14:paraId="30720A94"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t>Serious</w:t>
            </w:r>
            <w:r>
              <w:br/>
              <w:t>(</w:t>
            </w:r>
            <w:r>
              <w:rPr>
                <w:i/>
              </w:rPr>
              <w:t>I²</w:t>
            </w:r>
            <w:r>
              <w:t>=79.0%)</w:t>
            </w:r>
          </w:p>
        </w:tc>
        <w:tc>
          <w:tcPr>
            <w:tcW w:w="1170" w:type="dxa"/>
          </w:tcPr>
          <w:p w14:paraId="220CA124"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p>
        </w:tc>
        <w:tc>
          <w:tcPr>
            <w:tcW w:w="1170" w:type="dxa"/>
          </w:tcPr>
          <w:p w14:paraId="598E9F98"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Serious</w:t>
            </w:r>
            <w:r>
              <w:rPr>
                <w:sz w:val="20"/>
              </w:rPr>
              <w:br/>
              <w:t>(null, wide CI)</w:t>
            </w:r>
          </w:p>
        </w:tc>
        <w:tc>
          <w:tcPr>
            <w:tcW w:w="1170" w:type="dxa"/>
          </w:tcPr>
          <w:p w14:paraId="4F8D68ED"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t>Not serious</w:t>
            </w:r>
            <w:r>
              <w:br/>
              <w:t xml:space="preserve">(Egger </w:t>
            </w:r>
            <w:r>
              <w:rPr>
                <w:i/>
              </w:rPr>
              <w:t>p</w:t>
            </w:r>
            <w:r>
              <w:t>=.304)</w:t>
            </w:r>
          </w:p>
        </w:tc>
        <w:tc>
          <w:tcPr>
            <w:tcW w:w="1170" w:type="dxa"/>
          </w:tcPr>
          <w:p w14:paraId="7EFF3CB6"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t>Null</w:t>
            </w:r>
            <w:r>
              <w:br/>
              <w:t>(</w:t>
            </w:r>
            <w:r>
              <w:rPr>
                <w:i/>
              </w:rPr>
              <w:t>r</w:t>
            </w:r>
            <w:r>
              <w:t>=.018)</w:t>
            </w:r>
          </w:p>
        </w:tc>
        <w:tc>
          <w:tcPr>
            <w:tcW w:w="1170" w:type="dxa"/>
          </w:tcPr>
          <w:p w14:paraId="20C9128C" w14:textId="77777777" w:rsidR="00B156D9"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Low</w:t>
            </w:r>
          </w:p>
        </w:tc>
      </w:tr>
    </w:tbl>
    <w:p w14:paraId="164176AC" w14:textId="77777777" w:rsidR="00B156D9" w:rsidRDefault="00000000">
      <w:pPr>
        <w:spacing w:after="0" w:line="480" w:lineRule="auto"/>
      </w:pPr>
      <w: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i/>
        </w:rPr>
        <w:t>I²</w:t>
      </w:r>
      <w:r>
        <w:t xml:space="preserve"> and prediction interval; serious if </w:t>
      </w:r>
      <w:r>
        <w:rPr>
          <w:i/>
        </w:rPr>
        <w:t>I²</w:t>
      </w:r>
      <w:r>
        <w:t xml:space="preserve"> &gt; 50%, very serious if </w:t>
      </w:r>
      <w:r>
        <w:rPr>
          <w:i/>
        </w:rPr>
        <w:t>I²</w:t>
      </w:r>
      <w:r>
        <w:t xml:space="preserve"> &gt; 75%), Indirectness (population, exposure, or outcome indirectness relative to the review question), Imprecision (serious if 95% CI crosses the null or is wider than 2 × MOI of |r| = .10), and Publication Bias (serious if Egger's test is significant at </w:t>
      </w:r>
      <w:r>
        <w:rPr>
          <w:i/>
        </w:rPr>
        <w:t>p</w:t>
      </w:r>
      <w:r>
        <w:t xml:space="preserve"> &lt; .05 with asymmetric </w:t>
      </w:r>
      <w:r>
        <w:lastRenderedPageBreak/>
        <w:t xml:space="preserve">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i/>
        </w:rPr>
        <w:t>k</w:t>
      </w:r>
      <w:r>
        <w:t xml:space="preserve"> of the available online-specific literature.</w:t>
      </w:r>
    </w:p>
    <w:p w14:paraId="68726B97" w14:textId="77777777" w:rsidR="00B156D9" w:rsidRDefault="00000000">
      <w:r>
        <w:br w:type="page"/>
      </w:r>
    </w:p>
    <w:p w14:paraId="08966829" w14:textId="77777777" w:rsidR="00B156D9" w:rsidRDefault="00000000">
      <w:pPr>
        <w:spacing w:after="0" w:line="480" w:lineRule="auto"/>
      </w:pPr>
      <w:r>
        <w:rPr>
          <w:b/>
        </w:rPr>
        <w:lastRenderedPageBreak/>
        <w:t>Figure 1</w:t>
      </w:r>
    </w:p>
    <w:p w14:paraId="0D269A61" w14:textId="77777777" w:rsidR="00B156D9" w:rsidRDefault="00000000">
      <w:pPr>
        <w:spacing w:after="0" w:line="480" w:lineRule="auto"/>
      </w:pPr>
      <w:r>
        <w:rPr>
          <w:i/>
        </w:rPr>
        <w:t>PRISMA-ScR-style Flow Diagram of the Study Selection Process</w:t>
      </w:r>
    </w:p>
    <w:p w14:paraId="1CFD3888" w14:textId="77777777" w:rsidR="00B156D9" w:rsidRDefault="00000000">
      <w:pPr>
        <w:jc w:val="center"/>
      </w:pPr>
      <w:r>
        <w:rPr>
          <w:noProof/>
        </w:rPr>
        <w:drawing>
          <wp:inline distT="0" distB="0" distL="0" distR="0" wp14:anchorId="79B477B4" wp14:editId="1B612815">
            <wp:extent cx="5486400" cy="72514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sma_flow.png"/>
                    <pic:cNvPicPr/>
                  </pic:nvPicPr>
                  <pic:blipFill>
                    <a:blip r:embed="rId8"/>
                    <a:stretch>
                      <a:fillRect/>
                    </a:stretch>
                  </pic:blipFill>
                  <pic:spPr>
                    <a:xfrm>
                      <a:off x="0" y="0"/>
                      <a:ext cx="5486400" cy="7251492"/>
                    </a:xfrm>
                    <a:prstGeom prst="rect">
                      <a:avLst/>
                    </a:prstGeom>
                  </pic:spPr>
                </pic:pic>
              </a:graphicData>
            </a:graphic>
          </wp:inline>
        </w:drawing>
      </w:r>
    </w:p>
    <w:p w14:paraId="396E8336" w14:textId="77777777" w:rsidR="00B156D9" w:rsidRDefault="00000000">
      <w:pPr>
        <w:spacing w:after="0" w:line="480" w:lineRule="auto"/>
      </w:pPr>
      <w:r>
        <w:lastRenderedPageBreak/>
        <w:t>Note. Flow diagram adapted from the PRISMA-ScR statement (Tricco et al., 2018) (Page et al., 2021). Records were identified through WebSearch-based formal search (</w:t>
      </w:r>
      <w:r>
        <w:rPr>
          <w:i/>
        </w:rPr>
        <w:t>n</w:t>
      </w:r>
      <w:r>
        <w:t xml:space="preserve"> = 80 from eight structured queries), preliminary informal search yielding a previously curated corpus (</w:t>
      </w:r>
      <w:r>
        <w:rPr>
          <w:i/>
        </w:rPr>
        <w:t>n</w:t>
      </w:r>
      <w:r>
        <w:t xml:space="preserve"> = 28), and citation snowballing combined with open-access repository downloads (</w:t>
      </w:r>
      <w:r>
        <w:rPr>
          <w:i/>
        </w:rPr>
        <w:t>n</w:t>
      </w:r>
      <w:r>
        <w:t xml:space="preserve"> = 12), for a total of 120 records. After deduplication (</w:t>
      </w:r>
      <w:r>
        <w:rPr>
          <w:i/>
        </w:rPr>
        <w:t>n</w:t>
      </w:r>
      <w: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i/>
        </w:rPr>
        <w:t>n</w:t>
      </w:r>
      <w:r>
        <w:t xml:space="preserve"> = 5; MBTI, Proactive Personality, TAM, TUE, and other non-FFM operationalization), face-to-face modality (</w:t>
      </w:r>
      <w:r>
        <w:rPr>
          <w:i/>
        </w:rPr>
        <w:t>n</w:t>
      </w:r>
      <w:r>
        <w:t xml:space="preserve"> = 4; A-09 Bhattacharjee &amp; Ramkumar, 2025; A-10 Boonyapison et al., 2025; A-14 Eilam et al., 2009; A-16 Hidalgo-Fuentes et al., 2024), sample overlap with an already-included study (</w:t>
      </w:r>
      <w:r>
        <w:rPr>
          <w:i/>
        </w:rPr>
        <w:t>n</w:t>
      </w:r>
      <w:r>
        <w:t xml:space="preserve"> = 1; A-05 Audet et al., 2023 overlapped with A-04 Audet et al., 2021), and effect size not extractable (</w:t>
      </w:r>
      <w:r>
        <w:rPr>
          <w:i/>
        </w:rPr>
        <w:t>n</w:t>
      </w:r>
      <w:r>
        <w:t xml:space="preserve"> = 1; A-24 Tlili et al., 2023, lag sequential analysis). The remaining studies, supplemented by four newly identified primary studies (A-29 Bahçekapılı &amp; Karaman, 2020; A-30 Kaspar et al., 2023; A-31 Rivers, 2021; A-37 Zheng &amp; Zheng, 2023), yielded 31 primary studies catalogued in this review (Table 1). Of these, 25 were retained for qualitative synthesis, and 10 contributed direct Pearson correlations or β-converted effect sizes to the exploratory quantitative achievement pool (with two studies — A-28 Yu, 2021 and A-30 Kaspar et al., 2023 — providing β-converted effect sizes via Peterson and Brown's, 2005, approximation). The remaining 15 retained studies contributed only to secondary-outcome narrative synthesis.</w:t>
      </w:r>
    </w:p>
    <w:p w14:paraId="5FAC853C" w14:textId="77777777" w:rsidR="00B156D9" w:rsidRDefault="00000000">
      <w:r>
        <w:br w:type="page"/>
      </w:r>
    </w:p>
    <w:p w14:paraId="788027BC" w14:textId="77777777" w:rsidR="00B156D9" w:rsidRDefault="00000000">
      <w:pPr>
        <w:spacing w:after="0" w:line="480" w:lineRule="auto"/>
      </w:pPr>
      <w:r>
        <w:rPr>
          <w:b/>
        </w:rPr>
        <w:lastRenderedPageBreak/>
        <w:t>Figure 2</w:t>
      </w:r>
    </w:p>
    <w:p w14:paraId="67814870" w14:textId="77777777" w:rsidR="00B156D9" w:rsidRDefault="00000000">
      <w:pPr>
        <w:spacing w:after="0" w:line="480" w:lineRule="auto"/>
      </w:pPr>
      <w:r>
        <w:rPr>
          <w:i/>
        </w:rPr>
        <w:t>Forest Plot: Conscientiousness and Academic Achievement in Online Learning Environments</w:t>
      </w:r>
    </w:p>
    <w:p w14:paraId="65C4D550" w14:textId="77777777" w:rsidR="00B156D9" w:rsidRDefault="00000000">
      <w:pPr>
        <w:jc w:val="center"/>
      </w:pPr>
      <w:r>
        <w:rPr>
          <w:noProof/>
        </w:rPr>
        <w:drawing>
          <wp:inline distT="0" distB="0" distL="0" distR="0" wp14:anchorId="794B727C" wp14:editId="5E73FC7A">
            <wp:extent cx="5486400" cy="362077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_C.png"/>
                    <pic:cNvPicPr/>
                  </pic:nvPicPr>
                  <pic:blipFill>
                    <a:blip r:embed="rId9"/>
                    <a:stretch>
                      <a:fillRect/>
                    </a:stretch>
                  </pic:blipFill>
                  <pic:spPr>
                    <a:xfrm>
                      <a:off x="0" y="0"/>
                      <a:ext cx="5486400" cy="3620779"/>
                    </a:xfrm>
                    <a:prstGeom prst="rect">
                      <a:avLst/>
                    </a:prstGeom>
                  </pic:spPr>
                </pic:pic>
              </a:graphicData>
            </a:graphic>
          </wp:inline>
        </w:drawing>
      </w:r>
    </w:p>
    <w:p w14:paraId="4B385C17" w14:textId="77777777" w:rsidR="00B156D9" w:rsidRDefault="00000000">
      <w:pPr>
        <w:spacing w:after="0" w:line="480" w:lineRule="auto"/>
      </w:pPr>
      <w:r>
        <w:rPr>
          <w:i/>
          <w:sz w:val="22"/>
        </w:rPr>
        <w:t xml:space="preserve">Note. </w:t>
      </w:r>
      <w:r>
        <w:rPr>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14:paraId="4C31CC20" w14:textId="77777777" w:rsidR="00B156D9" w:rsidRDefault="00000000">
      <w:r>
        <w:br w:type="page"/>
      </w:r>
    </w:p>
    <w:p w14:paraId="2D70C570" w14:textId="77777777" w:rsidR="00B156D9" w:rsidRDefault="00000000">
      <w:pPr>
        <w:spacing w:after="0" w:line="480" w:lineRule="auto"/>
      </w:pPr>
      <w:r>
        <w:rPr>
          <w:b/>
        </w:rPr>
        <w:lastRenderedPageBreak/>
        <w:t>Figure 3</w:t>
      </w:r>
    </w:p>
    <w:p w14:paraId="5A531D0C" w14:textId="77777777" w:rsidR="00B156D9" w:rsidRDefault="00000000">
      <w:pPr>
        <w:spacing w:after="0" w:line="480" w:lineRule="auto"/>
      </w:pPr>
      <w:r>
        <w:rPr>
          <w:i/>
        </w:rPr>
        <w:t>Forest Plot: Agreeableness and Academic Achievement in Online Learning Environments</w:t>
      </w:r>
    </w:p>
    <w:p w14:paraId="418E3A83" w14:textId="77777777" w:rsidR="00B156D9" w:rsidRDefault="00000000">
      <w:pPr>
        <w:jc w:val="center"/>
      </w:pPr>
      <w:r>
        <w:rPr>
          <w:noProof/>
        </w:rPr>
        <w:drawing>
          <wp:inline distT="0" distB="0" distL="0" distR="0" wp14:anchorId="22A9B0DC" wp14:editId="62F2A7E9">
            <wp:extent cx="5486400" cy="34039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_A.png"/>
                    <pic:cNvPicPr/>
                  </pic:nvPicPr>
                  <pic:blipFill>
                    <a:blip r:embed="rId10"/>
                    <a:stretch>
                      <a:fillRect/>
                    </a:stretch>
                  </pic:blipFill>
                  <pic:spPr>
                    <a:xfrm>
                      <a:off x="0" y="0"/>
                      <a:ext cx="5486400" cy="3403941"/>
                    </a:xfrm>
                    <a:prstGeom prst="rect">
                      <a:avLst/>
                    </a:prstGeom>
                  </pic:spPr>
                </pic:pic>
              </a:graphicData>
            </a:graphic>
          </wp:inline>
        </w:drawing>
      </w:r>
    </w:p>
    <w:p w14:paraId="086795AD" w14:textId="77777777" w:rsidR="00B156D9" w:rsidRDefault="00000000">
      <w:pPr>
        <w:spacing w:after="0" w:line="480" w:lineRule="auto"/>
      </w:pPr>
      <w:r>
        <w:rPr>
          <w:i/>
          <w:sz w:val="22"/>
        </w:rPr>
        <w:t xml:space="preserve">Note. </w:t>
      </w:r>
      <w:r>
        <w:rPr>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14:paraId="08E5B869" w14:textId="77777777" w:rsidR="00B156D9" w:rsidRDefault="00000000">
      <w:r>
        <w:br w:type="page"/>
      </w:r>
    </w:p>
    <w:p w14:paraId="6FE04E36" w14:textId="77777777" w:rsidR="00B156D9" w:rsidRDefault="00000000">
      <w:pPr>
        <w:spacing w:after="0" w:line="480" w:lineRule="auto"/>
      </w:pPr>
      <w:r>
        <w:rPr>
          <w:b/>
        </w:rPr>
        <w:lastRenderedPageBreak/>
        <w:t>Figure 4</w:t>
      </w:r>
    </w:p>
    <w:p w14:paraId="0B25650E" w14:textId="77777777" w:rsidR="00B156D9" w:rsidRDefault="00000000">
      <w:pPr>
        <w:spacing w:after="0" w:line="480" w:lineRule="auto"/>
      </w:pPr>
      <w:r>
        <w:rPr>
          <w:i/>
        </w:rPr>
        <w:t>Forest Plot: Openness and Academic Achievement in Online Learning Environments</w:t>
      </w:r>
    </w:p>
    <w:p w14:paraId="34A2923E" w14:textId="77777777" w:rsidR="00B156D9" w:rsidRDefault="00000000">
      <w:pPr>
        <w:jc w:val="center"/>
      </w:pPr>
      <w:r>
        <w:rPr>
          <w:noProof/>
        </w:rPr>
        <w:drawing>
          <wp:inline distT="0" distB="0" distL="0" distR="0" wp14:anchorId="12207422" wp14:editId="0213F1B4">
            <wp:extent cx="5486400" cy="34039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_O.png"/>
                    <pic:cNvPicPr/>
                  </pic:nvPicPr>
                  <pic:blipFill>
                    <a:blip r:embed="rId11"/>
                    <a:stretch>
                      <a:fillRect/>
                    </a:stretch>
                  </pic:blipFill>
                  <pic:spPr>
                    <a:xfrm>
                      <a:off x="0" y="0"/>
                      <a:ext cx="5486400" cy="3403941"/>
                    </a:xfrm>
                    <a:prstGeom prst="rect">
                      <a:avLst/>
                    </a:prstGeom>
                  </pic:spPr>
                </pic:pic>
              </a:graphicData>
            </a:graphic>
          </wp:inline>
        </w:drawing>
      </w:r>
    </w:p>
    <w:p w14:paraId="5BD12B4A" w14:textId="77777777" w:rsidR="00B156D9" w:rsidRDefault="00000000">
      <w:pPr>
        <w:spacing w:after="0" w:line="480" w:lineRule="auto"/>
      </w:pPr>
      <w:r>
        <w:rPr>
          <w:i/>
          <w:sz w:val="22"/>
        </w:rPr>
        <w:t xml:space="preserve">Note. </w:t>
      </w:r>
      <w:r>
        <w:rPr>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14:paraId="02769CC3" w14:textId="77777777" w:rsidR="00B156D9" w:rsidRDefault="00000000">
      <w:r>
        <w:br w:type="page"/>
      </w:r>
    </w:p>
    <w:p w14:paraId="1B68A761" w14:textId="77777777" w:rsidR="00B156D9" w:rsidRDefault="00000000">
      <w:pPr>
        <w:spacing w:after="0" w:line="480" w:lineRule="auto"/>
      </w:pPr>
      <w:r>
        <w:rPr>
          <w:b/>
        </w:rPr>
        <w:lastRenderedPageBreak/>
        <w:t>Figure 5</w:t>
      </w:r>
    </w:p>
    <w:p w14:paraId="18E9F31C" w14:textId="77777777" w:rsidR="00B156D9" w:rsidRDefault="00000000">
      <w:pPr>
        <w:spacing w:after="0" w:line="480" w:lineRule="auto"/>
      </w:pPr>
      <w:r>
        <w:rPr>
          <w:i/>
        </w:rPr>
        <w:t>Forest Plot: Neuroticism and Academic Achievement in Online Learning Environments</w:t>
      </w:r>
    </w:p>
    <w:p w14:paraId="62202C7F" w14:textId="77777777" w:rsidR="00B156D9" w:rsidRDefault="00000000">
      <w:pPr>
        <w:jc w:val="center"/>
      </w:pPr>
      <w:r>
        <w:rPr>
          <w:noProof/>
        </w:rPr>
        <w:drawing>
          <wp:inline distT="0" distB="0" distL="0" distR="0" wp14:anchorId="522C4674" wp14:editId="0797B59A">
            <wp:extent cx="5486400" cy="36207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_N.png"/>
                    <pic:cNvPicPr/>
                  </pic:nvPicPr>
                  <pic:blipFill>
                    <a:blip r:embed="rId12"/>
                    <a:stretch>
                      <a:fillRect/>
                    </a:stretch>
                  </pic:blipFill>
                  <pic:spPr>
                    <a:xfrm>
                      <a:off x="0" y="0"/>
                      <a:ext cx="5486400" cy="3620779"/>
                    </a:xfrm>
                    <a:prstGeom prst="rect">
                      <a:avLst/>
                    </a:prstGeom>
                  </pic:spPr>
                </pic:pic>
              </a:graphicData>
            </a:graphic>
          </wp:inline>
        </w:drawing>
      </w:r>
    </w:p>
    <w:p w14:paraId="0757EE3D" w14:textId="77777777" w:rsidR="00B156D9" w:rsidRDefault="00000000">
      <w:pPr>
        <w:spacing w:after="0" w:line="480" w:lineRule="auto"/>
      </w:pPr>
      <w:r>
        <w:rPr>
          <w:i/>
          <w:sz w:val="22"/>
        </w:rPr>
        <w:t xml:space="preserve">Note. </w:t>
      </w:r>
      <w:r>
        <w:rPr>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14:paraId="535B556D" w14:textId="77777777" w:rsidR="00B156D9" w:rsidRDefault="00000000">
      <w:r>
        <w:br w:type="page"/>
      </w:r>
    </w:p>
    <w:p w14:paraId="71E92A6F" w14:textId="77777777" w:rsidR="00B156D9" w:rsidRDefault="00000000">
      <w:pPr>
        <w:spacing w:after="0" w:line="480" w:lineRule="auto"/>
      </w:pPr>
      <w:r>
        <w:rPr>
          <w:b/>
        </w:rPr>
        <w:lastRenderedPageBreak/>
        <w:t>Figure 6</w:t>
      </w:r>
    </w:p>
    <w:p w14:paraId="190DDD7C" w14:textId="77777777" w:rsidR="00B156D9" w:rsidRDefault="00000000">
      <w:pPr>
        <w:spacing w:after="0" w:line="480" w:lineRule="auto"/>
      </w:pPr>
      <w:r>
        <w:rPr>
          <w:i/>
        </w:rPr>
        <w:t>Forest Plot: Extraversion and Academic Achievement in Online Learning Environments</w:t>
      </w:r>
    </w:p>
    <w:p w14:paraId="43F6ACF2" w14:textId="77777777" w:rsidR="00B156D9" w:rsidRDefault="00000000">
      <w:pPr>
        <w:jc w:val="center"/>
      </w:pPr>
      <w:r>
        <w:rPr>
          <w:noProof/>
        </w:rPr>
        <w:drawing>
          <wp:inline distT="0" distB="0" distL="0" distR="0" wp14:anchorId="621E76D0" wp14:editId="45C0E74C">
            <wp:extent cx="5486400" cy="340394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_E.png"/>
                    <pic:cNvPicPr/>
                  </pic:nvPicPr>
                  <pic:blipFill>
                    <a:blip r:embed="rId13"/>
                    <a:stretch>
                      <a:fillRect/>
                    </a:stretch>
                  </pic:blipFill>
                  <pic:spPr>
                    <a:xfrm>
                      <a:off x="0" y="0"/>
                      <a:ext cx="5486400" cy="3403941"/>
                    </a:xfrm>
                    <a:prstGeom prst="rect">
                      <a:avLst/>
                    </a:prstGeom>
                  </pic:spPr>
                </pic:pic>
              </a:graphicData>
            </a:graphic>
          </wp:inline>
        </w:drawing>
      </w:r>
    </w:p>
    <w:p w14:paraId="6955A404" w14:textId="77777777" w:rsidR="00B156D9" w:rsidRDefault="00000000">
      <w:pPr>
        <w:spacing w:after="0" w:line="480" w:lineRule="auto"/>
      </w:pPr>
      <w:r>
        <w:rPr>
          <w:i/>
          <w:sz w:val="22"/>
        </w:rPr>
        <w:t xml:space="preserve">Note. </w:t>
      </w:r>
      <w:r>
        <w:rPr>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14:paraId="15822112" w14:textId="77777777" w:rsidR="00B156D9" w:rsidRDefault="00000000">
      <w:r>
        <w:br w:type="page"/>
      </w:r>
    </w:p>
    <w:p w14:paraId="3C3B6D6E" w14:textId="77777777" w:rsidR="00B156D9" w:rsidRDefault="00000000">
      <w:pPr>
        <w:spacing w:after="0" w:line="480" w:lineRule="auto"/>
      </w:pPr>
      <w:r>
        <w:rPr>
          <w:b/>
        </w:rPr>
        <w:lastRenderedPageBreak/>
        <w:t>Figure 7</w:t>
      </w:r>
    </w:p>
    <w:p w14:paraId="4EE1F026" w14:textId="77777777" w:rsidR="00B156D9" w:rsidRDefault="00000000">
      <w:pPr>
        <w:spacing w:after="0" w:line="480" w:lineRule="auto"/>
      </w:pPr>
      <w:r>
        <w:rPr>
          <w:i/>
        </w:rPr>
        <w:t>Funnel Plot: Conscientiousness and Academic Achievement in Online Learning Environments</w:t>
      </w:r>
    </w:p>
    <w:p w14:paraId="4CC6BDD1" w14:textId="77777777" w:rsidR="00B156D9" w:rsidRDefault="00000000">
      <w:pPr>
        <w:jc w:val="center"/>
      </w:pPr>
      <w:r>
        <w:rPr>
          <w:noProof/>
        </w:rPr>
        <w:drawing>
          <wp:inline distT="0" distB="0" distL="0" distR="0" wp14:anchorId="1476315E" wp14:editId="1550A610">
            <wp:extent cx="4572000" cy="39093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nel_C.png"/>
                    <pic:cNvPicPr/>
                  </pic:nvPicPr>
                  <pic:blipFill>
                    <a:blip r:embed="rId14"/>
                    <a:stretch>
                      <a:fillRect/>
                    </a:stretch>
                  </pic:blipFill>
                  <pic:spPr>
                    <a:xfrm>
                      <a:off x="0" y="0"/>
                      <a:ext cx="4572000" cy="3909391"/>
                    </a:xfrm>
                    <a:prstGeom prst="rect">
                      <a:avLst/>
                    </a:prstGeom>
                  </pic:spPr>
                </pic:pic>
              </a:graphicData>
            </a:graphic>
          </wp:inline>
        </w:drawing>
      </w:r>
    </w:p>
    <w:p w14:paraId="7F6CD6DC" w14:textId="77777777" w:rsidR="00B156D9" w:rsidRDefault="00000000">
      <w:pPr>
        <w:spacing w:after="0" w:line="480" w:lineRule="auto"/>
      </w:pPr>
      <w: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i/>
        </w:rPr>
        <w:t>p</w:t>
      </w:r>
      <w:r>
        <w:t xml:space="preserve"> = .094. See Table 4 for full publication-bias assessment.</w:t>
      </w:r>
    </w:p>
    <w:p w14:paraId="0D7BB142" w14:textId="77777777" w:rsidR="00B156D9" w:rsidRDefault="00000000">
      <w:r>
        <w:br w:type="page"/>
      </w:r>
    </w:p>
    <w:p w14:paraId="5D4BE3DA" w14:textId="77777777" w:rsidR="00B156D9" w:rsidRDefault="00000000">
      <w:pPr>
        <w:spacing w:after="0" w:line="480" w:lineRule="auto"/>
      </w:pPr>
      <w:r>
        <w:rPr>
          <w:b/>
        </w:rPr>
        <w:lastRenderedPageBreak/>
        <w:t>Figure 8</w:t>
      </w:r>
    </w:p>
    <w:p w14:paraId="437108D9" w14:textId="77777777" w:rsidR="00B156D9" w:rsidRDefault="00000000">
      <w:pPr>
        <w:spacing w:after="0" w:line="480" w:lineRule="auto"/>
      </w:pPr>
      <w:r>
        <w:rPr>
          <w:i/>
        </w:rPr>
        <w:t>Funnel Plot: Agreeableness and Academic Achievement in Online Learning Environments</w:t>
      </w:r>
    </w:p>
    <w:p w14:paraId="626D40D3" w14:textId="77777777" w:rsidR="00B156D9" w:rsidRDefault="00000000">
      <w:pPr>
        <w:jc w:val="center"/>
      </w:pPr>
      <w:r>
        <w:rPr>
          <w:noProof/>
        </w:rPr>
        <w:drawing>
          <wp:inline distT="0" distB="0" distL="0" distR="0" wp14:anchorId="51FF6F28" wp14:editId="4F5825FA">
            <wp:extent cx="4572000" cy="390939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nel_A.png"/>
                    <pic:cNvPicPr/>
                  </pic:nvPicPr>
                  <pic:blipFill>
                    <a:blip r:embed="rId15"/>
                    <a:stretch>
                      <a:fillRect/>
                    </a:stretch>
                  </pic:blipFill>
                  <pic:spPr>
                    <a:xfrm>
                      <a:off x="0" y="0"/>
                      <a:ext cx="4572000" cy="3909391"/>
                    </a:xfrm>
                    <a:prstGeom prst="rect">
                      <a:avLst/>
                    </a:prstGeom>
                  </pic:spPr>
                </pic:pic>
              </a:graphicData>
            </a:graphic>
          </wp:inline>
        </w:drawing>
      </w:r>
    </w:p>
    <w:p w14:paraId="145CD03F" w14:textId="77777777" w:rsidR="00B156D9" w:rsidRDefault="00000000">
      <w:pPr>
        <w:spacing w:after="0" w:line="480" w:lineRule="auto"/>
      </w:pPr>
      <w: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i/>
        </w:rPr>
        <w:t>p</w:t>
      </w:r>
      <w:r>
        <w:t xml:space="preserve"> = .072. See Table 4 for full publication-bias assessment.</w:t>
      </w:r>
    </w:p>
    <w:p w14:paraId="47ADC273" w14:textId="77777777" w:rsidR="00B156D9" w:rsidRDefault="00000000">
      <w:r>
        <w:br w:type="page"/>
      </w:r>
    </w:p>
    <w:p w14:paraId="70098D24" w14:textId="77777777" w:rsidR="00B156D9" w:rsidRDefault="00000000">
      <w:pPr>
        <w:spacing w:after="0" w:line="480" w:lineRule="auto"/>
      </w:pPr>
      <w:r>
        <w:rPr>
          <w:b/>
        </w:rPr>
        <w:lastRenderedPageBreak/>
        <w:t>Figure 9</w:t>
      </w:r>
    </w:p>
    <w:p w14:paraId="39789657" w14:textId="77777777" w:rsidR="00B156D9" w:rsidRDefault="00000000">
      <w:pPr>
        <w:spacing w:after="0" w:line="480" w:lineRule="auto"/>
      </w:pPr>
      <w:r>
        <w:rPr>
          <w:i/>
        </w:rPr>
        <w:t>Funnel Plot: Openness and Academic Achievement in Online Learning Environments</w:t>
      </w:r>
    </w:p>
    <w:p w14:paraId="622C4F9C" w14:textId="77777777" w:rsidR="00B156D9" w:rsidRDefault="00000000">
      <w:pPr>
        <w:jc w:val="center"/>
      </w:pPr>
      <w:r>
        <w:rPr>
          <w:noProof/>
        </w:rPr>
        <w:drawing>
          <wp:inline distT="0" distB="0" distL="0" distR="0" wp14:anchorId="03B5B680" wp14:editId="6D26F555">
            <wp:extent cx="4572000" cy="390939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nel_O.png"/>
                    <pic:cNvPicPr/>
                  </pic:nvPicPr>
                  <pic:blipFill>
                    <a:blip r:embed="rId16"/>
                    <a:stretch>
                      <a:fillRect/>
                    </a:stretch>
                  </pic:blipFill>
                  <pic:spPr>
                    <a:xfrm>
                      <a:off x="0" y="0"/>
                      <a:ext cx="4572000" cy="3909391"/>
                    </a:xfrm>
                    <a:prstGeom prst="rect">
                      <a:avLst/>
                    </a:prstGeom>
                  </pic:spPr>
                </pic:pic>
              </a:graphicData>
            </a:graphic>
          </wp:inline>
        </w:drawing>
      </w:r>
    </w:p>
    <w:p w14:paraId="58F702DD" w14:textId="77777777" w:rsidR="00B156D9" w:rsidRDefault="00000000">
      <w:pPr>
        <w:spacing w:after="0" w:line="480" w:lineRule="auto"/>
      </w:pPr>
      <w: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i/>
        </w:rPr>
        <w:t>p</w:t>
      </w:r>
      <w:r>
        <w:t xml:space="preserve"> = .045. See Table 4 for full publication-bias assessment.</w:t>
      </w:r>
    </w:p>
    <w:p w14:paraId="1735C768" w14:textId="77777777" w:rsidR="00B156D9" w:rsidRDefault="00000000">
      <w:r>
        <w:br w:type="page"/>
      </w:r>
    </w:p>
    <w:p w14:paraId="052FA292" w14:textId="77777777" w:rsidR="00B156D9" w:rsidRDefault="00000000">
      <w:pPr>
        <w:spacing w:after="0" w:line="480" w:lineRule="auto"/>
      </w:pPr>
      <w:r>
        <w:rPr>
          <w:b/>
        </w:rPr>
        <w:lastRenderedPageBreak/>
        <w:t>Figure 10</w:t>
      </w:r>
    </w:p>
    <w:p w14:paraId="0F7C80F3" w14:textId="77777777" w:rsidR="00B156D9" w:rsidRDefault="00000000">
      <w:pPr>
        <w:spacing w:after="0" w:line="480" w:lineRule="auto"/>
      </w:pPr>
      <w:r>
        <w:rPr>
          <w:i/>
        </w:rPr>
        <w:t>Funnel Plot: Neuroticism and Academic Achievement in Online Learning Environments</w:t>
      </w:r>
    </w:p>
    <w:p w14:paraId="366BAFD0" w14:textId="77777777" w:rsidR="00B156D9" w:rsidRDefault="00000000">
      <w:pPr>
        <w:jc w:val="center"/>
      </w:pPr>
      <w:r>
        <w:rPr>
          <w:noProof/>
        </w:rPr>
        <w:drawing>
          <wp:inline distT="0" distB="0" distL="0" distR="0" wp14:anchorId="0A9EBDDC" wp14:editId="06E65DB1">
            <wp:extent cx="4572000" cy="390939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nel_N.png"/>
                    <pic:cNvPicPr/>
                  </pic:nvPicPr>
                  <pic:blipFill>
                    <a:blip r:embed="rId17"/>
                    <a:stretch>
                      <a:fillRect/>
                    </a:stretch>
                  </pic:blipFill>
                  <pic:spPr>
                    <a:xfrm>
                      <a:off x="0" y="0"/>
                      <a:ext cx="4572000" cy="3909391"/>
                    </a:xfrm>
                    <a:prstGeom prst="rect">
                      <a:avLst/>
                    </a:prstGeom>
                  </pic:spPr>
                </pic:pic>
              </a:graphicData>
            </a:graphic>
          </wp:inline>
        </w:drawing>
      </w:r>
    </w:p>
    <w:p w14:paraId="5C44879E" w14:textId="77777777" w:rsidR="00B156D9" w:rsidRDefault="00000000">
      <w:pPr>
        <w:spacing w:after="0" w:line="480" w:lineRule="auto"/>
      </w:pPr>
      <w: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i/>
        </w:rPr>
        <w:t>p</w:t>
      </w:r>
      <w:r>
        <w:t xml:space="preserve"> = .304. See Table 4 for full publication-bias assessment.</w:t>
      </w:r>
    </w:p>
    <w:p w14:paraId="4C13960F" w14:textId="77777777" w:rsidR="00B156D9" w:rsidRDefault="00000000">
      <w:r>
        <w:br w:type="page"/>
      </w:r>
    </w:p>
    <w:p w14:paraId="2670993D" w14:textId="77777777" w:rsidR="00B156D9" w:rsidRDefault="00000000">
      <w:pPr>
        <w:spacing w:after="0" w:line="480" w:lineRule="auto"/>
      </w:pPr>
      <w:r>
        <w:rPr>
          <w:b/>
        </w:rPr>
        <w:lastRenderedPageBreak/>
        <w:t>Figure 11</w:t>
      </w:r>
    </w:p>
    <w:p w14:paraId="48B38031" w14:textId="77777777" w:rsidR="00B156D9" w:rsidRDefault="00000000">
      <w:pPr>
        <w:spacing w:after="0" w:line="480" w:lineRule="auto"/>
      </w:pPr>
      <w:r>
        <w:rPr>
          <w:i/>
        </w:rPr>
        <w:t>Funnel Plot: Extraversion and Academic Achievement in Online Learning Environments</w:t>
      </w:r>
    </w:p>
    <w:p w14:paraId="2949B922" w14:textId="77777777" w:rsidR="00B156D9" w:rsidRDefault="00000000">
      <w:pPr>
        <w:jc w:val="center"/>
      </w:pPr>
      <w:r>
        <w:rPr>
          <w:noProof/>
        </w:rPr>
        <w:drawing>
          <wp:inline distT="0" distB="0" distL="0" distR="0" wp14:anchorId="4EA50EB1" wp14:editId="2D316967">
            <wp:extent cx="4572000" cy="390939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nel_E.png"/>
                    <pic:cNvPicPr/>
                  </pic:nvPicPr>
                  <pic:blipFill>
                    <a:blip r:embed="rId18"/>
                    <a:stretch>
                      <a:fillRect/>
                    </a:stretch>
                  </pic:blipFill>
                  <pic:spPr>
                    <a:xfrm>
                      <a:off x="0" y="0"/>
                      <a:ext cx="4572000" cy="3909391"/>
                    </a:xfrm>
                    <a:prstGeom prst="rect">
                      <a:avLst/>
                    </a:prstGeom>
                  </pic:spPr>
                </pic:pic>
              </a:graphicData>
            </a:graphic>
          </wp:inline>
        </w:drawing>
      </w:r>
    </w:p>
    <w:p w14:paraId="0C502552" w14:textId="77777777" w:rsidR="00B156D9" w:rsidRDefault="00000000">
      <w:pPr>
        <w:spacing w:after="0" w:line="480" w:lineRule="auto"/>
      </w:pPr>
      <w: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i/>
        </w:rPr>
        <w:t>p</w:t>
      </w:r>
      <w:r>
        <w:t xml:space="preserve"> = .255. See Table 4 for full publication-bias assessment.</w:t>
      </w:r>
    </w:p>
    <w:sectPr w:rsidR="00B156D9" w:rsidSect="00034616">
      <w:head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EAE04" w14:textId="77777777" w:rsidR="00E71CCE" w:rsidRDefault="00E71CCE">
      <w:pPr>
        <w:spacing w:after="0" w:line="240" w:lineRule="auto"/>
      </w:pPr>
      <w:r>
        <w:separator/>
      </w:r>
    </w:p>
  </w:endnote>
  <w:endnote w:type="continuationSeparator" w:id="0">
    <w:p w14:paraId="72541599" w14:textId="77777777" w:rsidR="00E71CCE" w:rsidRDefault="00E71C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0EFCC7" w14:textId="77777777" w:rsidR="00E71CCE" w:rsidRDefault="00E71CCE">
      <w:pPr>
        <w:spacing w:after="0" w:line="240" w:lineRule="auto"/>
      </w:pPr>
      <w:r>
        <w:separator/>
      </w:r>
    </w:p>
  </w:footnote>
  <w:footnote w:type="continuationSeparator" w:id="0">
    <w:p w14:paraId="42575199" w14:textId="77777777" w:rsidR="00E71CCE" w:rsidRDefault="00E71C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150DE" w14:textId="77777777" w:rsidR="00B156D9" w:rsidRDefault="00000000">
    <w:pPr>
      <w:pStyle w:val="a5"/>
    </w:pPr>
    <w:r>
      <w:t>BIG FIVE AND ONLINE LEARNING</w:t>
    </w:r>
    <w:r>
      <w:tab/>
    </w:r>
    <w:r>
      <w:tab/>
    </w:r>
    <w:r>
      <w:fldChar w:fldCharType="begin"/>
    </w:r>
    <w:r>
      <w:instrText>PAGE</w:instrText>
    </w:r>
    <w:r w:rsidR="005825C8">
      <w:fldChar w:fldCharType="separate"/>
    </w:r>
    <w:r w:rsidR="005825C8">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5580548">
    <w:abstractNumId w:val="8"/>
  </w:num>
  <w:num w:numId="2" w16cid:durableId="2118254762">
    <w:abstractNumId w:val="6"/>
  </w:num>
  <w:num w:numId="3" w16cid:durableId="1556234405">
    <w:abstractNumId w:val="5"/>
  </w:num>
  <w:num w:numId="4" w16cid:durableId="897403325">
    <w:abstractNumId w:val="4"/>
  </w:num>
  <w:num w:numId="5" w16cid:durableId="371926581">
    <w:abstractNumId w:val="7"/>
  </w:num>
  <w:num w:numId="6" w16cid:durableId="681736020">
    <w:abstractNumId w:val="3"/>
  </w:num>
  <w:num w:numId="7" w16cid:durableId="831408162">
    <w:abstractNumId w:val="2"/>
  </w:num>
  <w:num w:numId="8" w16cid:durableId="1911385837">
    <w:abstractNumId w:val="1"/>
  </w:num>
  <w:num w:numId="9" w16cid:durableId="5910867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1B6"/>
    <w:rsid w:val="0015074B"/>
    <w:rsid w:val="0029639D"/>
    <w:rsid w:val="00326F90"/>
    <w:rsid w:val="005825C8"/>
    <w:rsid w:val="00AA1D8D"/>
    <w:rsid w:val="00B156D9"/>
    <w:rsid w:val="00B47730"/>
    <w:rsid w:val="00C8216A"/>
    <w:rsid w:val="00CB0664"/>
    <w:rsid w:val="00E71C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22A25692"/>
  <w14:defaultImageDpi w14:val="300"/>
  <w15:docId w15:val="{DF8D0B85-58F9-4CF6-A86C-C2F8003FD6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Times New Roman" w:hAnsi="Times New Roman"/>
      <w:sz w:val="24"/>
    </w:rPr>
  </w:style>
  <w:style w:type="paragraph" w:styleId="1">
    <w:name w:val="heading 1"/>
    <w:basedOn w:val="a1"/>
    <w:next w:val="a1"/>
    <w:link w:val="10"/>
    <w:uiPriority w:val="9"/>
    <w:qFormat/>
    <w:rsid w:val="00FC693F"/>
    <w:pPr>
      <w:keepNext/>
      <w:keepLines/>
      <w:spacing w:after="0"/>
      <w:jc w:val="center"/>
      <w:outlineLvl w:val="0"/>
    </w:pPr>
    <w:rPr>
      <w:rFonts w:asciiTheme="majorHAnsi" w:eastAsiaTheme="majorEastAsia" w:hAnsiTheme="majorHAnsi" w:cstheme="majorBidi"/>
      <w:b/>
      <w:bCs/>
      <w:color w:val="000000"/>
      <w:szCs w:val="28"/>
    </w:rPr>
  </w:style>
  <w:style w:type="paragraph" w:styleId="21">
    <w:name w:val="heading 2"/>
    <w:basedOn w:val="a1"/>
    <w:next w:val="a1"/>
    <w:link w:val="22"/>
    <w:uiPriority w:val="9"/>
    <w:unhideWhenUsed/>
    <w:qFormat/>
    <w:rsid w:val="00FC693F"/>
    <w:pPr>
      <w:keepNext/>
      <w:keepLines/>
      <w:spacing w:after="0"/>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88</Pages>
  <Words>21147</Words>
  <Characters>120542</Characters>
  <Application>Microsoft Office Word</Application>
  <DocSecurity>0</DocSecurity>
  <Lines>1004</Lines>
  <Paragraphs>282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141407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Eisuke Tokiwa</cp:lastModifiedBy>
  <cp:revision>3</cp:revision>
  <dcterms:created xsi:type="dcterms:W3CDTF">2013-12-23T23:15:00Z</dcterms:created>
  <dcterms:modified xsi:type="dcterms:W3CDTF">2026-06-16T07:11:00Z</dcterms:modified>
  <cp:category/>
</cp:coreProperties>
</file>