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Editor-in-Chief IEEE Access Institute of Electrical and Electronics Engineers (IEEE)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Editor-in-Chief,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Person-Level versus System-Level Anti-Harassment Interventions: HEXACO 7-Typology Evidence That Structure Dominates Personality in Japanese Workplaces, for consideration as a regular article in IEEE Access. This work continues the computational-psychology research program initiated in my prior IEEE Access publication on HEXACO cluster typology in a non-WEIRD Japanese sample (doi: 10.1109/ACCESS.2026.3651324) and applies the same emphasis on methodological transparency and reproducibility that IEEE Access requires.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Why IEEE Access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IEEE Access is the natural home for this work for three reasons: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 / computational density. The manuscript implements an end-to-end nine-stage pre-registered pipeline combining (i) Bias-Corrected accelerated (BCa) bootstrap with a four-step priority-cascade fallback for degenerate cells, (ii) Beta-Binomial empirical-Bayes shrinkage with Method-of-Moments hyperprior diagnostics and three rejection triggers, (iii) the Berger–Hsu intersection-union test, (iv) target-trial-emulation counterfactual contrasts under explicit positivity diagnostics, and (v) a transportability factor sweep stress-testing classification robustness. This level of computational machinery — verified by SHA-256 hash-locked outputs (make verify PASS) on a Docker-pinned canonical platform — fits IEEE Access's emphasis on technically rigorous, fully reproducible work.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Open Access mandate alignment. IEEE Access's gold-OA model + CC-BY 4.0 license aligns with this study's pre-registration commitments (full GitHub source, OSF artifact deposit, public Wiki access mechanism for IRB-restricted individual data). Code (MIT-licensed) and HDF5 supplementary artifacts are already publicly archived; the readership best served by free, immediate access to such artifacts (engineering practitioners, occupational-health researchers, data scientists in HR analytics) is IEEE Access's readership.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Companion-paper continuity. The seven-cluster HEXACO typology used as the fixed parameter set in this study was published in IEEE Access (Tokiwa, 2026, doi: 10.1109/ACCESS.2026.3651324). Submitting the present microsimulation extension to the same venue preserves bibliographic continuity for citing readers and integrates two stages of the same research program in one journal's permanent archive.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workplace-harassment data, partitioned into 14 cells (7 HEXACO clusters × 2 genders) and re-weighted with Statistics Bureau (Ministry of Internal Affairs and Communications) Labour Force Survey 2022 marginals, we tested three pre-registered counterfactual interventions: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(A) universal personality intervention shifting Honesty-Humility, Agreeableness, and Emotionality by +0.3 SD;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(B) targeted personality intervention applying +0.40 SD on Honesty-Humility to individuals already in the low-prevalence HEXACO Cluster {0, 4, 6} subgroup;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(C) structural cell-level propensity reduction of 20 %,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classifies the configuration as REVERSAL: ΔP_A = −0.0061 ([−0.0207, +0.0062]) and ΔP_B = −0.0059 ([−0.0207, +0.0066]) are statistically null, whereas ΔP_C = +0.0349 ([+0.0264, +0.0435]) is positive and robust. The classification is preserved across all four pre-registered cultural-attenuation factors (F = 0.3 to 1.0).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work, each speaking directly to IEEE Access's methodological-breadth criteria: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code, SHA-256 hash-locked outputs, 56-test pytest suite all passing).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the manuscript repositions HEXACO 7-typology as a stratification variable identifying differentially exposed populations rather than as an intervention target. This framing rejects victim-blaming readings of harassment exposure and aligns with workplace-ethics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percentage-point post-Power-Harassment-Prevention-Law decline) provides a rare quasi-validation of the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IEEE Access policy compliance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Originality: The manuscript has not been previously published, in whole or in part, and is not under consideration at any other journal. The companion IEEE Access publication (Tokiwa 2026) is a distinct paper covering the cluster-typology derivation; the present submission is a microsimulation analysis using the previously-published cluster centroids as fixed parameters.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Source code is publicly archived under MIT license at &lt;https://github.com/etoki/paper&gt; (directory: simulation/); supplementary artifacts at OSF DOI 10.17605/OSF.IO/3Y54U; SHA-256 hash-verified reproduction via make verify. The Docker container plus pinned uv.lock ensure byte-identical regeneration on the canonical platform.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Ethics: The N = 354 individual-level data re-analyzed in this study were originally collected under an IRB-approved protocol (Tokiwa, 2025, Research Square preprint, doi: 10.21203/rs.3.rs-7756124/v1). Secondary analysis of de-identified records does not require additional ethics review.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Conflict of Interest: The author declares no competing interests, financial or non-financial.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Funding: This research received no external funding; it was self-funded by SUNBLAZE Co., Ltd. (Tokyo, Japan).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Open Access fee acknowledgment: The author acknowledges the IEEE Access article processing charge (APC) and is prepared to comply upon acceptance.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Generative AI disclosure: Generative AI (Anthropic Claude) was used as a drafting and code-review assistant; all final claims, derivations, and statistical conclusions are the author's responsibility. This is disclosed in the manuscript ACKNOWLEDGMENT section per the IEEE 2025 AI use policy.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following authors of methods or substantive works cited in the manuscript have publicly demonstrated relevant IEEE Access-aligned expertise (computational rigor + applied workplace / personality science)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Miguel A. Hernán (Harvard T. H. Chan School of Public Health, USA) — co-author of the target-trial-emulation framework operationalized in Stages 6–7. Frequent reviewer for methodologically demanding venues.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Bradley Efron (Stanford University, USA) — author of the BCa bootstrap [Efron, 1987], the central CI method used in our four-step cascade. Foundational statistical-computing expertise.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Roger L. Berger (North Carolina State University, USA) — co-author of the Berger–Hsu intersection-union test [Berger &amp; Hsu, 1996] used for H7 evaluation. IEEE-Access-friendly methodological depth.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Joon Sung Park (Stanford University, USA) — first author of the generative-agents work [Park et al., 2023] cited in our Phase 2 follow-up plan. Brings computational-engineering perspective on agent-based extensions.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Morten Birkeland Nielsen (National Institute of Occupational Health, Norway) — first author of the cross-cultural meta-analysis [Nielsen et al., 2017] anchoring our F = 0.5 transportability factor. Substantive workplace-harassment expertise.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respectfully request reviewers familiar with statistical-computing methodology (bootstrap, empirical Bayes, IUT) and the Stage 2 Registered Report process; IEEE Access readers most directly served by this manuscript are at the intersection of computational psychology, occupational-health analytics, and pre-registered causal inference.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 tasks (sole-authored) have been completed by me.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Founder, SUNBLAZE Co., Ltd. Nishi-Shinjuku 3-3-13, Shinjuku-ku, Tokyo 160-0023,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