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document"/>
      </w:pPr>
      <w:r>
        <w:t>Cultural Dimensions in Online Learning: A Hofstede-Moderated Within-Asia Synthesis of the Big Five and Academic Achievement, with a Focused Look at the Japanese Context</w:t>
      </w:r>
    </w:p>
    <w:p>
      <w:pPr>
        <w:pStyle w:val="Authors"/>
      </w:pPr>
      <w:r>
        <w:t>Eisuke Tokiwa</w:t>
      </w:r>
    </w:p>
    <w:p>
      <w:pPr>
        <w:pStyle w:val="Affiliation"/>
      </w:pPr>
      <w:r>
        <w:t>SUNBLAZE Co., Ltd., Tokyo, Japan; eisuke.tokiwa@sunblaze.jp; ORCID 0009-0009-7124-6669</w:t>
      </w:r>
    </w:p>
    <w:p>
      <w:pPr>
        <w:pStyle w:val="Abstract"/>
      </w:pPr>
      <w:r>
        <w:rPr>
          <w:b/>
        </w:rPr>
        <w:t xml:space="preserve">Background. </w:t>
      </w:r>
      <w:r>
        <w:t xml:space="preserve">The parent meta-analysis (Research Square preprint, DOI 10.21203/rs.3.rs-9513298/v1) reports an Extraversion × Region moderator in Big Five – academic-achievement research on online learning (Asian pooled r = −0.095, k = 2, vs non-Asian r = +0.050, k = 7; Knapp–Hartung meta-regression F(1, 7) = 12.94, p = .009), but does not decompose the Asia bin into its country-level constituents. </w:t>
      </w:r>
      <w:r>
        <w:rPr>
          <w:b/>
        </w:rPr>
        <w:t xml:space="preserve">Objective. </w:t>
      </w:r>
      <w:r>
        <w:t xml:space="preserve">To (i) describe how the Asian primary-pool studies differ on Hofstede 6-D country scores, and (ii) explore whether the observed Big Five – outcome directions in Japan-based studies correspond to the directions suggested by country-level trait – culture associations (Hofstede &amp; McCrae 2004). </w:t>
      </w:r>
      <w:r>
        <w:rPr>
          <w:b/>
        </w:rPr>
        <w:t xml:space="preserve">Methods. </w:t>
      </w:r>
      <w:r>
        <w:t xml:space="preserve">The Asian primary pool comprises k = 2 studies with extractable Pearson r (Yu 2021, China; Rivers 2021, Japan); a third Japan-based study (Tokiwa 2025, K-12) contributes descriptive Spearman ρ. Random-effects pools use REML + HKSJ. Because residual df = 0, fits on Hofstede scores are reported only as descriptive two-country contrasts, not as meta-regression evidence. Country-level correlations from Hofstede &amp; McCrae (2004) serve as an exploratory reference point, and engagement outcomes (Tokiwa, Spearman ρ) are kept separate from achievement outcomes (Rivers, Pearson r). </w:t>
      </w:r>
      <w:r>
        <w:rPr>
          <w:b/>
        </w:rPr>
        <w:t xml:space="preserve">Results. </w:t>
      </w:r>
      <w:r>
        <w:t xml:space="preserve">The observed signs correspond to the country-level reference for 3 of 5 traits (Conscientiousness+, Extraversion−, Neuroticism+) and differ for Agreeableness and Openness. Neuroticism is positive in direction in both Japan studies (engagement in one, course grade in the other; neither correlation is statistically significant). This contrasts with the null-to-negative pattern in earlier meta-analyses, including their Asian samples (Poropat 2009; Mammadov 2022), and is in line with Japan's very high Uncertainty Avoidance (UAI = 92) and Masculinity (MAS = 95). Because country-level associations do not imply individual-level effects, and the two outcomes differ in construct and metric, this correspondence is a hypothesis rather than replicated evidence about achievement. </w:t>
      </w:r>
      <w:r>
        <w:rPr>
          <w:b/>
        </w:rPr>
        <w:t xml:space="preserve">Conclusion. </w:t>
      </w:r>
      <w:r>
        <w:t xml:space="preserve">Treating Asia as one moderator level hides country-level differences that the current evidence cannot resolve. With k = 2, this is an exploratory methodological and narrative synthesis: it flags within-Asia heterogeneity, the gap between culture-level and individual-level data, and outcome and instrument confounds (60-item BFI-2-J vs 10-item TIPI-J) as prerequisites for future Japan-specific syntheses. </w:t>
      </w:r>
    </w:p>
    <w:p>
      <w:pPr>
        <w:pStyle w:val="CCSDescription"/>
      </w:pPr>
      <w:r>
        <w:rPr>
          <w:b/>
        </w:rPr>
        <w:t xml:space="preserve">CCS CONCEPTS • </w:t>
      </w:r>
      <w:r>
        <w:t>Applied computing • Education • E-learning</w:t>
      </w:r>
    </w:p>
    <w:p>
      <w:pPr>
        <w:pStyle w:val="KeyWords"/>
      </w:pPr>
      <w:r>
        <w:t>Additional Keywords and Phrases: meta-analysis, Big Five personality traits, online learning, Hofstede cultural dimensions, Japan, cross-cultural psychology</w:t>
      </w:r>
    </w:p>
    <w:p>
      <w:pPr>
        <w:pStyle w:val="Head1"/>
      </w:pPr>
      <w:r>
        <w:t>INTRODUCTION</w:t>
      </w:r>
    </w:p>
    <w:p>
      <w:pPr>
        <w:pStyle w:val="PostHeadPara"/>
      </w:pPr>
      <w:r>
        <w:t>The Big Five – academic-achievement link is robust at the trait level (Poropat 2009; Mammadov 2022; Chen, Cheung, &amp; Zeng 2025) but is increasingly recognised as culturally conditional, with Mammadov (2022) reporting larger correlations in Asian samples than in other regions for every trait. The parent preprint (Tokiwa, 2026, DOI 10.21203/rs.3.rs-9513298/v1) reports a binary Asia / non-Asia contrast with Extraversion × Region the headline (Asian r = −0.131 vs non-Asian r = +0.050) but does not decompose the Asian bin into its country-level constituents — even though Japan, China, Korea, and Taiwan differ sharply on Hofstede Power Distance, UAI, MAS, and IND scores (Hofstede Insights 2024). Re-analysed here, with β converted to r by the published Peterson–Brown rule (the preprint pushed negative β a further .05 from zero) and the contrast tested with a Knapp–Hartung mixed-effects meta-regression (the preprint's Q_between = 46.43 applied a large-sample χ² test to small-sample HKSJ standard errors), the Asian estimate is r = −0.095 and the contrast F(1, 7) = 12.94, p = .009. Either way, the contrast rests on only two Asian studies.</w:t>
      </w:r>
    </w:p>
    <w:p>
      <w:pPr>
        <w:pStyle w:val="Para"/>
      </w:pPr>
      <w:r>
        <w:t>This paper asks whether, once the Asia bin is decomposed, Hofstede's cultural dimensions help describe the direction of Big Five – outcome correlations within Asia. With only k = 2 Asian primary-pool studies contributing extractable r (A-28 Yu, China; A-31 Rivers, Japan), a regression on country scores supports no inference, so we report those fits only as descriptive two-country contrasts. We then compare the observed directions in the two Japan-based studies (Tokiwa 2025, K-12; Rivers 2021, undergraduate) with the directions suggested by country-level trait – culture correlations (Hofstede &amp; McCrae 2004). This is an exploratory correspondence, not a prediction test: the reference correlations describe nations rather than learners, and the two Japan studies measure different outcomes (platform engagement vs course grade). The paper is therefore positioned as an exploratory methodological and narrative synthesis.</w:t>
      </w:r>
    </w:p>
    <w:p>
      <w:pPr>
        <w:pStyle w:val="Head1"/>
      </w:pPr>
      <w:r>
        <w:t>RELATED WORK</w:t>
      </w:r>
    </w:p>
    <w:p>
      <w:pPr>
        <w:pStyle w:val="Head2"/>
      </w:pPr>
      <w:r>
        <w:t>Hofstede's framework, Big Five linkages, and educational implications</w:t>
      </w:r>
    </w:p>
    <w:p>
      <w:pPr>
        <w:pStyle w:val="PostHeadPara"/>
      </w:pPr>
      <w:r>
        <w:t>Hofstede's model operationalises national culture in five dimensions (Hofstede 2001), extended to six with Indulgence (Hofstede, Hofstede, &amp; Minkov 2010) — Power Distance (PDI), Individualism (IDV), Masculinity (MAS), Uncertainty Avoidance (UAI), Long-Term Orientation (LTO), Indulgence (IND); latest scores from Hofstede Insights (2024). Critiques of the framework for ecological-fallacy risk and for the 1970s IBM-sample provenance (McSweeney, 2002) are acknowledged, although the uncertainty-avoidance dimension has been replicated in nationally representative European samples (Minkov &amp; Hofstede, 2014). We use the dimensions as country-level proxies for shared cultural orientation, not as individual-level claims.</w:t>
      </w:r>
    </w:p>
    <w:p>
      <w:pPr>
        <w:pStyle w:val="Para"/>
      </w:pPr>
      <w:r>
        <w:t>Big Five × Hofstede linkages. Hofstede &amp; McCrae (2004) report country-level correlations between aggregate NEO-PI-R Big Five trait means and Hofstede dimensions across 33 countries (HM04 Table 1, zero-order r): IDV × E = +.64; PDI × E = −.57; PDI × C = +.52; PDI × O = −.39; MAS × O = +.40; MAS × N = +.57; MAS × A = −.36; UAI × N = +.58; UAI × A = −.55. Hofstede (1986), applying the 4-D model directly to education, characterises strong-UAI societies as ones in which 'students feel comfortable in structured learning situations', 'students are rewarded for accuracy in problem solving', and 'teachers are allowed to behave emotionally (and so are students)' — sketching a plausible mechanism by which trait Neuroticism (anxiety, sensitivity) may promote academic engagement in high-UAI contexts. Schmitt et al. (2007) place Japan's trait N mean at 57.87, the highest of the 56 nations; Allik &amp; McCrae (2004) further note that Japan does not cluster cleanly with other East Asian samples in their 36-culture geography. Together these undermine the 'Asia' moderator level as a substitute for country-specific analysis.</w:t>
      </w:r>
    </w:p>
    <w:p>
      <w:pPr>
        <w:pStyle w:val="Para"/>
      </w:pPr>
      <w:r>
        <w:t>Japan's profile (PDI = 54, IDV = 46, MAS = 95, UAI = 92) implies, at the country level, the reference directions listed in Section 4.4 (Table 4). These are not predictions for individual learners: Hofstede &amp; McCrae (2004) correlate national culture scores with national trait means, and the same association need not hold for trait – outcome correlations within one country. We use them only as a reference point. The N reference is of particular interest because it runs opposite to the null-to-negative N pattern in earlier Big Five – achievement meta-analyses, including their Asian samples (Poropat, 2009; Mammadov, 2022).</w:t>
      </w:r>
    </w:p>
    <w:p>
      <w:pPr>
        <w:pStyle w:val="Head2"/>
      </w:pPr>
      <w:r>
        <w:t>Asian and collectivistic samples in earlier meta-analyses</w:t>
      </w:r>
    </w:p>
    <w:p>
      <w:pPr>
        <w:pStyle w:val="PostHeadPara"/>
      </w:pPr>
      <w:r>
        <w:t>Earlier meta-analyses of mostly face-to-face samples do not show a weaker or negative Extraversion effect in Asia. Mammadov (2022) found that Asian samples yielded larger correlations than other regions for every trait: Conscientiousness ρ = 0.35, Extraversion ρ = 0.16 and Neuroticism ρ = −0.19. Chen et al. (2025) found Conscientiousness equally strong in individualistic and collectivistic contexts (r = 0.21 in both), and a small negative Extraversion correlation only in individualistic contexts (r = −0.036; collectivistic r = 0.024, n.s.). The negative Asian Extraversion estimate in the online-learning pool (r = −0.095) therefore runs against, rather than with, this evidence — one more reason to examine the Asian studies one by one rather than as a single region.</w:t>
      </w:r>
    </w:p>
    <w:p>
      <w:pPr>
        <w:pStyle w:val="Head2"/>
      </w:pPr>
      <w:r>
        <w:t>Japanese online learning context</w:t>
      </w:r>
    </w:p>
    <w:p>
      <w:pPr>
        <w:pStyle w:val="PostHeadPara"/>
      </w:pPr>
      <w:r>
        <w:t>The two Japan-based studies in the corpus come from two different settings. A-25 Tokiwa (2025) studied third-year high-school students using the StudySapuri commercial platform (asynchronous, self-paced video lectures plus practice tests). A-31 Rivers (2021) studied second-year university students in a compulsory 15-week asynchronous communications course delivered through Moodle during the COVID-19 campus closure. Both studies use asynchronous formats, but their personality instruments (60-item BFI-2-J vs 10-item TIPI-J) differ by an order of magnitude in measurement granularity, which is a major between-study confound that the present synthesis surfaces.</w:t>
      </w:r>
    </w:p>
    <w:p>
      <w:pPr>
        <w:pStyle w:val="Head1"/>
      </w:pPr>
      <w:r>
        <w:t>METHOD</w:t>
      </w:r>
    </w:p>
    <w:p>
      <w:pPr>
        <w:pStyle w:val="Head2"/>
      </w:pPr>
      <w:r>
        <w:t>Data</w:t>
      </w:r>
    </w:p>
    <w:p>
      <w:pPr>
        <w:pStyle w:val="PostHeadPara"/>
      </w:pPr>
      <w:r>
        <w:t>The corpus is inherited from the parent preprint via the derived studies dataset. PRISMA 2020 standards (Page et al., 2021) were followed; Figure 1 reproduces the flow diagram with the ICEEL terminal box marking the Asian-subset extraction (k = 2 with extractable r per trait; A-25 Tokiwa Japan retained for qualitative synthesis only). The Asian subset is extracted by region == 'Asia'. After requiring extractable Pearson r per trait, k = 2 Asian primary-pool studies remain: A-28 Yu (China; r converted from β with the Peterson–Brown rule r = .98β + .05λ) and A-31 Rivers (Japan; direct r). Two further Asian primary-pool studies (A-25 Tokiwa, A-26 Wang) are present in the qualitative synthesis but do not contribute extractable r values.</w:t>
      </w:r>
    </w:p>
    <w:p>
      <w:r>
        <w:drawing>
          <wp:inline xmlns:a="http://schemas.openxmlformats.org/drawingml/2006/main" xmlns:pic="http://schemas.openxmlformats.org/drawingml/2006/picture">
            <wp:extent cx="3600000" cy="4493165"/>
            <wp:docPr id="1" name="Picture 1"/>
            <wp:cNvGraphicFramePr>
              <a:graphicFrameLocks noChangeAspect="1"/>
            </wp:cNvGraphicFramePr>
            <a:graphic>
              <a:graphicData uri="http://schemas.openxmlformats.org/drawingml/2006/picture">
                <pic:pic>
                  <pic:nvPicPr>
                    <pic:cNvPr id="0" name="prisma_flow_iceel.png"/>
                    <pic:cNvPicPr/>
                  </pic:nvPicPr>
                  <pic:blipFill>
                    <a:blip r:embed="rId29"/>
                    <a:stretch>
                      <a:fillRect/>
                    </a:stretch>
                  </pic:blipFill>
                  <pic:spPr>
                    <a:xfrm>
                      <a:off x="0" y="0"/>
                      <a:ext cx="3600000" cy="4493165"/>
                    </a:xfrm>
                    <a:prstGeom prst="rect"/>
                  </pic:spPr>
                </pic:pic>
              </a:graphicData>
            </a:graphic>
          </wp:inline>
        </w:drawing>
      </w:r>
    </w:p>
    <w:p>
      <w:pPr>
        <w:pStyle w:val="FigureCaption"/>
      </w:pPr>
      <w:r>
        <w:t>Figure 1: PRISMA 2020 flow diagram (ICEEL 2026 submission). Identification → Screening → Eligibility → Included counts. The ICEEL terminal box marks the Asian primary-pool subset (k = 2 with extractable r per trait: A-28 Yu, China; A-31 Rivers, Japan; plus A-25 Tokiwa Japan in narrative synthesis). Adapted from Page et al. (2021), BMJ 372, n71.</w:t>
      </w:r>
    </w:p>
    <w:p>
      <w:pPr>
        <w:pStyle w:val="Head2"/>
      </w:pPr>
      <w:r>
        <w:t>Hofstede cultural-dimensions table</w:t>
      </w:r>
    </w:p>
    <w:p>
      <w:pPr>
        <w:pStyle w:val="PostHeadPara"/>
      </w:pPr>
      <w:r>
        <w:t>Country-level Hofstede 6-D scores are encoded inline in the analysis script using the canonical Hofstede Insights values. For the Asian primary-pool countries:</w:t>
      </w:r>
    </w:p>
    <w:p>
      <w:pPr>
        <w:pStyle w:val="Para"/>
      </w:pPr>
      <w:r>
        <w:t>Japan: PDI = 54, IDV = 46, MAS = 95, UAI = 92, LTO = 88, IND = 42. China: PDI = 80, IDV = 20, MAS = 66, UAI = 30, LTO = 87, IND = 24.</w:t>
      </w:r>
    </w:p>
    <w:p>
      <w:pPr>
        <w:pStyle w:val="Para"/>
      </w:pPr>
      <w:r>
        <w:t>These two countries differ most sharply on Individualism (Japan +26), Power Distance (China +26), Masculinity (Japan +29), Uncertainty Avoidance (Japan +62), and Indulgence (Japan +18), with similar Long-Term Orientation.</w:t>
      </w:r>
    </w:p>
    <w:p>
      <w:pPr>
        <w:pStyle w:val="Head2"/>
      </w:pPr>
      <w:r>
        <w:t>Statistical model</w:t>
      </w:r>
    </w:p>
    <w:p>
      <w:pPr>
        <w:pStyle w:val="PostHeadPara"/>
      </w:pPr>
      <w:r>
        <w:t>Per trait, REML + HKSJ pooled r is computed on the k = 2 Asian primary-pool studies (back-transformed 95 % CI reported), with τ² estimated by maximising the restricted likelihood. For each (trait, dimension) pair, a weighted line is fit on the Hofstede score (weights = 1 / (v + τ²), τ² from REML). Because k = 2, residual df = 0: each line passes exactly through the two study estimates, so its slope is the Japan – China difference divided by the difference in country scores. The slopes are therefore reported as descriptive two-country contrasts, not as meta-regression evidence.</w:t>
      </w:r>
    </w:p>
    <w:p>
      <w:pPr>
        <w:pStyle w:val="Head3"/>
      </w:pPr>
      <w:r>
        <w:t>Japan synthesis.</w:t>
      </w:r>
    </w:p>
    <w:p>
      <w:pPr>
        <w:pStyle w:val="PostHeadPara"/>
      </w:pPr>
      <w:r>
        <w:t>The two Japan primary-pool studies are tabulated side-by-side on N, modality, education level, instrument, outcome, and per-trait correlations. Their outcomes are kept separate: A-25 Tokiwa reports Spearman ρ with platform engagement and mastery (learning behaviour), whereas A-31 Rivers reports Pearson r with course grade (achievement). The two are compared side by side, not pooled or treated as replications of each other.</w:t>
      </w:r>
    </w:p>
    <w:p>
      <w:pPr>
        <w:pStyle w:val="Head2"/>
      </w:pPr>
      <w:r>
        <w:t>Reproducibility</w:t>
      </w:r>
    </w:p>
    <w:p>
      <w:pPr>
        <w:pStyle w:val="PostHeadPara"/>
      </w:pPr>
      <w:r>
        <w:t>All numerical results are produced by run_hofstede_meta.py under scripts/. Pooling primitives (Fisher z, var z, REML τ², HKSJ-adjusted CI) are imported from analysis/pool.py in the parent preprint repository.</w:t>
      </w:r>
    </w:p>
    <w:p>
      <w:pPr>
        <w:pStyle w:val="Head1"/>
      </w:pPr>
      <w:r>
        <w:t>RESULTS</w:t>
      </w:r>
    </w:p>
    <w:p>
      <w:pPr>
        <w:pStyle w:val="Head2"/>
      </w:pPr>
      <w:r>
        <w:t>Asian-subset pooled correlations</w:t>
      </w:r>
    </w:p>
    <w:p>
      <w:pPr>
        <w:pStyle w:val="PostHeadPara"/>
      </w:pPr>
      <w:r>
        <w:t>Table 1 reports the per-trait pooled correlations on the Asian primary-pool subset.</w:t>
      </w:r>
    </w:p>
    <w:p>
      <w:pPr>
        <w:pStyle w:val="TableCaption"/>
      </w:pPr>
      <w:r>
        <w:t>Table 1: Asian-subset random-effects pooled correlations (REML + HKSJ; k = 2 per trait; A-28 Yu China; A-31 Rivers Japan).</w:t>
      </w:r>
    </w:p>
    <w:tbl>
      <w:tblPr>
        <w:tblStyle w:val="a9"/>
        <w:tblW w:type="auto" w:w="0"/>
        <w:tblLook w:firstColumn="1" w:firstRow="1" w:lastColumn="0" w:lastRow="0" w:noHBand="0" w:noVBand="1" w:val="04A0"/>
      </w:tblPr>
      <w:tblGrid>
        <w:gridCol w:w="1752"/>
        <w:gridCol w:w="1752"/>
        <w:gridCol w:w="1752"/>
        <w:gridCol w:w="1752"/>
        <w:gridCol w:w="1752"/>
      </w:tblGrid>
      <w:tr>
        <w:tc>
          <w:tcPr>
            <w:tcW w:type="dxa" w:w="1752"/>
          </w:tcPr>
          <w:p>
            <w:r/>
            <w:r>
              <w:rPr>
                <w:b/>
                <w:sz w:val="16"/>
              </w:rPr>
              <w:t>Trait</w:t>
            </w:r>
          </w:p>
        </w:tc>
        <w:tc>
          <w:tcPr>
            <w:tcW w:type="dxa" w:w="1752"/>
          </w:tcPr>
          <w:p>
            <w:r/>
            <w:r>
              <w:rPr>
                <w:b/>
                <w:sz w:val="16"/>
              </w:rPr>
              <w:t>k</w:t>
            </w:r>
          </w:p>
        </w:tc>
        <w:tc>
          <w:tcPr>
            <w:tcW w:type="dxa" w:w="1752"/>
          </w:tcPr>
          <w:p>
            <w:r/>
            <w:r>
              <w:rPr>
                <w:b/>
                <w:sz w:val="16"/>
              </w:rPr>
              <w:t>N (pooled)</w:t>
            </w:r>
          </w:p>
        </w:tc>
        <w:tc>
          <w:tcPr>
            <w:tcW w:type="dxa" w:w="1752"/>
          </w:tcPr>
          <w:p>
            <w:r/>
            <w:r>
              <w:rPr>
                <w:b/>
                <w:sz w:val="16"/>
              </w:rPr>
              <w:t>r [95 % CI]</w:t>
            </w:r>
          </w:p>
        </w:tc>
        <w:tc>
          <w:tcPr>
            <w:tcW w:type="dxa" w:w="1752"/>
          </w:tcPr>
          <w:p>
            <w:r/>
            <w:r>
              <w:rPr>
                <w:b/>
                <w:sz w:val="16"/>
              </w:rPr>
              <w:t>I²</w:t>
            </w:r>
          </w:p>
        </w:tc>
      </w:tr>
      <w:tr>
        <w:tc>
          <w:tcPr>
            <w:tcW w:type="dxa" w:w="1752"/>
          </w:tcPr>
          <w:p>
            <w:r/>
            <w:r>
              <w:rPr>
                <w:sz w:val="16"/>
              </w:rPr>
              <w:t>O</w:t>
            </w:r>
          </w:p>
        </w:tc>
        <w:tc>
          <w:tcPr>
            <w:tcW w:type="dxa" w:w="1752"/>
          </w:tcPr>
          <w:p>
            <w:r/>
            <w:r>
              <w:rPr>
                <w:sz w:val="16"/>
              </w:rPr>
              <w:t>2</w:t>
            </w:r>
          </w:p>
        </w:tc>
        <w:tc>
          <w:tcPr>
            <w:tcW w:type="dxa" w:w="1752"/>
          </w:tcPr>
          <w:p>
            <w:r/>
            <w:r>
              <w:rPr>
                <w:sz w:val="16"/>
              </w:rPr>
              <w:t>1301</w:t>
            </w:r>
          </w:p>
        </w:tc>
        <w:tc>
          <w:tcPr>
            <w:tcW w:type="dxa" w:w="1752"/>
          </w:tcPr>
          <w:p>
            <w:r/>
            <w:r>
              <w:rPr>
                <w:sz w:val="16"/>
              </w:rPr>
              <w:t>0.155 [−0.988, 0.994]</w:t>
            </w:r>
          </w:p>
        </w:tc>
        <w:tc>
          <w:tcPr>
            <w:tcW w:type="dxa" w:w="1752"/>
          </w:tcPr>
          <w:p>
            <w:r/>
            <w:r>
              <w:rPr>
                <w:sz w:val="16"/>
              </w:rPr>
              <w:t>95.8 %</w:t>
            </w:r>
          </w:p>
        </w:tc>
      </w:tr>
      <w:tr>
        <w:tc>
          <w:tcPr>
            <w:tcW w:type="dxa" w:w="1752"/>
          </w:tcPr>
          <w:p>
            <w:r/>
            <w:r>
              <w:rPr>
                <w:sz w:val="16"/>
              </w:rPr>
              <w:t>C</w:t>
            </w:r>
          </w:p>
        </w:tc>
        <w:tc>
          <w:tcPr>
            <w:tcW w:type="dxa" w:w="1752"/>
          </w:tcPr>
          <w:p>
            <w:r/>
            <w:r>
              <w:rPr>
                <w:sz w:val="16"/>
              </w:rPr>
              <w:t>2</w:t>
            </w:r>
          </w:p>
        </w:tc>
        <w:tc>
          <w:tcPr>
            <w:tcW w:type="dxa" w:w="1752"/>
          </w:tcPr>
          <w:p>
            <w:r/>
            <w:r>
              <w:rPr>
                <w:sz w:val="16"/>
              </w:rPr>
              <w:t>1301</w:t>
            </w:r>
          </w:p>
        </w:tc>
        <w:tc>
          <w:tcPr>
            <w:tcW w:type="dxa" w:w="1752"/>
          </w:tcPr>
          <w:p>
            <w:r/>
            <w:r>
              <w:rPr>
                <w:sz w:val="16"/>
              </w:rPr>
              <w:t>0.110 [−0.045, 0.260]</w:t>
            </w:r>
          </w:p>
        </w:tc>
        <w:tc>
          <w:tcPr>
            <w:tcW w:type="dxa" w:w="1752"/>
          </w:tcPr>
          <w:p>
            <w:r/>
            <w:r>
              <w:rPr>
                <w:sz w:val="16"/>
              </w:rPr>
              <w:t>0.0 %</w:t>
            </w:r>
          </w:p>
        </w:tc>
      </w:tr>
      <w:tr>
        <w:tc>
          <w:tcPr>
            <w:tcW w:type="dxa" w:w="1752"/>
          </w:tcPr>
          <w:p>
            <w:r/>
            <w:r>
              <w:rPr>
                <w:sz w:val="16"/>
              </w:rPr>
              <w:t>E</w:t>
            </w:r>
          </w:p>
        </w:tc>
        <w:tc>
          <w:tcPr>
            <w:tcW w:type="dxa" w:w="1752"/>
          </w:tcPr>
          <w:p>
            <w:r/>
            <w:r>
              <w:rPr>
                <w:sz w:val="16"/>
              </w:rPr>
              <w:t>2</w:t>
            </w:r>
          </w:p>
        </w:tc>
        <w:tc>
          <w:tcPr>
            <w:tcW w:type="dxa" w:w="1752"/>
          </w:tcPr>
          <w:p>
            <w:r/>
            <w:r>
              <w:rPr>
                <w:sz w:val="16"/>
              </w:rPr>
              <w:t>1301</w:t>
            </w:r>
          </w:p>
        </w:tc>
        <w:tc>
          <w:tcPr>
            <w:tcW w:type="dxa" w:w="1752"/>
          </w:tcPr>
          <w:p>
            <w:r/>
            <w:r>
              <w:rPr>
                <w:sz w:val="16"/>
              </w:rPr>
              <w:t>−0.095 [−0.541, 0.393]</w:t>
            </w:r>
          </w:p>
        </w:tc>
        <w:tc>
          <w:tcPr>
            <w:tcW w:type="dxa" w:w="1752"/>
          </w:tcPr>
          <w:p>
            <w:r/>
            <w:r>
              <w:rPr>
                <w:sz w:val="16"/>
              </w:rPr>
              <w:t>23.0 %</w:t>
            </w:r>
          </w:p>
        </w:tc>
      </w:tr>
      <w:tr>
        <w:tc>
          <w:tcPr>
            <w:tcW w:type="dxa" w:w="1752"/>
          </w:tcPr>
          <w:p>
            <w:r/>
            <w:r>
              <w:rPr>
                <w:sz w:val="16"/>
              </w:rPr>
              <w:t>A</w:t>
            </w:r>
          </w:p>
        </w:tc>
        <w:tc>
          <w:tcPr>
            <w:tcW w:type="dxa" w:w="1752"/>
          </w:tcPr>
          <w:p>
            <w:r/>
            <w:r>
              <w:rPr>
                <w:sz w:val="16"/>
              </w:rPr>
              <w:t>2</w:t>
            </w:r>
          </w:p>
        </w:tc>
        <w:tc>
          <w:tcPr>
            <w:tcW w:type="dxa" w:w="1752"/>
          </w:tcPr>
          <w:p>
            <w:r/>
            <w:r>
              <w:rPr>
                <w:sz w:val="16"/>
              </w:rPr>
              <w:t>1301</w:t>
            </w:r>
          </w:p>
        </w:tc>
        <w:tc>
          <w:tcPr>
            <w:tcW w:type="dxa" w:w="1752"/>
          </w:tcPr>
          <w:p>
            <w:r/>
            <w:r>
              <w:rPr>
                <w:sz w:val="16"/>
              </w:rPr>
              <w:t>0.319 [−0.979, 0.994]</w:t>
            </w:r>
          </w:p>
        </w:tc>
        <w:tc>
          <w:tcPr>
            <w:tcW w:type="dxa" w:w="1752"/>
          </w:tcPr>
          <w:p>
            <w:r/>
            <w:r>
              <w:rPr>
                <w:sz w:val="16"/>
              </w:rPr>
              <w:t>95.4 %</w:t>
            </w:r>
          </w:p>
        </w:tc>
      </w:tr>
      <w:tr>
        <w:tc>
          <w:tcPr>
            <w:tcW w:type="dxa" w:w="1752"/>
          </w:tcPr>
          <w:p>
            <w:r/>
            <w:r>
              <w:rPr>
                <w:sz w:val="16"/>
              </w:rPr>
              <w:t>N</w:t>
            </w:r>
          </w:p>
        </w:tc>
        <w:tc>
          <w:tcPr>
            <w:tcW w:type="dxa" w:w="1752"/>
          </w:tcPr>
          <w:p>
            <w:r/>
            <w:r>
              <w:rPr>
                <w:sz w:val="16"/>
              </w:rPr>
              <w:t>2</w:t>
            </w:r>
          </w:p>
        </w:tc>
        <w:tc>
          <w:tcPr>
            <w:tcW w:type="dxa" w:w="1752"/>
          </w:tcPr>
          <w:p>
            <w:r/>
            <w:r>
              <w:rPr>
                <w:sz w:val="16"/>
              </w:rPr>
              <w:t>1301</w:t>
            </w:r>
          </w:p>
        </w:tc>
        <w:tc>
          <w:tcPr>
            <w:tcW w:type="dxa" w:w="1752"/>
          </w:tcPr>
          <w:p>
            <w:r/>
            <w:r>
              <w:rPr>
                <w:sz w:val="16"/>
              </w:rPr>
              <w:t>0.089 [0.005, 0.171]</w:t>
            </w:r>
          </w:p>
        </w:tc>
        <w:tc>
          <w:tcPr>
            <w:tcW w:type="dxa" w:w="1752"/>
          </w:tcPr>
          <w:p>
            <w:r/>
            <w:r>
              <w:rPr>
                <w:sz w:val="16"/>
              </w:rPr>
              <w:t>0.0 %</w:t>
            </w:r>
          </w:p>
        </w:tc>
      </w:tr>
    </w:tbl>
    <w:p>
      <w:pPr>
        <w:pStyle w:val="Para"/>
      </w:pPr>
      <w:r>
        <w:t>C and N pools have I² = 0 (the two studies agree closely in z-space) and E has I² = 23 %; O and A pools have I² ≈ 95 % driven by sharply different point estimates. The values differ from the preprint's Region: Asia row because τ² is estimated here by exact REML and A-28's β is converted with the published Peterson–Brown rule.</w:t>
      </w:r>
    </w:p>
    <w:p>
      <w:pPr>
        <w:pStyle w:val="Head2"/>
      </w:pPr>
      <w:r>
        <w:t>Hofstede two-country contrasts (descriptive)</w:t>
      </w:r>
    </w:p>
    <w:p>
      <w:pPr>
        <w:pStyle w:val="PostHeadPara"/>
      </w:pPr>
      <w:r>
        <w:t>Table 2 reports, for each trait and dimension, the slope of the line through the two Asian study estimates. With df_resid = 0 these are descriptive contrasts; SE, t and p are not estimable.</w:t>
      </w:r>
    </w:p>
    <w:p>
      <w:pPr>
        <w:pStyle w:val="TableCaption"/>
      </w:pPr>
      <w:r>
        <w:t>Table 2: Hofstede two-country contrasts expressed as slopes, descriptive only (k = 2; df_resid = 0).</w:t>
      </w:r>
    </w:p>
    <w:tbl>
      <w:tblPr>
        <w:tblStyle w:val="a9"/>
        <w:tblW w:type="auto" w:w="0"/>
        <w:tblLook w:firstColumn="1" w:firstRow="1" w:lastColumn="0" w:lastRow="0" w:noHBand="0" w:noVBand="1" w:val="04A0"/>
      </w:tblPr>
      <w:tblGrid>
        <w:gridCol w:w="2190"/>
        <w:gridCol w:w="2190"/>
        <w:gridCol w:w="2190"/>
        <w:gridCol w:w="2190"/>
      </w:tblGrid>
      <w:tr>
        <w:tc>
          <w:tcPr>
            <w:tcW w:type="dxa" w:w="2190"/>
          </w:tcPr>
          <w:p>
            <w:r/>
            <w:r>
              <w:rPr>
                <w:b/>
                <w:sz w:val="16"/>
              </w:rPr>
              <w:t>Trait</w:t>
            </w:r>
          </w:p>
        </w:tc>
        <w:tc>
          <w:tcPr>
            <w:tcW w:type="dxa" w:w="2190"/>
          </w:tcPr>
          <w:p>
            <w:r/>
            <w:r>
              <w:rPr>
                <w:b/>
                <w:sz w:val="16"/>
              </w:rPr>
              <w:t>Dimension</w:t>
            </w:r>
          </w:p>
        </w:tc>
        <w:tc>
          <w:tcPr>
            <w:tcW w:type="dxa" w:w="2190"/>
          </w:tcPr>
          <w:p>
            <w:r/>
            <w:r>
              <w:rPr>
                <w:b/>
                <w:sz w:val="16"/>
              </w:rPr>
              <w:t>slope (Fisher z per unit)</w:t>
            </w:r>
          </w:p>
        </w:tc>
        <w:tc>
          <w:tcPr>
            <w:tcW w:type="dxa" w:w="2190"/>
          </w:tcPr>
          <w:p>
            <w:r/>
            <w:r>
              <w:rPr>
                <w:b/>
                <w:sz w:val="16"/>
              </w:rPr>
              <w:t>note</w:t>
            </w:r>
          </w:p>
        </w:tc>
      </w:tr>
      <w:tr>
        <w:tc>
          <w:tcPr>
            <w:tcW w:type="dxa" w:w="2190"/>
          </w:tcPr>
          <w:p>
            <w:r/>
            <w:r>
              <w:rPr>
                <w:sz w:val="16"/>
              </w:rPr>
              <w:t>O</w:t>
            </w:r>
          </w:p>
        </w:tc>
        <w:tc>
          <w:tcPr>
            <w:tcW w:type="dxa" w:w="2190"/>
          </w:tcPr>
          <w:p>
            <w:r/>
            <w:r>
              <w:rPr>
                <w:sz w:val="16"/>
              </w:rPr>
              <w:t>PDI</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IDV</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LTO</w:t>
            </w:r>
          </w:p>
        </w:tc>
        <w:tc>
          <w:tcPr>
            <w:tcW w:type="dxa" w:w="2190"/>
          </w:tcPr>
          <w:p>
            <w:r/>
            <w:r>
              <w:rPr>
                <w:sz w:val="16"/>
              </w:rPr>
              <w:t>−0.4303</w:t>
            </w:r>
          </w:p>
        </w:tc>
        <w:tc>
          <w:tcPr>
            <w:tcW w:type="dxa" w:w="2190"/>
          </w:tcPr>
          <w:p>
            <w:r/>
            <w:r>
              <w:rPr>
                <w:sz w:val="16"/>
              </w:rPr>
              <w:t>descriptive</w:t>
            </w:r>
          </w:p>
        </w:tc>
      </w:tr>
      <w:tr>
        <w:tc>
          <w:tcPr>
            <w:tcW w:type="dxa" w:w="2190"/>
          </w:tcPr>
          <w:p>
            <w:r/>
            <w:r>
              <w:rPr>
                <w:sz w:val="16"/>
              </w:rPr>
              <w:t>C</w:t>
            </w:r>
          </w:p>
        </w:tc>
        <w:tc>
          <w:tcPr>
            <w:tcW w:type="dxa" w:w="2190"/>
          </w:tcPr>
          <w:p>
            <w:r/>
            <w:r>
              <w:rPr>
                <w:sz w:val="16"/>
              </w:rPr>
              <w:t>PDI</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IDV</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LTO</w:t>
            </w:r>
          </w:p>
        </w:tc>
        <w:tc>
          <w:tcPr>
            <w:tcW w:type="dxa" w:w="2190"/>
          </w:tcPr>
          <w:p>
            <w:r/>
            <w:r>
              <w:rPr>
                <w:sz w:val="16"/>
              </w:rPr>
              <w:t>+0.0387</w:t>
            </w:r>
          </w:p>
        </w:tc>
        <w:tc>
          <w:tcPr>
            <w:tcW w:type="dxa" w:w="2190"/>
          </w:tcPr>
          <w:p>
            <w:r/>
            <w:r>
              <w:rPr>
                <w:sz w:val="16"/>
              </w:rPr>
              <w:t>descriptive</w:t>
            </w:r>
          </w:p>
        </w:tc>
      </w:tr>
      <w:tr>
        <w:tc>
          <w:tcPr>
            <w:tcW w:type="dxa" w:w="2190"/>
          </w:tcPr>
          <w:p>
            <w:r/>
            <w:r>
              <w:rPr>
                <w:sz w:val="16"/>
              </w:rPr>
              <w:t>E</w:t>
            </w:r>
          </w:p>
        </w:tc>
        <w:tc>
          <w:tcPr>
            <w:tcW w:type="dxa" w:w="2190"/>
          </w:tcPr>
          <w:p>
            <w:r/>
            <w:r>
              <w:rPr>
                <w:sz w:val="16"/>
              </w:rPr>
              <w:t>PDI</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IDV</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LTO</w:t>
            </w:r>
          </w:p>
        </w:tc>
        <w:tc>
          <w:tcPr>
            <w:tcW w:type="dxa" w:w="2190"/>
          </w:tcPr>
          <w:p>
            <w:r/>
            <w:r>
              <w:rPr>
                <w:sz w:val="16"/>
              </w:rPr>
              <w:t>−0.1001</w:t>
            </w:r>
          </w:p>
        </w:tc>
        <w:tc>
          <w:tcPr>
            <w:tcW w:type="dxa" w:w="2190"/>
          </w:tcPr>
          <w:p>
            <w:r/>
            <w:r>
              <w:rPr>
                <w:sz w:val="16"/>
              </w:rPr>
              <w:t>descriptive</w:t>
            </w:r>
          </w:p>
        </w:tc>
      </w:tr>
      <w:tr>
        <w:tc>
          <w:tcPr>
            <w:tcW w:type="dxa" w:w="2190"/>
          </w:tcPr>
          <w:p>
            <w:r/>
            <w:r>
              <w:rPr>
                <w:sz w:val="16"/>
              </w:rPr>
              <w:t>A</w:t>
            </w:r>
          </w:p>
        </w:tc>
        <w:tc>
          <w:tcPr>
            <w:tcW w:type="dxa" w:w="2190"/>
          </w:tcPr>
          <w:p>
            <w:r/>
            <w:r>
              <w:rPr>
                <w:sz w:val="16"/>
              </w:rPr>
              <w:t>PDI</w:t>
            </w:r>
          </w:p>
        </w:tc>
        <w:tc>
          <w:tcPr>
            <w:tcW w:type="dxa" w:w="2190"/>
          </w:tcPr>
          <w:p>
            <w:r/>
            <w:r>
              <w:rPr>
                <w:sz w:val="16"/>
              </w:rPr>
              <w:t>+0.0157</w:t>
            </w:r>
          </w:p>
        </w:tc>
        <w:tc>
          <w:tcPr>
            <w:tcW w:type="dxa" w:w="2190"/>
          </w:tcPr>
          <w:p>
            <w:r/>
            <w:r>
              <w:rPr>
                <w:sz w:val="16"/>
              </w:rPr>
              <w:t>descriptive</w:t>
            </w:r>
          </w:p>
        </w:tc>
      </w:tr>
      <w:tr>
        <w:tc>
          <w:tcPr>
            <w:tcW w:type="dxa" w:w="2190"/>
          </w:tcPr>
          <w:p>
            <w:r/>
            <w:r>
              <w:rPr>
                <w:sz w:val="16"/>
              </w:rPr>
              <w:t>A</w:t>
            </w:r>
          </w:p>
        </w:tc>
        <w:tc>
          <w:tcPr>
            <w:tcW w:type="dxa" w:w="2190"/>
          </w:tcPr>
          <w:p>
            <w:r/>
            <w:r>
              <w:rPr>
                <w:sz w:val="16"/>
              </w:rPr>
              <w:t>LTO</w:t>
            </w:r>
          </w:p>
        </w:tc>
        <w:tc>
          <w:tcPr>
            <w:tcW w:type="dxa" w:w="2190"/>
          </w:tcPr>
          <w:p>
            <w:r/>
            <w:r>
              <w:rPr>
                <w:sz w:val="16"/>
              </w:rPr>
              <w:t>−0.4085</w:t>
            </w:r>
          </w:p>
        </w:tc>
        <w:tc>
          <w:tcPr>
            <w:tcW w:type="dxa" w:w="2190"/>
          </w:tcPr>
          <w:p>
            <w:r/>
            <w:r>
              <w:rPr>
                <w:sz w:val="16"/>
              </w:rPr>
              <w:t>descriptive</w:t>
            </w:r>
          </w:p>
        </w:tc>
      </w:tr>
      <w:tr>
        <w:tc>
          <w:tcPr>
            <w:tcW w:type="dxa" w:w="2190"/>
          </w:tcPr>
          <w:p>
            <w:r/>
            <w:r>
              <w:rPr>
                <w:sz w:val="16"/>
              </w:rPr>
              <w:t>N</w:t>
            </w:r>
          </w:p>
        </w:tc>
        <w:tc>
          <w:tcPr>
            <w:tcW w:type="dxa" w:w="2190"/>
          </w:tcPr>
          <w:p>
            <w:r/>
            <w:r>
              <w:rPr>
                <w:sz w:val="16"/>
              </w:rPr>
              <w:t>PDI</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IDV</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LTO</w:t>
            </w:r>
          </w:p>
        </w:tc>
        <w:tc>
          <w:tcPr>
            <w:tcW w:type="dxa" w:w="2190"/>
          </w:tcPr>
          <w:p>
            <w:r/>
            <w:r>
              <w:rPr>
                <w:sz w:val="16"/>
              </w:rPr>
              <w:t>+0.0209</w:t>
            </w:r>
          </w:p>
        </w:tc>
        <w:tc>
          <w:tcPr>
            <w:tcW w:type="dxa" w:w="2190"/>
          </w:tcPr>
          <w:p>
            <w:r/>
            <w:r>
              <w:rPr>
                <w:sz w:val="16"/>
              </w:rPr>
              <w:t>descriptive</w:t>
            </w:r>
          </w:p>
        </w:tc>
      </w:tr>
    </w:tbl>
    <w:p>
      <w:pPr>
        <w:pStyle w:val="Para"/>
      </w:pPr>
      <w:r>
        <w:t>(Selected rows; full table in results/hofstede_meta_regression.csv. With k = 2, all six dimensions re-express the same single Japan – China contrast. PDI and IDV slopes are mirror images because the two countries differ by 26 points on each, in opposite directions; LTO slopes are the largest in magnitude only because the two LTO scores differ by a single point (88 vs 87), and they carry no information.)</w:t>
      </w:r>
    </w:p>
    <w:p>
      <w:pPr>
        <w:pStyle w:val="Para"/>
      </w:pPr>
      <w:r>
        <w:t>The Extraversion slope on Individualism is negative (−0.0039): Japan, the more individualistic of the two countries (IDV 46 vs 20), shows the more negative Extraversion – achievement correlation (−0.173 vs −0.074). This runs against the expectation that Extraversion is more of an asset in individualistic contexts. With df_resid = 0 these slopes carry no inferential weight; they are re-expressions of the two-country contrast, not statistical tests.</w:t>
      </w:r>
    </w:p>
    <w:p>
      <w:pPr>
        <w:pStyle w:val="Head2"/>
      </w:pPr>
      <w:r>
        <w:t>Japan synthesis</w:t>
      </w:r>
    </w:p>
    <w:p>
      <w:pPr>
        <w:pStyle w:val="PostHeadPara"/>
      </w:pPr>
      <w:r>
        <w:t>Table 3 compares the two Japan-based primary-pool studies side-by-side.</w:t>
      </w:r>
    </w:p>
    <w:p>
      <w:pPr>
        <w:pStyle w:val="TableCaption"/>
      </w:pPr>
      <w:r>
        <w:t>Table 3: Japan-based primary-pool studies, side-by-side comparison (engagement and achievement outcomes are not directly comparable).</w:t>
      </w:r>
    </w:p>
    <w:tbl>
      <w:tblPr>
        <w:tblStyle w:val="a9"/>
        <w:tblW w:type="auto" w:w="0"/>
        <w:tblLook w:firstColumn="1" w:firstRow="1" w:lastColumn="0" w:lastRow="0" w:noHBand="0" w:noVBand="1" w:val="04A0"/>
      </w:tblPr>
      <w:tblGrid>
        <w:gridCol w:w="2920"/>
        <w:gridCol w:w="2920"/>
        <w:gridCol w:w="2920"/>
      </w:tblGrid>
      <w:tr>
        <w:tc>
          <w:tcPr>
            <w:tcW w:type="dxa" w:w="2920"/>
          </w:tcPr>
          <w:p>
            <w:r/>
            <w:r>
              <w:rPr>
                <w:b/>
                <w:sz w:val="16"/>
              </w:rPr>
              <w:t>Field</w:t>
            </w:r>
          </w:p>
        </w:tc>
        <w:tc>
          <w:tcPr>
            <w:tcW w:type="dxa" w:w="2920"/>
          </w:tcPr>
          <w:p>
            <w:r/>
            <w:r>
              <w:rPr>
                <w:b/>
                <w:sz w:val="16"/>
              </w:rPr>
              <w:t>A-25 Tokiwa (2025)</w:t>
            </w:r>
          </w:p>
        </w:tc>
        <w:tc>
          <w:tcPr>
            <w:tcW w:type="dxa" w:w="2920"/>
          </w:tcPr>
          <w:p>
            <w:r/>
            <w:r>
              <w:rPr>
                <w:b/>
                <w:sz w:val="16"/>
              </w:rPr>
              <w:t>A-31 Rivers (2021)</w:t>
            </w:r>
          </w:p>
        </w:tc>
      </w:tr>
      <w:tr>
        <w:tc>
          <w:tcPr>
            <w:tcW w:type="dxa" w:w="2920"/>
          </w:tcPr>
          <w:p>
            <w:r/>
            <w:r>
              <w:rPr>
                <w:sz w:val="16"/>
              </w:rPr>
              <w:t>N (analytic)</w:t>
            </w:r>
          </w:p>
        </w:tc>
        <w:tc>
          <w:tcPr>
            <w:tcW w:type="dxa" w:w="2920"/>
          </w:tcPr>
          <w:p>
            <w:r/>
            <w:r>
              <w:rPr>
                <w:sz w:val="16"/>
              </w:rPr>
              <w:t>103</w:t>
            </w:r>
          </w:p>
        </w:tc>
        <w:tc>
          <w:tcPr>
            <w:tcW w:type="dxa" w:w="2920"/>
          </w:tcPr>
          <w:p>
            <w:r/>
            <w:r>
              <w:rPr>
                <w:sz w:val="16"/>
              </w:rPr>
              <w:t>149</w:t>
            </w:r>
          </w:p>
        </w:tc>
      </w:tr>
      <w:tr>
        <w:tc>
          <w:tcPr>
            <w:tcW w:type="dxa" w:w="2920"/>
          </w:tcPr>
          <w:p>
            <w:r/>
            <w:r>
              <w:rPr>
                <w:sz w:val="16"/>
              </w:rPr>
              <w:t>Education level</w:t>
            </w:r>
          </w:p>
        </w:tc>
        <w:tc>
          <w:tcPr>
            <w:tcW w:type="dxa" w:w="2920"/>
          </w:tcPr>
          <w:p>
            <w:r/>
            <w:r>
              <w:rPr>
                <w:sz w:val="16"/>
              </w:rPr>
              <w:t>K-12 (Year 3 high school)</w:t>
            </w:r>
          </w:p>
        </w:tc>
        <w:tc>
          <w:tcPr>
            <w:tcW w:type="dxa" w:w="2920"/>
          </w:tcPr>
          <w:p>
            <w:r/>
            <w:r>
              <w:rPr>
                <w:sz w:val="16"/>
              </w:rPr>
              <w:t>Undergraduate</w:t>
            </w:r>
          </w:p>
        </w:tc>
      </w:tr>
      <w:tr>
        <w:tc>
          <w:tcPr>
            <w:tcW w:type="dxa" w:w="2920"/>
          </w:tcPr>
          <w:p>
            <w:r/>
            <w:r>
              <w:rPr>
                <w:sz w:val="16"/>
              </w:rPr>
              <w:t>Modality</w:t>
            </w:r>
          </w:p>
        </w:tc>
        <w:tc>
          <w:tcPr>
            <w:tcW w:type="dxa" w:w="2920"/>
          </w:tcPr>
          <w:p>
            <w:r/>
            <w:r>
              <w:rPr>
                <w:sz w:val="16"/>
              </w:rPr>
              <w:t>Asynchronous (StudySapuri LMS)</w:t>
            </w:r>
          </w:p>
        </w:tc>
        <w:tc>
          <w:tcPr>
            <w:tcW w:type="dxa" w:w="2920"/>
          </w:tcPr>
          <w:p>
            <w:r/>
            <w:r>
              <w:rPr>
                <w:sz w:val="16"/>
              </w:rPr>
              <w:t>Asynchronous (Moodle)</w:t>
            </w:r>
          </w:p>
        </w:tc>
      </w:tr>
      <w:tr>
        <w:tc>
          <w:tcPr>
            <w:tcW w:type="dxa" w:w="2920"/>
          </w:tcPr>
          <w:p>
            <w:r/>
            <w:r>
              <w:rPr>
                <w:sz w:val="16"/>
              </w:rPr>
              <w:t>Instrument</w:t>
            </w:r>
          </w:p>
        </w:tc>
        <w:tc>
          <w:tcPr>
            <w:tcW w:type="dxa" w:w="2920"/>
          </w:tcPr>
          <w:p>
            <w:r/>
            <w:r>
              <w:rPr>
                <w:sz w:val="16"/>
              </w:rPr>
              <w:t>BFI-2-J (60 items)</w:t>
            </w:r>
          </w:p>
        </w:tc>
        <w:tc>
          <w:tcPr>
            <w:tcW w:type="dxa" w:w="2920"/>
          </w:tcPr>
          <w:p>
            <w:r/>
            <w:r>
              <w:rPr>
                <w:sz w:val="16"/>
              </w:rPr>
              <w:t>TIPI-J (10 items)</w:t>
            </w:r>
          </w:p>
        </w:tc>
      </w:tr>
      <w:tr>
        <w:tc>
          <w:tcPr>
            <w:tcW w:type="dxa" w:w="2920"/>
          </w:tcPr>
          <w:p>
            <w:r/>
            <w:r>
              <w:rPr>
                <w:sz w:val="16"/>
              </w:rPr>
              <w:t>Outcome (construct)</w:t>
            </w:r>
          </w:p>
        </w:tc>
        <w:tc>
          <w:tcPr>
            <w:tcW w:type="dxa" w:w="2920"/>
          </w:tcPr>
          <w:p>
            <w:r/>
            <w:r>
              <w:rPr>
                <w:sz w:val="16"/>
              </w:rPr>
              <w:t>Engagement / mastery: lectures, tests (Spearman ρ)</w:t>
            </w:r>
          </w:p>
        </w:tc>
        <w:tc>
          <w:tcPr>
            <w:tcW w:type="dxa" w:w="2920"/>
          </w:tcPr>
          <w:p>
            <w:r/>
            <w:r>
              <w:rPr>
                <w:sz w:val="16"/>
              </w:rPr>
              <w:t>Achievement: course grade (Pearson r)</w:t>
            </w:r>
          </w:p>
        </w:tc>
      </w:tr>
      <w:tr>
        <w:tc>
          <w:tcPr>
            <w:tcW w:type="dxa" w:w="2920"/>
          </w:tcPr>
          <w:p>
            <w:r/>
            <w:r>
              <w:rPr>
                <w:sz w:val="16"/>
              </w:rPr>
              <w:t>Era</w:t>
            </w:r>
          </w:p>
        </w:tc>
        <w:tc>
          <w:tcPr>
            <w:tcW w:type="dxa" w:w="2920"/>
          </w:tcPr>
          <w:p>
            <w:r/>
            <w:r>
              <w:rPr>
                <w:sz w:val="16"/>
              </w:rPr>
              <w:t>post-COVID</w:t>
            </w:r>
          </w:p>
        </w:tc>
        <w:tc>
          <w:tcPr>
            <w:tcW w:type="dxa" w:w="2920"/>
          </w:tcPr>
          <w:p>
            <w:r/>
            <w:r>
              <w:rPr>
                <w:sz w:val="16"/>
              </w:rPr>
              <w:t>COVID</w:t>
            </w:r>
          </w:p>
        </w:tc>
      </w:tr>
      <w:tr>
        <w:tc>
          <w:tcPr>
            <w:tcW w:type="dxa" w:w="2920"/>
          </w:tcPr>
          <w:p>
            <w:r/>
            <w:r>
              <w:rPr>
                <w:sz w:val="16"/>
              </w:rPr>
              <w:t>r_O</w:t>
            </w:r>
          </w:p>
        </w:tc>
        <w:tc>
          <w:tcPr>
            <w:tcW w:type="dxa" w:w="2920"/>
          </w:tcPr>
          <w:p>
            <w:r/>
            <w:r>
              <w:rPr>
                <w:sz w:val="16"/>
              </w:rPr>
              <w:t>≈ 0 (0.00 to +0.10)</w:t>
            </w:r>
          </w:p>
        </w:tc>
        <w:tc>
          <w:tcPr>
            <w:tcW w:type="dxa" w:w="2920"/>
          </w:tcPr>
          <w:p>
            <w:r/>
            <w:r>
              <w:rPr>
                <w:sz w:val="16"/>
              </w:rPr>
              <w:t>−0.066</w:t>
            </w:r>
          </w:p>
        </w:tc>
      </w:tr>
      <w:tr>
        <w:tc>
          <w:tcPr>
            <w:tcW w:type="dxa" w:w="2920"/>
          </w:tcPr>
          <w:p>
            <w:r/>
            <w:r>
              <w:rPr>
                <w:sz w:val="16"/>
              </w:rPr>
              <w:t>r_C</w:t>
            </w:r>
          </w:p>
        </w:tc>
        <w:tc>
          <w:tcPr>
            <w:tcW w:type="dxa" w:w="2920"/>
          </w:tcPr>
          <w:p>
            <w:r/>
            <w:r>
              <w:rPr>
                <w:sz w:val="16"/>
              </w:rPr>
              <w:t>ρ = +0.34 to +0.35 (tests completed, mastered)</w:t>
            </w:r>
          </w:p>
        </w:tc>
        <w:tc>
          <w:tcPr>
            <w:tcW w:type="dxa" w:w="2920"/>
          </w:tcPr>
          <w:p>
            <w:r/>
            <w:r>
              <w:rPr>
                <w:sz w:val="16"/>
              </w:rPr>
              <w:t>+0.144</w:t>
            </w:r>
          </w:p>
        </w:tc>
      </w:tr>
      <w:tr>
        <w:tc>
          <w:tcPr>
            <w:tcW w:type="dxa" w:w="2920"/>
          </w:tcPr>
          <w:p>
            <w:r/>
            <w:r>
              <w:rPr>
                <w:sz w:val="16"/>
              </w:rPr>
              <w:t>r_E</w:t>
            </w:r>
          </w:p>
        </w:tc>
        <w:tc>
          <w:tcPr>
            <w:tcW w:type="dxa" w:w="2920"/>
          </w:tcPr>
          <w:p>
            <w:r/>
            <w:r>
              <w:rPr>
                <w:sz w:val="16"/>
              </w:rPr>
              <w:t>mixed (Assertiveness +0.26; Sociability −0.23)</w:t>
            </w:r>
          </w:p>
        </w:tc>
        <w:tc>
          <w:tcPr>
            <w:tcW w:type="dxa" w:w="2920"/>
          </w:tcPr>
          <w:p>
            <w:r/>
            <w:r>
              <w:rPr>
                <w:sz w:val="16"/>
              </w:rPr>
              <w:t>−0.173</w:t>
            </w:r>
          </w:p>
        </w:tc>
      </w:tr>
      <w:tr>
        <w:tc>
          <w:tcPr>
            <w:tcW w:type="dxa" w:w="2920"/>
          </w:tcPr>
          <w:p>
            <w:r/>
            <w:r>
              <w:rPr>
                <w:sz w:val="16"/>
              </w:rPr>
              <w:t>r_A</w:t>
            </w:r>
          </w:p>
        </w:tc>
        <w:tc>
          <w:tcPr>
            <w:tcW w:type="dxa" w:w="2920"/>
          </w:tcPr>
          <w:p>
            <w:r/>
            <w:r>
              <w:rPr>
                <w:sz w:val="16"/>
              </w:rPr>
              <w:t>ρ = +0.23 (lectures watched)</w:t>
            </w:r>
          </w:p>
        </w:tc>
        <w:tc>
          <w:tcPr>
            <w:tcW w:type="dxa" w:w="2920"/>
          </w:tcPr>
          <w:p>
            <w:r/>
            <w:r>
              <w:rPr>
                <w:sz w:val="16"/>
              </w:rPr>
              <w:t>+0.118</w:t>
            </w:r>
          </w:p>
        </w:tc>
      </w:tr>
      <w:tr>
        <w:tc>
          <w:tcPr>
            <w:tcW w:type="dxa" w:w="2920"/>
          </w:tcPr>
          <w:p>
            <w:r/>
            <w:r>
              <w:rPr>
                <w:sz w:val="16"/>
              </w:rPr>
              <w:t>r_N</w:t>
            </w:r>
          </w:p>
        </w:tc>
        <w:tc>
          <w:tcPr>
            <w:tcW w:type="dxa" w:w="2920"/>
          </w:tcPr>
          <w:p>
            <w:r/>
            <w:r>
              <w:rPr>
                <w:sz w:val="16"/>
              </w:rPr>
              <w:t>ρ = +0.17 (lectures watched, n.s.)</w:t>
            </w:r>
          </w:p>
        </w:tc>
        <w:tc>
          <w:tcPr>
            <w:tcW w:type="dxa" w:w="2920"/>
          </w:tcPr>
          <w:p>
            <w:r/>
            <w:r>
              <w:rPr>
                <w:sz w:val="16"/>
              </w:rPr>
              <w:t>+0.107 (n.s.)</w:t>
            </w:r>
          </w:p>
        </w:tc>
      </w:tr>
    </w:tbl>
    <w:p>
      <w:pPr>
        <w:pStyle w:val="Para"/>
      </w:pPr>
      <w:r>
        <w:t>A-25 Tokiwa's values are Spearman ρ with StudySapuri engagement and mastery measures (lectures watched, tests completed and mastered; all-subject values from Tokiwa 2025, Table 3). They are learning-behaviour outcomes, not academic achievement, and they did not meet the extraction protocol (Pearson r with achievement); they are shown only as a descriptive comparator. A-31 Rivers's values are Pearson r with course grade and are the only Japanese achievement evidence in the pool.</w:t>
      </w:r>
    </w:p>
    <w:p>
      <w:pPr>
        <w:pStyle w:val="Para"/>
      </w:pPr>
      <w:r>
        <w:t>The instrument-heterogeneity contrast is striking: A-25 uses the 60-item BFI-2-J (12 items per trait, alphas .80 – .96); A-31 uses the 10-item TIPI-J (2 items per trait), for which internal consistency was not reported; very short scales of this kind are designed for breadth rather than reliability. The difference in measurement precision alone could account for substantial measurement-noise heterogeneity even before any cultural-context interaction is considered.</w:t>
      </w:r>
    </w:p>
    <w:p>
      <w:pPr>
        <w:pStyle w:val="Head2"/>
      </w:pPr>
      <w:r>
        <w:t>Exploratory correspondence with country-level trait – culture associations</w:t>
      </w:r>
    </w:p>
    <w:p>
      <w:pPr>
        <w:pStyle w:val="PostHeadPara"/>
      </w:pPr>
      <w:r>
        <w:t>Table 4 places the sign of the country-level trait – culture correlations reported by Hofstede &amp; McCrae (2004), using for each trait the dimension it is most strongly associated with, next to the observed directions in the two Japan studies, listed separately by outcome. The reference column is not a prediction for individual learners; it summarises associations between national culture scores and national trait means. Direction is coded + if the observed value is ≥ +0.05, − if ≤ −0.05, flat otherwise; for A-25 Tokiwa it is the dominant pattern of Spearman ρ with engagement outcomes.</w:t>
      </w:r>
    </w:p>
    <w:p>
      <w:pPr>
        <w:pStyle w:val="TableCaption"/>
      </w:pPr>
      <w:r>
        <w:t>Table 4: Exploratory correspondence between country-level trait – culture associations (Hofstede &amp; McCrae 2004) and observed directions in the Japan-based studies, shown separately by outcome.</w:t>
      </w:r>
    </w:p>
    <w:tbl>
      <w:tblPr>
        <w:tblStyle w:val="a9"/>
        <w:tblW w:type="auto" w:w="0"/>
        <w:tblLook w:firstColumn="1" w:firstRow="1" w:lastColumn="0" w:lastRow="0" w:noHBand="0" w:noVBand="1" w:val="04A0"/>
      </w:tblPr>
      <w:tblGrid>
        <w:gridCol w:w="1460"/>
        <w:gridCol w:w="1460"/>
        <w:gridCol w:w="1460"/>
        <w:gridCol w:w="1460"/>
        <w:gridCol w:w="1460"/>
        <w:gridCol w:w="1460"/>
      </w:tblGrid>
      <w:tr>
        <w:tc>
          <w:tcPr>
            <w:tcW w:type="dxa" w:w="1460"/>
          </w:tcPr>
          <w:p>
            <w:r/>
            <w:r>
              <w:rPr>
                <w:b/>
                <w:sz w:val="16"/>
              </w:rPr>
              <w:t>Trait</w:t>
            </w:r>
          </w:p>
        </w:tc>
        <w:tc>
          <w:tcPr>
            <w:tcW w:type="dxa" w:w="1460"/>
          </w:tcPr>
          <w:p>
            <w:r/>
            <w:r>
              <w:rPr>
                <w:b/>
                <w:sz w:val="16"/>
              </w:rPr>
              <w:t>Country-level reference (HM04)</w:t>
            </w:r>
          </w:p>
        </w:tc>
        <w:tc>
          <w:tcPr>
            <w:tcW w:type="dxa" w:w="1460"/>
          </w:tcPr>
          <w:p>
            <w:r/>
            <w:r>
              <w:rPr>
                <w:b/>
                <w:sz w:val="16"/>
              </w:rPr>
              <w:t>Source</w:t>
            </w:r>
          </w:p>
        </w:tc>
        <w:tc>
          <w:tcPr>
            <w:tcW w:type="dxa" w:w="1460"/>
          </w:tcPr>
          <w:p>
            <w:r/>
            <w:r>
              <w:rPr>
                <w:b/>
                <w:sz w:val="16"/>
              </w:rPr>
              <w:t>Tokiwa: engagement (ρ)</w:t>
            </w:r>
          </w:p>
        </w:tc>
        <w:tc>
          <w:tcPr>
            <w:tcW w:type="dxa" w:w="1460"/>
          </w:tcPr>
          <w:p>
            <w:r/>
            <w:r>
              <w:rPr>
                <w:b/>
                <w:sz w:val="16"/>
              </w:rPr>
              <w:t>Rivers: grade (r)</w:t>
            </w:r>
          </w:p>
        </w:tc>
        <w:tc>
          <w:tcPr>
            <w:tcW w:type="dxa" w:w="1460"/>
          </w:tcPr>
          <w:p>
            <w:r/>
            <w:r>
              <w:rPr>
                <w:b/>
                <w:sz w:val="16"/>
              </w:rPr>
              <w:t>Same sign?</w:t>
            </w:r>
          </w:p>
        </w:tc>
      </w:tr>
      <w:tr>
        <w:tc>
          <w:tcPr>
            <w:tcW w:type="dxa" w:w="1460"/>
          </w:tcPr>
          <w:p>
            <w:r/>
            <w:r>
              <w:rPr>
                <w:sz w:val="16"/>
              </w:rPr>
              <w:t>C</w:t>
            </w:r>
          </w:p>
        </w:tc>
        <w:tc>
          <w:tcPr>
            <w:tcW w:type="dxa" w:w="1460"/>
          </w:tcPr>
          <w:p>
            <w:r/>
            <w:r>
              <w:rPr>
                <w:sz w:val="16"/>
              </w:rPr>
              <w:t>+</w:t>
            </w:r>
          </w:p>
        </w:tc>
        <w:tc>
          <w:tcPr>
            <w:tcW w:type="dxa" w:w="1460"/>
          </w:tcPr>
          <w:p>
            <w:r/>
            <w:r>
              <w:rPr>
                <w:sz w:val="16"/>
              </w:rPr>
              <w:t>PDI +.52</w:t>
            </w:r>
          </w:p>
        </w:tc>
        <w:tc>
          <w:tcPr>
            <w:tcW w:type="dxa" w:w="1460"/>
          </w:tcPr>
          <w:p>
            <w:r/>
            <w:r>
              <w:rPr>
                <w:sz w:val="16"/>
              </w:rPr>
              <w:t>+ (.34–.35)</w:t>
            </w:r>
          </w:p>
        </w:tc>
        <w:tc>
          <w:tcPr>
            <w:tcW w:type="dxa" w:w="1460"/>
          </w:tcPr>
          <w:p>
            <w:r/>
            <w:r>
              <w:rPr>
                <w:sz w:val="16"/>
              </w:rPr>
              <w:t>+ (.14)</w:t>
            </w:r>
          </w:p>
        </w:tc>
        <w:tc>
          <w:tcPr>
            <w:tcW w:type="dxa" w:w="1460"/>
          </w:tcPr>
          <w:p>
            <w:r/>
            <w:r>
              <w:rPr>
                <w:sz w:val="16"/>
              </w:rPr>
              <w:t>yes</w:t>
            </w:r>
          </w:p>
        </w:tc>
      </w:tr>
      <w:tr>
        <w:tc>
          <w:tcPr>
            <w:tcW w:type="dxa" w:w="1460"/>
          </w:tcPr>
          <w:p>
            <w:r/>
            <w:r>
              <w:rPr>
                <w:sz w:val="16"/>
              </w:rPr>
              <w:t>E</w:t>
            </w:r>
          </w:p>
        </w:tc>
        <w:tc>
          <w:tcPr>
            <w:tcW w:type="dxa" w:w="1460"/>
          </w:tcPr>
          <w:p>
            <w:r/>
            <w:r>
              <w:rPr>
                <w:sz w:val="16"/>
              </w:rPr>
              <w:t>−</w:t>
            </w:r>
          </w:p>
        </w:tc>
        <w:tc>
          <w:tcPr>
            <w:tcW w:type="dxa" w:w="1460"/>
          </w:tcPr>
          <w:p>
            <w:r/>
            <w:r>
              <w:rPr>
                <w:sz w:val="16"/>
              </w:rPr>
              <w:t>IDV +.64</w:t>
            </w:r>
          </w:p>
        </w:tc>
        <w:tc>
          <w:tcPr>
            <w:tcW w:type="dxa" w:w="1460"/>
          </w:tcPr>
          <w:p>
            <w:r/>
            <w:r>
              <w:rPr>
                <w:sz w:val="16"/>
              </w:rPr>
              <w:t>mixed</w:t>
            </w:r>
          </w:p>
        </w:tc>
        <w:tc>
          <w:tcPr>
            <w:tcW w:type="dxa" w:w="1460"/>
          </w:tcPr>
          <w:p>
            <w:r/>
            <w:r>
              <w:rPr>
                <w:sz w:val="16"/>
              </w:rPr>
              <w:t>− (−.17)</w:t>
            </w:r>
          </w:p>
        </w:tc>
        <w:tc>
          <w:tcPr>
            <w:tcW w:type="dxa" w:w="1460"/>
          </w:tcPr>
          <w:p>
            <w:r/>
            <w:r>
              <w:rPr>
                <w:sz w:val="16"/>
              </w:rPr>
              <w:t>yes</w:t>
            </w:r>
          </w:p>
        </w:tc>
      </w:tr>
      <w:tr>
        <w:tc>
          <w:tcPr>
            <w:tcW w:type="dxa" w:w="1460"/>
          </w:tcPr>
          <w:p>
            <w:r/>
            <w:r>
              <w:rPr>
                <w:sz w:val="16"/>
              </w:rPr>
              <w:t>N</w:t>
            </w:r>
          </w:p>
        </w:tc>
        <w:tc>
          <w:tcPr>
            <w:tcW w:type="dxa" w:w="1460"/>
          </w:tcPr>
          <w:p>
            <w:r/>
            <w:r>
              <w:rPr>
                <w:sz w:val="16"/>
              </w:rPr>
              <w:t>+</w:t>
            </w:r>
          </w:p>
        </w:tc>
        <w:tc>
          <w:tcPr>
            <w:tcW w:type="dxa" w:w="1460"/>
          </w:tcPr>
          <w:p>
            <w:r/>
            <w:r>
              <w:rPr>
                <w:sz w:val="16"/>
              </w:rPr>
              <w:t>UAI +.58; MAS +.57</w:t>
            </w:r>
          </w:p>
        </w:tc>
        <w:tc>
          <w:tcPr>
            <w:tcW w:type="dxa" w:w="1460"/>
          </w:tcPr>
          <w:p>
            <w:r/>
            <w:r>
              <w:rPr>
                <w:sz w:val="16"/>
              </w:rPr>
              <w:t>+ (.17, n.s.)</w:t>
            </w:r>
          </w:p>
        </w:tc>
        <w:tc>
          <w:tcPr>
            <w:tcW w:type="dxa" w:w="1460"/>
          </w:tcPr>
          <w:p>
            <w:r/>
            <w:r>
              <w:rPr>
                <w:sz w:val="16"/>
              </w:rPr>
              <w:t>+ (.11, n.s.)</w:t>
            </w:r>
          </w:p>
        </w:tc>
        <w:tc>
          <w:tcPr>
            <w:tcW w:type="dxa" w:w="1460"/>
          </w:tcPr>
          <w:p>
            <w:r/>
            <w:r>
              <w:rPr>
                <w:sz w:val="16"/>
              </w:rPr>
              <w:t>yes</w:t>
            </w:r>
          </w:p>
        </w:tc>
      </w:tr>
      <w:tr>
        <w:tc>
          <w:tcPr>
            <w:tcW w:type="dxa" w:w="1460"/>
          </w:tcPr>
          <w:p>
            <w:r/>
            <w:r>
              <w:rPr>
                <w:sz w:val="16"/>
              </w:rPr>
              <w:t>A</w:t>
            </w:r>
          </w:p>
        </w:tc>
        <w:tc>
          <w:tcPr>
            <w:tcW w:type="dxa" w:w="1460"/>
          </w:tcPr>
          <w:p>
            <w:r/>
            <w:r>
              <w:rPr>
                <w:sz w:val="16"/>
              </w:rPr>
              <w:t>−</w:t>
            </w:r>
          </w:p>
        </w:tc>
        <w:tc>
          <w:tcPr>
            <w:tcW w:type="dxa" w:w="1460"/>
          </w:tcPr>
          <w:p>
            <w:r/>
            <w:r>
              <w:rPr>
                <w:sz w:val="16"/>
              </w:rPr>
              <w:t>UAI −.55</w:t>
            </w:r>
          </w:p>
        </w:tc>
        <w:tc>
          <w:tcPr>
            <w:tcW w:type="dxa" w:w="1460"/>
          </w:tcPr>
          <w:p>
            <w:r/>
            <w:r>
              <w:rPr>
                <w:sz w:val="16"/>
              </w:rPr>
              <w:t>+ (.23)</w:t>
            </w:r>
          </w:p>
        </w:tc>
        <w:tc>
          <w:tcPr>
            <w:tcW w:type="dxa" w:w="1460"/>
          </w:tcPr>
          <w:p>
            <w:r/>
            <w:r>
              <w:rPr>
                <w:sz w:val="16"/>
              </w:rPr>
              <w:t>+ (.12)</w:t>
            </w:r>
          </w:p>
        </w:tc>
        <w:tc>
          <w:tcPr>
            <w:tcW w:type="dxa" w:w="1460"/>
          </w:tcPr>
          <w:p>
            <w:r/>
            <w:r>
              <w:rPr>
                <w:sz w:val="16"/>
              </w:rPr>
              <w:t>no</w:t>
            </w:r>
          </w:p>
        </w:tc>
      </w:tr>
      <w:tr>
        <w:tc>
          <w:tcPr>
            <w:tcW w:type="dxa" w:w="1460"/>
          </w:tcPr>
          <w:p>
            <w:r/>
            <w:r>
              <w:rPr>
                <w:sz w:val="16"/>
              </w:rPr>
              <w:t>O</w:t>
            </w:r>
          </w:p>
        </w:tc>
        <w:tc>
          <w:tcPr>
            <w:tcW w:type="dxa" w:w="1460"/>
          </w:tcPr>
          <w:p>
            <w:r/>
            <w:r>
              <w:rPr>
                <w:sz w:val="16"/>
              </w:rPr>
              <w:t>+</w:t>
            </w:r>
          </w:p>
        </w:tc>
        <w:tc>
          <w:tcPr>
            <w:tcW w:type="dxa" w:w="1460"/>
          </w:tcPr>
          <w:p>
            <w:r/>
            <w:r>
              <w:rPr>
                <w:sz w:val="16"/>
              </w:rPr>
              <w:t>MAS +.40</w:t>
            </w:r>
          </w:p>
        </w:tc>
        <w:tc>
          <w:tcPr>
            <w:tcW w:type="dxa" w:w="1460"/>
          </w:tcPr>
          <w:p>
            <w:r/>
            <w:r>
              <w:rPr>
                <w:sz w:val="16"/>
              </w:rPr>
              <w:t>weak</w:t>
            </w:r>
          </w:p>
        </w:tc>
        <w:tc>
          <w:tcPr>
            <w:tcW w:type="dxa" w:w="1460"/>
          </w:tcPr>
          <w:p>
            <w:r/>
            <w:r>
              <w:rPr>
                <w:sz w:val="16"/>
              </w:rPr>
              <w:t>− (−.07)</w:t>
            </w:r>
          </w:p>
        </w:tc>
        <w:tc>
          <w:tcPr>
            <w:tcW w:type="dxa" w:w="1460"/>
          </w:tcPr>
          <w:p>
            <w:r/>
            <w:r>
              <w:rPr>
                <w:sz w:val="16"/>
              </w:rPr>
              <w:t>no</w:t>
            </w:r>
          </w:p>
        </w:tc>
      </w:tr>
    </w:tbl>
    <w:p>
      <w:pPr>
        <w:pStyle w:val="Para"/>
      </w:pPr>
      <w:r>
        <w:t>The signs correspond for 3 of 5 traits (C, E, N) and differ for A and O. Neuroticism is the most noticeable case: it is positive in direction in both studies (ρ = +0.17 and r = +0.107, neither statistically significant), which contrasts with the null-to-negative N pattern in earlier meta-analyses, including their Asian samples (Mammadov 2022: Asian ρ = −0.19), and both of Japan's most extreme dimensions (UAI, MAS) are positively associated with national N means. However, the two positive values come from different constructs (engagement ρ in Tokiwa, course grade r in Rivers), so they do not replicate one achievement effect; only Rivers's r = +0.107 concerns achievement. The A difference (country-level −, observed +) is a reminder that national trait means need not describe within-country trait – outcome correlations.</w:t>
      </w:r>
    </w:p>
    <w:p>
      <w:pPr>
        <w:pStyle w:val="Head1"/>
      </w:pPr>
      <w:r>
        <w:t>DISCUSSION</w:t>
      </w:r>
    </w:p>
    <w:p>
      <w:pPr>
        <w:pStyle w:val="Head2"/>
      </w:pPr>
      <w:r>
        <w:t>The within-Asia evidence problem</w:t>
      </w:r>
    </w:p>
    <w:p>
      <w:pPr>
        <w:pStyle w:val="PostHeadPara"/>
      </w:pPr>
      <w:r>
        <w:t>The headline finding of this paper is structural: the binary Asia/non-Asia contrast in the parent preprint, while statistically significant for Extraversion, is supported by a very thin Asian primary pool (k = 2 with extractable r). This is not a critique of the preprint — its k constraints are entirely transparent — but a reminder that 'Asia' as a moderator level is doing more work than k = 2 can sustain. The interpretation 'Extraversion is more negative in Asia' is best read as 'Extraversion is more negative in our two Asian sample-points than in our seven non-Asian sample-points', and the fact that the two Asian points happen to be from different countries (China, Japan) is a confound that no current corpus can resolve. Both Asian studies are also asynchronous and both use objective achievement outcomes, so with the present corpus a region effect cannot be separated from a modality or outcome-type effect.</w:t>
      </w:r>
    </w:p>
    <w:p>
      <w:pPr>
        <w:pStyle w:val="Head2"/>
      </w:pPr>
      <w:r>
        <w:t>What the Hofstede slopes can and cannot show</w:t>
      </w:r>
    </w:p>
    <w:p>
      <w:pPr>
        <w:pStyle w:val="PostHeadPara"/>
      </w:pPr>
      <w:r>
        <w:t>With k = 2, the slopes in Table 2 can only be read as the direction of a single Japan – China contrast, and that contrast is confounded with everything else that differs between the two studies (instrument, education level, outcome measure, β-converted vs direct r). Read this way, the Extraversion slope on Individualism runs against the theoretical expectation: the more individualistic country shows the more negative Extraversion correlation. The LTO slopes cannot be interpreted at all, because the two countries' LTO scores differ by only one point.</w:t>
      </w:r>
    </w:p>
    <w:p>
      <w:pPr>
        <w:pStyle w:val="Head2"/>
      </w:pPr>
      <w:r>
        <w:t>The Japan instrument problem</w:t>
      </w:r>
    </w:p>
    <w:p>
      <w:pPr>
        <w:pStyle w:val="PostHeadPara"/>
      </w:pPr>
      <w:r>
        <w:t>The Japan synthesis's strongest contribution is the surfacing of instrument heterogeneity 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p>
      <w:pPr>
        <w:pStyle w:val="Head2"/>
      </w:pPr>
      <w:r>
        <w:t>Reading the Neuroticism correspondence with caution</w:t>
      </w:r>
    </w:p>
    <w:p>
      <w:pPr>
        <w:pStyle w:val="PostHeadPara"/>
      </w:pPr>
      <w:r>
        <w:t>The Neuroticism correspondence in Table 4 is the most interesting cultural observation in this paper, but it supports a hypothesis rather than a finding: both correlations are small and not statistically significant. It is consistent with Hofstede's (1986) description of strong-UAI societies, in which students are rewarded for structured, accuracy-focused study — behaviour that trait anxiety might sustain. Two gaps prevent a stronger claim. First, the level of analysis differs: the reference correlations are between nations, whereas the observed correlations are between learners within Japan, so using one to explain the other is a cross-level inference. Testing the mechanism would require individual-level cultural measures (for example, personal uncertainty-avoidance orientation) collected together with personality and outcomes. Second, the outcomes differ: engagement in one study and course grade in the other. The Agreeableness difference (country-level −, observed + in both studies) points the same way: population trait levels need not predict individual-level personality – outcome correlations within a particular activity domain.</w:t>
      </w:r>
    </w:p>
    <w:p>
      <w:pPr>
        <w:pStyle w:val="Head2"/>
      </w:pPr>
      <w:r>
        <w:t>Self-plagiarism firewall</w:t>
      </w:r>
    </w:p>
    <w:p>
      <w:pPr>
        <w:pStyle w:val="PostHeadPara"/>
      </w:pPr>
      <w:r>
        <w:t>The within-Asia decomposition and the exploratory correspondence analysis (Table 4) are both absent from the parent preprint, which only reports the binary Asia / non-Asia contrast.</w:t>
      </w:r>
    </w:p>
    <w:p>
      <w:pPr>
        <w:pStyle w:val="Head1"/>
      </w:pPr>
      <w:r>
        <w:t>LIMITATIONS</w:t>
      </w:r>
    </w:p>
    <w:p>
      <w:pPr>
        <w:pStyle w:val="PostHeadPara"/>
      </w:pPr>
      <w:r>
        <w:t>The dominant limitation is k. With k = 2 Asian primary-pool studies, the fits on Hofstede scores have zero residual degrees of freedom; they are two-country contrasts, and the correspondence in Table 4 is descriptive. Hofstede &amp; McCrae (2004) correlations describe country-level trait means, not within-country trait – outcome correlations, so Table 4 rests on a cross-level comparison and cannot test a mechanism. The two Japan studies also differ in outcome construct and effect-size metric (engagement ρ vs grade r) as well as in instrument. The Hofstede framework itself is critiqued for ecological-fallacy risk and IBM-sample provenance (McSweeney, 2002); revised or replicated dimensions (e.g., Minkov &amp; Hofstede, 2014) might yield different reference directions. Western-derived Big Five may not capture culture-specific personality structure in Japan (Cheung et al., 2003). Single-author, single-coder; country-to-Hofstede-dimension assignment uses the canonical Hofstede Insights (2024) table rather than hand-coding.</w:t>
      </w:r>
    </w:p>
    <w:p>
      <w:pPr>
        <w:pStyle w:val="Head1"/>
      </w:pPr>
      <w:r>
        <w:t>CONCLUSION</w:t>
      </w:r>
    </w:p>
    <w:p>
      <w:pPr>
        <w:pStyle w:val="PostHeadPara"/>
      </w:pPr>
      <w:r>
        <w:t>The contribution of this paper is threefold: (a) the binary Asia / non-Asia contrast in the parent preprint conceals a within-Asia structure that the current corpus cannot statistically resolve (k = 2); (b) an exploratory comparison with country-level trait – culture associations (Hofstede &amp; McCrae 2004) shows the same sign for 3 of 5 traits in two Japan-based studies, most notably a positive Neuroticism direction that contrasts with earlier meta-analytic evidence, including Asian samples — a hypothesis to be tested with individual-level cultural measures and a common achievement outcome; and (c) it makes explicit the level-of-analysis, outcome, and instrument gaps that any future culture-moderated synthesis in this field must close.</w:t>
      </w:r>
    </w:p>
    <w:p>
      <w:pPr>
        <w:pStyle w:val="Para"/>
      </w:pPr>
      <w:r>
        <w:t>Practically, Japanese ed-tech researchers should treat Big Five-based personalisation claims with caution: only Conscientiousness shows a consistent direction; instrument standardisation (60-item BFI-2-J vs 10-item TIPI-J) and consistent trait-by-achievement reporting, kept separate from engagement outcomes, are prerequisites for any future Hofstede moderator analysis with df &gt; 0. Future work: extend the Asian primary-pool corpus by targeted recruitment of Korean and Taiwanese samples and test Minkov-revised dimensions as a robustness check on the HM04 mapping.</w:t>
      </w:r>
    </w:p>
    <w:p>
      <w:pPr>
        <w:pStyle w:val="AckHead"/>
      </w:pPr>
      <w:r>
        <w:t>ACKNOWLEDGMENTS</w:t>
      </w:r>
    </w:p>
    <w:p>
      <w:pPr>
        <w:pStyle w:val="AckPara"/>
      </w:pPr>
      <w:r>
        <w:t>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 The author used a large language model (Anthropic's Claude) as a research assistant for drafting, code generation, and formatting; all statistical results were re-executed by the author and all bibliographic entries verified against primary-source PDFs.</w:t>
      </w:r>
    </w:p>
    <w:p>
      <w:pPr>
        <w:pStyle w:val="ReferenceHead"/>
      </w:pPr>
      <w:r>
        <w:t>REFERENCES</w:t>
      </w:r>
    </w:p>
    <w:p>
      <w:pPr>
        <w:pStyle w:val="Bibentry"/>
      </w:pPr>
      <w:r>
        <w:t>Allik, J. and McCrae, R. R. 2004. Toward a geography of personality traits: Patterns of profiles across 36 cultures. Journal of Cross-Cultural Psychology 35, 1 (2004), 13–28. DOI: 10.1177/0022022103260382.</w:t>
      </w:r>
    </w:p>
    <w:p>
      <w:pPr>
        <w:pStyle w:val="Bibentry"/>
      </w:pPr>
      <w:r>
        <w:t>Chen, S., Cheung, A. C. K., and Zeng, Z. 2025. Big Five personality traits and university students' academic performance: A meta-analysis. Personality and Individual Differences 240, 113163 (2025). DOI: 10.1016/j.paid.2025.113163.</w:t>
      </w:r>
    </w:p>
    <w:p>
      <w:pPr>
        <w:pStyle w:val="Bibentry"/>
      </w:pPr>
      <w:r>
        <w:t>Cheung, F. M., Cheung, S. F., Wada, S., and Zhang, J. 2003. Indigenous measures of personality assessment in Asian countries: A review. Psychological Assessment 15, 3 (2003), 280–289. DOI: 10.1037/1040-3590.15.3.280.</w:t>
      </w:r>
    </w:p>
    <w:p>
      <w:pPr>
        <w:pStyle w:val="Bibentry"/>
      </w:pPr>
      <w:r>
        <w:t>Hofstede Insights. 2024. Country comparison tool. Retrieved 2024 from https://www.hofstede-insights.com/.</w:t>
      </w:r>
    </w:p>
    <w:p>
      <w:pPr>
        <w:pStyle w:val="Bibentry"/>
      </w:pPr>
      <w:r>
        <w:t>Hofstede, G. 1986. Cultural differences in teaching and learning. International Journal of Intercultural Relations 10, 3 (1986), 301–320. DOI: 10.1016/0147-1767(86)90015-5.</w:t>
      </w:r>
    </w:p>
    <w:p>
      <w:pPr>
        <w:pStyle w:val="Bibentry"/>
      </w:pPr>
      <w:r>
        <w:t>Hofstede, G. 2001. Culture's Consequences: Comparing Values, Behaviors, Institutions and Organizations across Nations (2nd. ed.). Sage Publications, Thousand Oaks, CA.</w:t>
      </w:r>
    </w:p>
    <w:p>
      <w:pPr>
        <w:pStyle w:val="Bibentry"/>
      </w:pPr>
      <w:r>
        <w:t>Hofstede, G., Hofstede, G. J., and Minkov, M. 2010. Cultures and Organizations: Software of the Mind (3rd. ed.). McGraw-Hill, New York, NY.</w:t>
      </w:r>
    </w:p>
    <w:p>
      <w:pPr>
        <w:pStyle w:val="Bibentry"/>
      </w:pPr>
      <w:r>
        <w:t>Hofstede, G. and McCrae, R. R. 2004. Personality and culture revisited: Linking traits and dimensions of culture. Cross-Cultural Research 38, 1 (2004), 52–88. DOI: 10.1177/1069397103259443.</w:t>
      </w:r>
    </w:p>
    <w:p>
      <w:pPr>
        <w:pStyle w:val="Bibentry"/>
      </w:pPr>
      <w:r>
        <w:t>Mammadov, S. 2022. Big Five personality traits and academic performance: A meta-analysis. Journal of Personality 90, 2 (2022), 222–255. DOI: 10.1111/jopy.12663.</w:t>
      </w:r>
    </w:p>
    <w:p>
      <w:pPr>
        <w:pStyle w:val="Bibentry"/>
      </w:pPr>
      <w:r>
        <w:t>McSweeney, B. 2002. Hofstede's model of national cultural differences and their consequences: A triumph of faith — a failure of analysis. Human Relations 55, 1 (2002), 89–118. DOI: 10.1177/0018726702551004.</w:t>
      </w:r>
    </w:p>
    <w:p>
      <w:pPr>
        <w:pStyle w:val="Bibentry"/>
      </w:pPr>
      <w:r>
        <w:t>Minkov, M. and Hofstede, G. 2014. A replication of Hofstede's uncertainty avoidance dimension across nationally representative samples from Europe. International Journal of Cross Cultural Management 14, 2 (2014), 161–171. DOI: 10.1177/1470595814521600.</w:t>
      </w:r>
    </w:p>
    <w:p>
      <w:pPr>
        <w:pStyle w:val="Bibentry"/>
      </w:pPr>
      <w:r>
        <w:t>Page, M. J., McKenzie, J. E., Bossuyt, P. M., Boutron, I., Hoffmann, T. C., Mulrow, C. D., Shamseer, L., Tetzlaff, J. M., Akl, E. A., Brennan, S. E., et al. 2021. The PRISMA 2020 statement: An updated guideline for reporting systematic reviews. BMJ 372, n71 (2021). DOI: 10.1136/bmj.n71.</w:t>
      </w:r>
    </w:p>
    <w:p>
      <w:pPr>
        <w:pStyle w:val="Bibentry"/>
      </w:pPr>
      <w:r>
        <w:t>Poropat, A. E. 2009. A meta-analysis of the five-factor model of personality and academic performance. Psychological Bulletin 135, 2 (2009), 322–338. DOI: 10.1037/a0014996.</w:t>
      </w:r>
    </w:p>
    <w:p>
      <w:pPr>
        <w:pStyle w:val="Bibentry"/>
      </w:pPr>
      <w:r>
        <w:t>Rivers, D. J. 2021. The role of personality traits and online academic self-efficacy in acceptance, actual use and achievement in Moodle. Education and Information Technologies 26, 4 (2021), 4353–4378. DOI: 10.1007/s10639-021-10478-3.</w:t>
      </w:r>
    </w:p>
    <w:p>
      <w:pPr>
        <w:pStyle w:val="Bibentry"/>
      </w:pPr>
      <w:r>
        <w:t>Schmitt, D. P., Allik, J., McCrae, R. R., and Benet-Martínez, V. 2007. The geographic distribution of Big Five personality traits: Patterns and profiles of human self-description across 56 nations. Journal of Cross-Cultural Psychology 38, 2 (2007), 173–212. DOI: 10.1177/0022022106297299.</w:t>
      </w:r>
    </w:p>
    <w:p>
      <w:pPr>
        <w:pStyle w:val="Bibentry"/>
      </w:pPr>
      <w:r>
        <w:t>Tokiwa, E. 2025. Who excels in online learning in Japan? Frontiers in Psychology 16, Article 1420996 (2025). DOI: 10.3389/fpsyg.2025.1420996.</w:t>
      </w:r>
    </w:p>
    <w:p>
      <w:pPr>
        <w:pStyle w:val="Bibentry"/>
      </w:pPr>
      <w:r>
        <w:t>Tokiwa, E. 2026. Big Five personality traits and academic achievement in online learning environments: A systematic review and meta-analysis. Research Square preprint (2026). DOI: 10.21203/rs.3.rs-9513298/v1.</w:t>
      </w:r>
    </w:p>
    <w:p>
      <w:pPr>
        <w:pStyle w:val="Bibentry"/>
      </w:pPr>
      <w:r>
        <w:t>Wang, P., Wang, F., and Li, Z. 2023. Exploring the ecosystem of K-12 online learning: An empirical study of impact mechanisms in the post-pandemic era. Frontiers in Psychology 14, 1241477 (2023). DOI: 10.3389/fpsyg.2023.1241477.</w:t>
      </w:r>
    </w:p>
    <w:p>
      <w:pPr>
        <w:pStyle w:val="Bibentry"/>
      </w:pPr>
      <w:r>
        <w:t>Yu, Z. 2021. The effects of gender, educational level, and personality on online learning outcomes during the COVID-19 pandemic. International Journal of Educational Technology in Higher Education 18, 1, Article 14 (2021). DOI: 10.1186/s41239-021-00252-3.</w:t>
      </w:r>
    </w:p>
    <w:sectPr w:rsidR="009F5D19" w:rsidRPr="009F5D19" w:rsidSect="000C6221">
      <w:footerReference w:type="default" r:id="rId25"/>
      <w:footerReference w:type="first" r:id="rId2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DE251" w14:textId="77777777" w:rsidR="00610855" w:rsidRDefault="00610855" w:rsidP="005B434B">
      <w:pPr>
        <w:spacing w:after="0" w:line="240" w:lineRule="auto"/>
      </w:pPr>
      <w:r>
        <w:separator/>
      </w:r>
    </w:p>
  </w:endnote>
  <w:endnote w:type="continuationSeparator" w:id="0">
    <w:p w14:paraId="511BA1A9" w14:textId="77777777" w:rsidR="00610855" w:rsidRDefault="00610855"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Linux Libertine O">
    <w:altName w:val="Arial"/>
    <w:panose1 w:val="00000000000000000000"/>
    <w:charset w:val="00"/>
    <w:family w:val="auto"/>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panose1 w:val="00000000000000000000"/>
    <w:charset w:val="00"/>
    <w:family w:val="auto"/>
    <w:notTrueType/>
    <w:pitch w:val="variable"/>
    <w:sig w:usb0="E0000AFF" w:usb1="5000E4FB" w:usb2="00000020" w:usb3="00000000" w:csb0="000001B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Helvetica">
    <w:panose1 w:val="020B0604020202020204"/>
    <w:charset w:val="00"/>
    <w:family w:val="swiss"/>
    <w:pitch w:val="variable"/>
    <w:sig w:usb0="E0002AFF" w:usb1="C0007843" w:usb2="00000009" w:usb3="00000000" w:csb0="000001FF" w:csb1="00000000"/>
  </w:font>
  <w:font w:name="PMingLiU">
    <w:altName w:val="新細明體"/>
    <w:panose1 w:val="020203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AC71B" w14:textId="2E096D1A" w:rsidR="00894B43" w:rsidRDefault="00737F1F" w:rsidP="00894B43">
    <w:pPr>
      <w:pStyle w:val="a7"/>
      <w:jc w:val="center"/>
    </w:pPr>
    <w:r>
      <w:fldChar w:fldCharType="begin"/>
    </w:r>
    <w:r>
      <w:instrText xml:space="preserve"> PAGE   \* MERGEFORMAT </w:instrText>
    </w:r>
    <w:r>
      <w:fldChar w:fldCharType="separate"/>
    </w:r>
    <w:r w:rsidR="00810484">
      <w:rPr>
        <w:noProof/>
      </w:rPr>
      <w:t>14</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89D2E" w14:textId="77777777" w:rsidR="000C6221" w:rsidRDefault="00610855">
    <w:pPr>
      <w:pStyle w:val="a7"/>
    </w:pPr>
  </w:p>
  <w:p w14:paraId="26529D98" w14:textId="77777777" w:rsidR="000C6221" w:rsidRDefault="00610855">
    <w:pPr>
      <w:pStyle w:val="a7"/>
    </w:pPr>
  </w:p>
  <w:p w14:paraId="4A748651" w14:textId="77777777" w:rsidR="000C6221" w:rsidRDefault="00610855">
    <w:pPr>
      <w:pStyle w:val="a7"/>
    </w:pPr>
  </w:p>
  <w:p w14:paraId="7351B0CF" w14:textId="77777777" w:rsidR="000C6221" w:rsidRDefault="00610855">
    <w:pPr>
      <w:pStyle w:val="a7"/>
    </w:pPr>
  </w:p>
  <w:p w14:paraId="1FF8D7CF" w14:textId="77777777" w:rsidR="000C6221" w:rsidRDefault="00610855">
    <w:pPr>
      <w:pStyle w:val="a7"/>
    </w:pPr>
  </w:p>
  <w:p w14:paraId="287BD52D" w14:textId="77777777" w:rsidR="000C6221" w:rsidRDefault="00610855">
    <w:pPr>
      <w:pStyle w:val="a7"/>
    </w:pPr>
  </w:p>
  <w:p w14:paraId="31ADE2EF" w14:textId="77777777" w:rsidR="000C6221" w:rsidRDefault="00610855">
    <w:pPr>
      <w:pStyle w:val="a7"/>
    </w:pPr>
  </w:p>
  <w:p w14:paraId="76E7BE84" w14:textId="77777777" w:rsidR="000C6221" w:rsidRDefault="00610855">
    <w:pPr>
      <w:pStyle w:val="a7"/>
    </w:pPr>
  </w:p>
  <w:p w14:paraId="3384CA09" w14:textId="77777777" w:rsidR="000C6221" w:rsidRDefault="00610855">
    <w:pPr>
      <w:pStyle w:val="a7"/>
    </w:pPr>
  </w:p>
  <w:p w14:paraId="08478D52" w14:textId="77777777" w:rsidR="001E2D05" w:rsidRDefault="0061085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68659" w14:textId="77777777" w:rsidR="00610855" w:rsidRDefault="00610855" w:rsidP="005B434B">
      <w:pPr>
        <w:spacing w:after="0" w:line="240" w:lineRule="auto"/>
      </w:pPr>
      <w:r>
        <w:separator/>
      </w:r>
    </w:p>
  </w:footnote>
  <w:footnote w:type="continuationSeparator" w:id="0">
    <w:p w14:paraId="2BDA7123" w14:textId="77777777" w:rsidR="00610855" w:rsidRDefault="00610855" w:rsidP="005B434B">
      <w:pPr>
        <w:spacing w:after="0" w:line="240" w:lineRule="auto"/>
      </w:pPr>
      <w:r>
        <w:continuationSeparator/>
      </w:r>
    </w:p>
  </w:footnote>
  <w:footnote w:id="1">
    <w:p w14:paraId="4B24700F" w14:textId="77777777"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547F6A"/>
    <w:rsid w:val="005B434B"/>
    <w:rsid w:val="005C3913"/>
    <w:rsid w:val="00610855"/>
    <w:rsid w:val="006E1D11"/>
    <w:rsid w:val="00720F9D"/>
    <w:rsid w:val="00737F1F"/>
    <w:rsid w:val="007B36F5"/>
    <w:rsid w:val="007E20EF"/>
    <w:rsid w:val="00810484"/>
    <w:rsid w:val="0081437E"/>
    <w:rsid w:val="008D14C0"/>
    <w:rsid w:val="00920182"/>
    <w:rsid w:val="009641B8"/>
    <w:rsid w:val="009B76D7"/>
    <w:rsid w:val="009F5D19"/>
    <w:rsid w:val="009F684F"/>
    <w:rsid w:val="00A27A9F"/>
    <w:rsid w:val="00A3685D"/>
    <w:rsid w:val="00A55475"/>
    <w:rsid w:val="00A6011A"/>
    <w:rsid w:val="00AD6C5E"/>
    <w:rsid w:val="00AF5390"/>
    <w:rsid w:val="00B929C9"/>
    <w:rsid w:val="00BD04E6"/>
    <w:rsid w:val="00D07298"/>
    <w:rsid w:val="00DA1CE2"/>
    <w:rsid w:val="00E037CD"/>
    <w:rsid w:val="00E55E8D"/>
    <w:rsid w:val="00E8234D"/>
    <w:rsid w:val="00E92194"/>
    <w:rsid w:val="00EF33C2"/>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47E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0"/>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a6"/>
    <w:qFormat/>
    <w:rsid w:val="005B434B"/>
    <w:pPr>
      <w:spacing w:after="360" w:line="333" w:lineRule="atLeast"/>
    </w:pPr>
    <w:rPr>
      <w:rFonts w:ascii="Linux Biolinum O" w:eastAsia="MS Gothic" w:hAnsi="Linux Biolinum O" w:cs="Linux Biolinum O"/>
      <w:iCs/>
      <w:sz w:val="18"/>
      <w:szCs w:val="24"/>
    </w:rPr>
  </w:style>
  <w:style w:type="character" w:customStyle="1" w:styleId="a6">
    <w:name w:val="副标题 字符"/>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7">
    <w:name w:val="footer"/>
    <w:basedOn w:val="a0"/>
    <w:link w:val="a8"/>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a8">
    <w:name w:val="页脚 字符"/>
    <w:basedOn w:val="a1"/>
    <w:link w:val="a7"/>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9">
    <w:name w:val="Table Grid"/>
    <w:basedOn w:val="a2"/>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0">
    <w:name w:val="标题 1 字符"/>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0">
    <w:name w:val="标题 2 字符"/>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a">
    <w:name w:val="header"/>
    <w:basedOn w:val="a0"/>
    <w:link w:val="ab"/>
    <w:uiPriority w:val="99"/>
    <w:unhideWhenUsed/>
    <w:rsid w:val="006E1D11"/>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6E1D11"/>
    <w:rPr>
      <w:sz w:val="18"/>
      <w:szCs w:val="18"/>
    </w:rPr>
  </w:style>
  <w:style w:type="paragraph" w:customStyle="1" w:styleId="Paper-Title">
    <w:name w:val="Paper-Title"/>
    <w:basedOn w:val="a0"/>
    <w:rsid w:val="009F5D19"/>
    <w:pPr>
      <w:spacing w:after="120" w:line="240" w:lineRule="auto"/>
      <w:jc w:val="center"/>
    </w:pPr>
    <w:rPr>
      <w:rFonts w:ascii="Helvetica" w:hAnsi="Helvetica" w:cs="Times New Roman"/>
      <w:b/>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tinyurl.com/lzny75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ntTable" Target="fontTable.xml"/><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14</Pages>
  <Words>5170</Words>
  <Characters>29471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&lt;ccs2012&gt;
&lt;concept&gt;
&lt;concept_id&gt;10010405.10010489.10010495&lt;/concept_id&gt;
&lt;concept_desc&gt;Applied computing~E-learning&lt;/concept_desc&gt;
&lt;concept_significance&gt;500&lt;/concept_significance&gt;
&lt;/concept&gt;
&lt;/ccs2012&gt;</dc:description>
  <cp:lastModifiedBy>微软用户</cp:lastModifiedBy>
  <cp:revision>28</cp:revision>
  <dcterms:created xsi:type="dcterms:W3CDTF">2020-08-18T11:08:00Z</dcterms:created>
  <dcterms:modified xsi:type="dcterms:W3CDTF">2020-11-26T02:49:00Z</dcterms:modified>
</cp:coreProperties>
</file>