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HEXACO 7-Typology Evidence That Structure Dominates Personality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i/>
          <w:sz w:val="24"/>
        </w:rPr>
        <w:t>SUNBLAZE Co., Ltd., Tokyo, Japan</w:t>
      </w:r>
    </w:p>
    <w:p>
      <w:pPr>
        <w:spacing w:line="480" w:lineRule="auto" w:before="0" w:after="0"/>
        <w:jc w:val="center"/>
      </w:pPr>
      <w:r>
        <w:rPr>
          <w:rFonts w:ascii="Times New Roman" w:hAnsi="Times New Roman" w:eastAsia="Times New Roman"/>
          <w:sz w:val="24"/>
        </w:rPr>
        <w:t>ORCID: 0009-0009-7124-6669</w:t>
      </w: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ind w:firstLine="720"/>
      </w:pPr>
      <w:r>
        <w:rPr>
          <w:rFonts w:ascii="Times New Roman" w:hAnsi="Times New Roman" w:eastAsia="Times New Roman"/>
          <w:sz w:val="24"/>
        </w:rPr>
        <w:t>Pre-registration: OSF DOI 10.17605/OSF.IO/3Y54U (https://osf.io/3y54u). Code, data, and intermediate artifacts are publicly archived under MIT license at https://github.com/etoki/paper.</w:t>
      </w:r>
    </w:p>
    <w:p>
      <w:pPr>
        <w:spacing w:line="480" w:lineRule="auto" w:before="0" w:after="0"/>
      </w:pPr>
    </w:p>
    <w:p>
      <w:pPr>
        <w:spacing w:line="480" w:lineRule="auto" w:before="0" w:after="0"/>
        <w:ind w:firstLine="720"/>
      </w:pPr>
      <w:r>
        <w:rPr>
          <w:rFonts w:ascii="Times New Roman" w:hAnsi="Times New Roman" w:eastAsia="Times New Roman"/>
          <w:sz w:val="24"/>
        </w:rPr>
        <w:t>Submitted to: Royal Society Open Science (Stage 2 Registered Report). This manuscript implements the analysis pre-registered as v2.0 at OSF (https://osf.io/3y54u). Conditional acceptance based on Stage 1 review of the v2.0 protocol document is acknowledged in the cover letter.</w:t>
      </w:r>
    </w:p>
    <w:p>
      <w:pPr>
        <w:spacing w:line="480" w:lineRule="auto" w:before="0" w:after="0"/>
      </w:pPr>
    </w:p>
    <w:p>
      <w:r>
        <w:br w:type="page"/>
      </w:r>
    </w:p>
    <w:p>
      <w:pPr>
        <w:spacing w:line="480" w:lineRule="auto" w:before="0" w:after="0"/>
        <w:jc w:val="center"/>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Funding</w:t>
      </w:r>
    </w:p>
    <w:p>
      <w:pPr>
        <w:spacing w:line="480" w:lineRule="auto" w:before="0" w:after="0"/>
        <w:ind w:firstLine="720"/>
      </w:pPr>
      <w:r>
        <w:rPr>
          <w:rFonts w:ascii="Times New Roman" w:hAnsi="Times New Roman" w:eastAsia="Times New Roman"/>
          <w:sz w:val="24"/>
        </w:rPr>
        <w:t>This research was self-funded by SUNBLAZE Co., Ltd. No external funding was received.</w:t>
      </w:r>
    </w:p>
    <w:p>
      <w:pPr>
        <w:spacing w:line="480" w:lineRule="auto" w:before="0" w:after="0"/>
      </w:pPr>
      <w:r>
        <w:rPr>
          <w:rFonts w:ascii="Times New Roman" w:hAnsi="Times New Roman" w:eastAsia="Times New Roman"/>
          <w:b/>
          <w:sz w:val="24"/>
        </w:rPr>
        <w:t>Conflicts of interest</w:t>
      </w:r>
    </w:p>
    <w:p>
      <w:pPr>
        <w:spacing w:line="480" w:lineRule="auto" w:before="0" w:after="0"/>
        <w:ind w:firstLine="720"/>
      </w:pPr>
      <w:r>
        <w:rPr>
          <w:rFonts w:ascii="Times New Roman" w:hAnsi="Times New Roman" w:eastAsia="Times New Roman"/>
          <w:sz w:val="24"/>
        </w:rPr>
        <w:t>The author declares no competing interests.</w:t>
      </w:r>
    </w:p>
    <w:p>
      <w:pPr>
        <w:spacing w:line="480" w:lineRule="auto" w:before="0" w:after="0"/>
      </w:pPr>
      <w:r>
        <w:rPr>
          <w:rFonts w:ascii="Times New Roman" w:hAnsi="Times New Roman" w:eastAsia="Times New Roman"/>
          <w:b/>
          <w:sz w:val="24"/>
        </w:rPr>
        <w:t>Author contributions</w:t>
      </w:r>
    </w:p>
    <w:p>
      <w:pPr>
        <w:spacing w:line="480" w:lineRule="auto" w:before="0" w:after="0"/>
        <w:ind w:firstLine="720"/>
      </w:pPr>
      <w:r>
        <w:rPr>
          <w:rFonts w:ascii="Times New Roman" w:hAnsi="Times New Roman" w:eastAsia="Times New Roman"/>
          <w:sz w:val="24"/>
        </w:rPr>
        <w:t>The author (sole-authored) was responsible for conceptualization, methodology, software, formal analysis, investigation, data curation, writing — original draft, and writing — review &amp; editing.</w:t>
      </w:r>
    </w:p>
    <w:p>
      <w:pPr>
        <w:spacing w:line="480" w:lineRule="auto" w:before="0" w:after="0"/>
      </w:pPr>
      <w:r>
        <w:rPr>
          <w:rFonts w:ascii="Times New Roman" w:hAnsi="Times New Roman" w:eastAsia="Times New Roman"/>
          <w:b/>
          <w:sz w:val="24"/>
        </w:rPr>
        <w:t>Data and code availability</w:t>
      </w:r>
    </w:p>
    <w:p>
      <w:pPr>
        <w:spacing w:line="480" w:lineRule="auto" w:before="0" w:after="0"/>
        <w:ind w:firstLine="720"/>
      </w:pPr>
      <w:r>
        <w:rPr>
          <w:rFonts w:ascii="Times New Roman" w:hAnsi="Times New Roman" w:eastAsia="Times New Roman"/>
          <w:sz w:val="24"/>
        </w:rPr>
        <w:t>All code, data, and intermediate artifacts are publicly archived under MIT license at https://github.com/etoki/paper (directory: simulation/) and at OSF DOI 10.17605/OSF.IO/3Y54U (https://osf.io/3y54u). Reproducibility is verified via SHA-256 hash comparison against the v2.0 OSF registration.</w:t>
      </w:r>
    </w:p>
    <w:p>
      <w:pPr>
        <w:spacing w:line="480" w:lineRule="auto" w:before="0" w:after="0"/>
      </w:pPr>
      <w:r>
        <w:rPr>
          <w:rFonts w:ascii="Times New Roman" w:hAnsi="Times New Roman" w:eastAsia="Times New Roman"/>
          <w:b/>
          <w:sz w:val="24"/>
        </w:rPr>
        <w:t>Ethics statement</w:t>
      </w:r>
    </w:p>
    <w:p>
      <w:pPr>
        <w:spacing w:line="480" w:lineRule="auto" w:before="0" w:after="0"/>
        <w:ind w:firstLine="720"/>
      </w:pPr>
      <w:r>
        <w:rPr>
          <w:rFonts w:ascii="Times New Roman" w:hAnsi="Times New Roman" w:eastAsia="Times New Roman"/>
          <w:sz w:val="24"/>
        </w:rPr>
        <w:t>The N=354 individual-level harassment data analyzed in this study were collected under an IRB-approved protocol (Tokiwa, 2025, harassment preprint). Analysis of de-identified data does not require additional ethics review under SUNBLAZE Co., Ltd. policy.</w:t>
      </w:r>
    </w:p>
    <w:p>
      <w:r>
        <w:br w:type="page"/>
      </w:r>
    </w:p>
    <w:p>
      <w:pPr>
        <w:spacing w:line="480" w:lineRule="auto" w:before="0" w:after="0"/>
        <w:jc w:val="left"/>
      </w:pPr>
      <w:r>
        <w:rPr>
          <w:rFonts w:ascii="Times New Roman" w:hAnsi="Times New Roman" w:eastAsia="Times New Roman"/>
          <w:b/>
          <w:sz w:val="24"/>
        </w:rPr>
        <w:t>Abstract (≤ 250 words)</w:t>
      </w:r>
    </w:p>
    <w:p>
      <w:pPr>
        <w:spacing w:line="480" w:lineRule="auto" w:before="0" w:after="0"/>
        <w:ind w:firstLine="720"/>
      </w:pPr>
      <w:r>
        <w:rPr>
          <w:rFonts w:ascii="Times New Roman" w:hAnsi="Times New Roman" w:eastAsia="Times New Roman"/>
          <w:sz w:val="24"/>
        </w:rPr>
        <w:t>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ind w:firstLine="720"/>
        <w:jc w:val="left"/>
      </w:pPr>
      <w:r>
        <w:rPr>
          <w:rFonts w:ascii="Times New Roman" w:hAnsi="Times New Roman" w:eastAsia="Times New Roman"/>
          <w:b/>
          <w:i/>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厚生労働省)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(パワーハラスメント防止法),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Glasø, &amp; Einarsen, 2017; Pilch &amp; Turska, 2015), the relative population-level efficacy of person-level versus system-level interventions has not been quantitatively compared in a counterfactually rigorous framework.</w:t>
      </w:r>
    </w:p>
    <w:p>
      <w:pPr>
        <w:spacing w:line="480" w:lineRule="auto" w:before="0" w:after="0"/>
        <w:ind w:firstLine="720"/>
        <w:jc w:val="left"/>
      </w:pPr>
      <w:r>
        <w:rPr>
          <w:rFonts w:ascii="Times New Roman" w:hAnsi="Times New Roman" w:eastAsia="Times New Roman"/>
          <w:b/>
          <w:i/>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Matthiesen, Nielsen, &amp; Einarsen, 2007; Lee et al., 2013; Linton &amp; Power, 2013; Nielsen, Glasø, &amp; Einarsen, 2017). However, the magnitude of these associations is generally modest (uncorrected r typically in the range 0.10–0.30; Nielsen, Glasø, &amp; Einarsen, 2017), and recent meta-analyses suggest considerable cross-cultural heterogeneity in workplace bullying acceptability and effect sizes (Power et al., 2013, comparing six continents; Nielsen, Glasø, &amp; Einarsen,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our research group identified seven robust HEXACO clusters in a Japanese sample of N = 13,668 (Tokiwa, 2026, *IEEE Access*; herein "the centroid study"). The seven typologies — labeled here as types 0 through 6 — span the joint distribution of HEXACO domains and provide a parsimonious taxonomy for categorizing individuals according to their personality profile. The present study leverages these *IEEE Access*–published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ind w:firstLine="720"/>
        <w:jc w:val="left"/>
      </w:pPr>
      <w:r>
        <w:rPr>
          <w:rFonts w:ascii="Times New Roman" w:hAnsi="Times New Roman" w:eastAsia="Times New Roman"/>
          <w:b/>
          <w:i/>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MacCurtain, &amp; Mannix-McNamara,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ind w:firstLine="720"/>
        <w:jc w:val="left"/>
      </w:pPr>
      <w:r>
        <w:rPr>
          <w:rFonts w:ascii="Times New Roman" w:hAnsi="Times New Roman" w:eastAsia="Times New Roman"/>
          <w:b/>
          <w:i/>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ind w:firstLine="720"/>
        <w:jc w:val="left"/>
      </w:pPr>
      <w:r>
        <w:rPr>
          <w:rFonts w:ascii="Times New Roman" w:hAnsi="Times New Roman" w:eastAsia="Times New Roman"/>
          <w:b/>
          <w:i/>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*IEEE Access* clustering paper, Tokiwa 2026).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ind w:firstLine="720"/>
        <w:jc w:val="left"/>
      </w:pPr>
      <w:r>
        <w:rPr>
          <w:rFonts w:ascii="Times New Roman" w:hAnsi="Times New Roman" w:eastAsia="Times New Roman"/>
          <w:b/>
          <w:i/>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ind w:firstLine="720"/>
        <w:jc w:val="left"/>
      </w:pPr>
      <w:r>
        <w:rPr>
          <w:rFonts w:ascii="Times New Roman" w:hAnsi="Times New Roman" w:eastAsia="Times New Roman"/>
          <w:b/>
          <w:i/>
          <w:sz w:val="24"/>
        </w:rPr>
        <w:t>2.1.2 Cluster centroids (N = 13,668; Tokiwa 2026 IEEE Access,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(2026, *IEEE Access*; DOI 10.1109/ACCESS.2026.3651324)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ind w:firstLine="720"/>
        <w:jc w:val="left"/>
      </w:pPr>
      <w:r>
        <w:rPr>
          <w:rFonts w:ascii="Times New Roman" w:hAnsi="Times New Roman" w:eastAsia="Times New Roman"/>
          <w:b/>
          <w:i/>
          <w:sz w:val="24"/>
        </w:rPr>
        <w:t>2.1.3 Population reweighting (Statistics Bureau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Labor Force Survey Basic Tabulation 2022 Annual Average, published by the Statistics Bureau, Ministry of Internal Affairs and Communications (総務省統計局, 2023; PDF retrieved from e-Stat 2026-04-30 by the investigator and archived at `simulation/data/`). We use Table 3 (年齢階級別就業者数; employed persons by age group) restricted to 就業者 (employed persons), yielding total 6,723万人 with age × gender breakdown {15-64, 65+} × {male, female}. The resulting marginals (F = 0.4498, M = 0.5502) replace the v2.0 Stage 1 placeholder (F = 0.5, M = 0.5).</w:t>
      </w:r>
    </w:p>
    <w:p>
      <w:pPr>
        <w:spacing w:line="480" w:lineRule="auto" w:before="0" w:after="0"/>
        <w:ind w:firstLine="720"/>
        <w:jc w:val="left"/>
      </w:pPr>
      <w:r>
        <w:rPr>
          <w:rFonts w:ascii="Times New Roman" w:hAnsi="Times New Roman" w:eastAsia="Times New Roman"/>
          <w:b/>
          <w:i/>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ind w:firstLine="720"/>
        <w:jc w:val="left"/>
      </w:pPr>
      <w:r>
        <w:rPr>
          <w:rFonts w:ascii="Times New Roman" w:hAnsi="Times New Roman" w:eastAsia="Times New Roman"/>
          <w:b/>
          <w:i/>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ind w:firstLine="720"/>
        <w:jc w:val="left"/>
      </w:pPr>
      <w:r>
        <w:rPr>
          <w:rFonts w:ascii="Times New Roman" w:hAnsi="Times New Roman" w:eastAsia="Times New Roman"/>
          <w:b/>
          <w:i/>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*IEEE Access*) values (M3-fixed; m8 limitation: cluster membership is not in the MHLW data); only the gender marginal is updated to the 2022 working-population value.</w:t>
      </w:r>
    </w:p>
    <w:p>
      <w:pPr>
        <w:spacing w:line="480" w:lineRule="auto" w:before="0" w:after="0"/>
        <w:ind w:firstLine="720"/>
        <w:jc w:val="left"/>
      </w:pPr>
      <w:r>
        <w:rPr>
          <w:rFonts w:ascii="Times New Roman" w:hAnsi="Times New Roman" w:eastAsia="Times New Roman"/>
          <w:b/>
          <w:i/>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ind w:firstLine="720"/>
        <w:jc w:val="left"/>
      </w:pPr>
      <w:r>
        <w:rPr>
          <w:rFonts w:ascii="Times New Roman" w:hAnsi="Times New Roman" w:eastAsia="Times New Roman"/>
          <w:b/>
          <w:i/>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ind w:firstLine="720"/>
        <w:jc w:val="left"/>
      </w:pPr>
      <w:r>
        <w:rPr>
          <w:rFonts w:ascii="Times New Roman" w:hAnsi="Times New Roman" w:eastAsia="Times New Roman"/>
          <w:b/>
          <w:i/>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ind w:firstLine="720"/>
        <w:jc w:val="left"/>
      </w:pPr>
      <w:r>
        <w:rPr>
          <w:rFonts w:ascii="Times New Roman" w:hAnsi="Times New Roman" w:eastAsia="Times New Roman"/>
          <w:b/>
          <w:i/>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ind w:firstLine="720"/>
        <w:jc w:val="left"/>
      </w:pPr>
      <w:r>
        <w:rPr>
          <w:rFonts w:ascii="Times New Roman" w:hAnsi="Times New Roman" w:eastAsia="Times New Roman"/>
          <w:b/>
          <w:i/>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ind w:firstLine="720"/>
        <w:jc w:val="left"/>
      </w:pPr>
      <w:r>
        <w:rPr>
          <w:rFonts w:ascii="Times New Roman" w:hAnsi="Times New Roman" w:eastAsia="Times New Roman"/>
          <w:b/>
          <w:i/>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(`code/stage7_counterfactual.py:DELTA_B_MAIN_SD`)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MacCurtain, &amp; Mannix-McNamara,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`code/stage7_counterfactual.py:h7_iut`: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ind w:firstLine="720"/>
        <w:jc w:val="left"/>
      </w:pPr>
      <w:r>
        <w:rPr>
          <w:rFonts w:ascii="Times New Roman" w:hAnsi="Times New Roman" w:eastAsia="Times New Roman"/>
          <w:b/>
          <w:i/>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Glasø, and Einarsen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56-test pytest suite (including the MHLW loader tests activated under Phase 1)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left"/>
      </w:pPr>
      <w:r>
        <w:rPr>
          <w:rFonts w:ascii="Times New Roman" w:hAnsi="Times New Roman" w:eastAsia="Times New Roman"/>
          <w:b/>
          <w:sz w:val="24"/>
        </w:rPr>
        <w:t>2.5 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*IEEE Access*)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**13 were resolved at the BCa stage** and **1 cell (cluster × gender index 11; N = 12, X = 0) was resolved at the Clopper-Pearson stage**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6,723 万人 employed),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−0.0011 and L_BC = −0.0544. Because point ΔP_B = −0.0059 is less than point ΔP_C = +0.0349, the m7 priority-1 condition is satisfied and H7 is classified as **REVERSAL**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sz w:val="24"/>
        </w:rPr>
        <w:t>**Positivity diagnostic.**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MacCurtain, and Mannix-McNamara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ind w:firstLine="720"/>
        <w:jc w:val="left"/>
      </w:pPr>
      <w:r>
        <w:rPr>
          <w:rFonts w:ascii="Times New Roman" w:hAnsi="Times New Roman" w:eastAsia="Times New Roman"/>
          <w:b/>
          <w:i/>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MacCurtain, &amp; Mannix-McNamara,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ind w:firstLine="720"/>
        <w:jc w:val="left"/>
      </w:pPr>
      <w:r>
        <w:rPr>
          <w:rFonts w:ascii="Times New Roman" w:hAnsi="Times New Roman" w:eastAsia="Times New Roman"/>
          <w:b/>
          <w:i/>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ind w:firstLine="720"/>
        <w:jc w:val="left"/>
      </w:pPr>
      <w:r>
        <w:rPr>
          <w:rFonts w:ascii="Times New Roman" w:hAnsi="Times New Roman" w:eastAsia="Times New Roman"/>
          <w:b/>
          <w:i/>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ind w:firstLine="720"/>
        <w:jc w:val="left"/>
      </w:pPr>
      <w:r>
        <w:rPr>
          <w:rFonts w:ascii="Times New Roman" w:hAnsi="Times New Roman" w:eastAsia="Times New Roman"/>
          <w:b/>
          <w:i/>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ind w:firstLine="720"/>
        <w:jc w:val="left"/>
      </w:pPr>
      <w:r>
        <w:rPr>
          <w:rFonts w:ascii="Times New Roman" w:hAnsi="Times New Roman" w:eastAsia="Times New Roman"/>
          <w:b/>
          <w:i/>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Tokiwa (2026, *IEEE Access*)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ind w:firstLine="720"/>
        <w:jc w:val="left"/>
      </w:pPr>
      <w:r>
        <w:rPr>
          <w:rFonts w:ascii="Times New Roman" w:hAnsi="Times New Roman" w:eastAsia="Times New Roman"/>
          <w:b/>
          <w:i/>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*structural interventions translate to approximately 5.7×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[in Japanese: 平成28年度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[in Japanese: 令和2年度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[in Japanese: 令和5年度 職場のハラスメントに関する実態調査].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[in Japanese: 労働力調査（基本集計）2022年（令和４年）平均結果の要約].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sz w:val="24"/>
        </w:rPr>
        <w:t>*Note*.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sz w:val="24"/>
        </w:rPr>
        <w:t>*Note*.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sz w:val="24"/>
        </w:rPr>
        <w:t>*Note*. B0 trivially attains MAPE = 0 by construction (its prediction equals MHLW grand mean). H2 was tested via Bonferroni-Holm-corrected pairwise inequalities at one-sided α = 0.05 and Page's L (1963) ordinal trend test as auxiliary. **0 of 4 pairs were confirmed**; Page's L statistic *p*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sz w:val="24"/>
        </w:rPr>
        <w:t>*Note*. Counterfactual operationalization per pre-registered v2.0 Section 5.7. Positive ΔP indicates *reduction* in prevalence (sign convention). Bootstrap CIs use B = 2,000 cell-stratified resamples. The H7 IUT (Berger &amp; Hsu, 1996) computes one-sided 95% lower bounds L_BA and L_BC. Classification follows the m7 priority cascade implemented in `code/stage7_counterfactual.py:h7_iut`: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sz w:val="24"/>
        </w:rPr>
        <w:t>**H7 IUT:** L_BA = −0.0011, L_BC = −0.0544; point ΔP_B &lt; point ΔP_C triggers m7 priority-1 → **REVERSAL**</w:t>
      </w:r>
    </w:p>
    <w:p>
      <w:pPr>
        <w:spacing w:line="480" w:lineRule="auto" w:before="0" w:after="0"/>
      </w:pPr>
      <w:r>
        <w:rPr>
          <w:rFonts w:ascii="Times New Roman" w:hAnsi="Times New Roman" w:eastAsia="Times New Roman"/>
          <w:sz w:val="24"/>
        </w:rPr>
        <w:t>**Positivity diagnostic (Methods Clarification m5):**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sz w:val="24"/>
        </w:rPr>
        <w:t>*Note*.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sz w:val="24"/>
        </w:rPr>
        <w:t>*Note*.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(N=354 individual data; Tokiwa 2026 *IEEE Access* 7-cluster centroids; Statistics Bureau (MIC) Labor Force Survey 2022) flowing through Stages 0–8 with their HDF5 outputs. Generated as PNG/PDF/SVG by `simulation/code/figures.py` (Makefile target `figures`).</w:t>
      </w:r>
    </w:p>
    <w:p>
      <w:pPr>
        <w:spacing w:line="480" w:lineRule="auto" w:before="0" w:after="0"/>
      </w:pPr>
      <w:r>
        <w:rPr>
          <w:rFonts w:ascii="Times New Roman" w:hAnsi="Times New Roman" w:eastAsia="Times New Roman"/>
          <w:sz w:val="24"/>
        </w:rPr>
        <w:t>**Caption.** *The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sz w:val="24"/>
        </w:rPr>
        <w:t>**Caption.** *Per-cell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sz w:val="24"/>
        </w:rPr>
        <w:t>**Caption.** *Model-based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sz w:val="24"/>
        </w:rPr>
        <w:t>**Caption.** *One-at-a-time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sz w:val="24"/>
        </w:rPr>
        <w:t>**Caption.** *Counterfactual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sz w:val="24"/>
        </w:rPr>
        <w:t>**Caption.** *H7 IUT classification under cultural attenuation factors F ∈ {0.3, 0.5, 0.7, 1.0}. The REVERSAL classification (structural dominance) is preserved across all four factors, including the conservative cross-cultural worst-case anchor (F = 0.3) and the Nielsen, Glasø, and Einarsen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All figures are saved at 300 DPI in PNG and PDF formats; vector versions (SVG) are also produced for journal submission. PNG embeds are used in `manuscript_preprint.docx` and `manuscript_journal.docx`; PDF/SVG accompany the journal submission as separate files (per RSOS Stage 2 RR submission requirements).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