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B0 trivially attains MAPE = 0 by construction (its prediction equals MHLW grand mean). H2 was tested via Bonferroni-Holm-corrected pairwise inequalities at one-sided α = 0.05 and Page's L (1963) ordinal trend test as auxiliary. **0 of 4 pairs were confirmed**; Page's L statistic *p*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Counterfactual operationalization per pre-registered v2.0 Section 5.7. Positive ΔP indicates *reduction* in prevalence (sign convention). Bootstrap CIs use B = 2,000 cell-stratified resamples. The H7 IUT (Berger &amp; Hsu, 1996) computes one-sided 95% lower bounds L_BA and L_BC. Classification follows the m7 priority cascade implemented in `code/stage7_counterfactual.py:h7_iut`: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**H7 IUT:** L_BA = −0.0011, L_BC = −0.0544; point ΔP_B &lt; point ΔP_C triggers m7 priority-1 → **REVERSAL**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**Positivity diagnostic (Methods Clarification m5):**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Nielsen, Glasø, &amp; Einarsen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0.01); 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figures are saved at 300 DPI in PNG and PDF formats; vector versions (SVG) are also produced for journal submission. PNG embeds are used in `manuscript_preprint.docx` and `manuscript_journal.docx`; PDF/SVG accompany the journal submission as separate files (per RSOS Stage 2 RR submission requirements).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