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before="0" w:after="0"/>
        <w:jc w:val="center"/>
      </w:pPr>
      <w:r>
        <w:rPr>
          <w:rFonts w:ascii="Times New Roman" w:hAnsi="Times New Roman" w:eastAsia="Times New Roman"/>
          <w:b/>
          <w:sz w:val="24"/>
        </w:rPr>
        <w:t>Person-Level versus System-Level Anti-Harassment Interventions: HEXACO 7-Typology Evidence That Structure Dominates Personality in Japanese Workplaces</w:t>
      </w:r>
    </w:p>
    <w:p>
      <w:pPr>
        <w:spacing w:line="480" w:lineRule="auto" w:before="0" w:after="0"/>
        <w:jc w:val="center"/>
      </w:pPr>
      <w:r>
        <w:rPr>
          <w:rFonts w:ascii="Times New Roman" w:hAnsi="Times New Roman" w:eastAsia="Times New Roman"/>
          <w:b/>
          <w:sz w:val="24"/>
        </w:rPr>
        <w:t>Figures (captions)</w:t>
      </w:r>
    </w:p>
    <w:p>
      <w:pPr>
        <w:spacing w:line="480" w:lineRule="auto" w:before="0" w:after="0"/>
      </w:pPr>
    </w:p>
    <w:p>
      <w:pPr>
        <w:spacing w:line="480" w:lineRule="auto" w:before="0" w:after="0"/>
        <w:jc w:val="left"/>
      </w:pPr>
      <w:r>
        <w:rPr>
          <w:rFonts w:ascii="Times New Roman" w:hAnsi="Times New Roman" w:eastAsia="Times New Roman"/>
          <w:b/>
          <w:sz w:val="24"/>
        </w:rPr>
        <w:t>Figure 1. Pipeline Schematic</w:t>
      </w:r>
    </w:p>
    <w:p>
      <w:pPr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>A box-and-arrow diagram of the nine pre-registered pipeline stages, showing the data inputs (N=354 individual data; Tokiwa 2026 *IEEE Access* 7-cluster centroids; Statistics Bureau (MIC) Labor Force Survey 2022) flowing through Stages 0–8 with their HDF5 outputs. Generated as PNG/PDF/SVG by `simulation/code/figures.py` (Makefile target `figures`).</w:t>
      </w:r>
    </w:p>
    <w:p>
      <w:pPr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>**Caption.** *The HEXACO 7-typology workplace harassment microsimulation pipeline. Stage 0 (cell propensity) feeds into Stage 1 (population aggregation, MIC-reweighted) and Stage 2 (H1 four-tier classification). Stage 3 (sensitivity), Stage 4 (baselines), Stage 5 (CMV diagnostic), Stage 6 (target trial PICO), Stage 7 (counterfactuals + H7 IUT), and Stage 8 (transportability) operate in parallel after Stage 2.*</w:t>
      </w:r>
    </w:p>
    <w:p>
      <w:pPr>
        <w:spacing w:line="480" w:lineRule="auto" w:before="0" w:after="0"/>
        <w:jc w:val="left"/>
      </w:pPr>
      <w:r>
        <w:rPr>
          <w:rFonts w:ascii="Times New Roman" w:hAnsi="Times New Roman" w:eastAsia="Times New Roman"/>
          <w:b/>
          <w:sz w:val="24"/>
        </w:rPr>
        <w:t>Figure 2. 14-Cell Cell-Level Propensity (Stage 0)</w:t>
      </w:r>
    </w:p>
    <w:p>
      <w:pPr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>A heatmap of P̂_c across 7 HEXACO clusters × 2 genders, with cell sizes overlaid. Cell ordering follows the v2.0 master Section 5.1 convention (cluster × 2 + gender index).</w:t>
      </w:r>
    </w:p>
    <w:p>
      <w:pPr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>**Caption.** *Per-cell power-harassment victimization propensities P̂_c with 95% BCa CIs. Cell sizes (N_c) range from 10 to 70 (median 18). Color encodes propensity (blue = low; red = high). Cells with N_c &lt; 20 are demarcated with a dashed boundary.*</w:t>
      </w:r>
    </w:p>
    <w:p>
      <w:pPr>
        <w:spacing w:line="480" w:lineRule="auto" w:before="0" w:after="0"/>
        <w:jc w:val="left"/>
      </w:pPr>
      <w:r>
        <w:rPr>
          <w:rFonts w:ascii="Times New Roman" w:hAnsi="Times New Roman" w:eastAsia="Times New Roman"/>
          <w:b/>
          <w:sz w:val="24"/>
        </w:rPr>
        <w:t>Figure 3. National Prevalence vs MHLW Validation Targets</w:t>
      </w:r>
    </w:p>
    <w:p>
      <w:pPr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>A bar chart of model-predicted P̂ = 0.1744 (single bar) overlaid with the three MHLW validation targets (FY2016 = 0.325, FY2020 = 0.314, FY2023 = 0.193) as horizontal reference lines, with the staged enforcement period of the 2020 Power Harassment Prevention Law shaded.</w:t>
      </w:r>
    </w:p>
    <w:p>
      <w:pPr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>**Caption.** *Model-based national prevalence (P̂ = 17.44%, blue bar) compared with MHLW past-three-year power-harassment victimization targets across three survey periods. The 2020 Power Harassment Prevention Law's staged enforcement (large enterprises 2020-06; SMEs 2022-04) coincides with the FY2020 → FY2023 decline. Predicted prevalence aligns most closely with the post-law FY2023 target (Standard SUCCESS; CI upper 31.52% narrowly above the 30% Strict threshold).*</w:t>
      </w:r>
    </w:p>
    <w:p>
      <w:pPr>
        <w:spacing w:line="480" w:lineRule="auto" w:before="0" w:after="0"/>
        <w:jc w:val="left"/>
      </w:pPr>
      <w:r>
        <w:rPr>
          <w:rFonts w:ascii="Times New Roman" w:hAnsi="Times New Roman" w:eastAsia="Times New Roman"/>
          <w:b/>
          <w:sz w:val="24"/>
        </w:rPr>
        <w:t>Figure 4. OAT Sensitivity Tornado Plot</w:t>
      </w:r>
    </w:p>
    <w:p>
      <w:pPr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>A tornado plot with parameter families on the y-axis and MAPE_FY2016 horizontal bars on the x-axis, ordered by sensitivity magnitude. The two sensitive families (binarization, cluster mass) appear at the top with wide bars; the two stable families (soft τ, EB scale) appear at the bottom with narrow bars. The locked main configuration is marked with a vertical reference line.</w:t>
      </w:r>
    </w:p>
    <w:p>
      <w:pPr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>**Caption.** *One-at-a-time sensitivity sweep of FY2016 MAPE. Binarization threshold and cluster mass shift exhibit substantial sensitivity (range 29.6% to 56.5%), whereas soft-assignment τ and empirical Bayes shrinkage scale exhibit negligible sensitivity (range &lt; 0.5%). Vertical line at 45.51% marks the locked v2.0 main configuration.*</w:t>
      </w:r>
    </w:p>
    <w:p>
      <w:pPr>
        <w:spacing w:line="480" w:lineRule="auto" w:before="0" w:after="0"/>
        <w:jc w:val="left"/>
      </w:pPr>
      <w:r>
        <w:rPr>
          <w:rFonts w:ascii="Times New Roman" w:hAnsi="Times New Roman" w:eastAsia="Times New Roman"/>
          <w:b/>
          <w:sz w:val="24"/>
        </w:rPr>
        <w:t>Figure 5. Counterfactual ΔP_x Forest Plot</w:t>
      </w:r>
    </w:p>
    <w:p>
      <w:pPr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>A forest plot with three counterfactuals on the y-axis (A, B, C), point estimates with 95% CIs as horizontal whiskers, and a vertical reference line at ΔP = 0. Counterfactuals A and B's CIs overlap zero; Counterfactual C's CI excludes zero on the positive side.</w:t>
      </w:r>
    </w:p>
    <w:p>
      <w:pPr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>**Caption.** *Counterfactual ΔP_x estimates and 95% CIs. Personality intervention (A; +0.3 SD on H/A/E for all individuals) and targeted personality intervention (B; +0.40 SD on HH restricted to individuals already in the low-prevalence Cluster {0, 4, 6} subgroup) yield null effects (CIs cross zero). Structural intervention (C; −20% propensity, calibrated against three meta-analyses and the MHLW FY2016–FY2023 Power Harassment Prevention Law natural experiment) yields a positive effect of +3.49 percentage points (CI excludes zero on the positive side). The H7 intersection-union test (Berger &amp; Hsu, 1996) classifies this configuration as REVERSAL.*</w:t>
      </w:r>
    </w:p>
    <w:p>
      <w:pPr>
        <w:spacing w:line="480" w:lineRule="auto" w:before="0" w:after="0"/>
        <w:jc w:val="left"/>
      </w:pPr>
      <w:r>
        <w:rPr>
          <w:rFonts w:ascii="Times New Roman" w:hAnsi="Times New Roman" w:eastAsia="Times New Roman"/>
          <w:b/>
          <w:sz w:val="24"/>
        </w:rPr>
        <w:t>Figure 6. Transportability Robustness</w:t>
      </w:r>
    </w:p>
    <w:p>
      <w:pPr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>A line plot with cultural attenuation factor F on the x-axis (0.3 to 1.0) and ΔP_x on the y-axis. Three lines for ΔP_A, ΔP_B, ΔP_C, with 95% CIs as shaded bands. The ΔP_C line remains above zero across the entire factor range; the ΔP_A and ΔP_B lines remain centered on zero.</w:t>
      </w:r>
    </w:p>
    <w:p>
      <w:pPr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>**Caption.** *H7 IUT classification under cultural attenuation factors F ∈ {0.3, 0.5, 0.7, 1.0}. The REVERSAL classification (structural dominance) is preserved across all four factors, including the conservative cross-cultural worst-case anchor (F = 0.3) and the Nielsen, Glasø, and Einarsen (2017) Asia/Oceania expected attenuation (F = 0.5).*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