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[n_included] included primary studies (total pooled N = [N_total]), the pooled correlation between Conscientiousness and online academic achievement was r = [r_C] (95% CI [[ci_lo_C], [ci_hi_C]]), with comparable estimates for Openness (r = [r_O]), Extraversion (r = [r_E]), Agreeableness (r = [r_A]), and Neuroticism (r = [r_N]). The pattern of pooled effects was [broadly consistent with / partially divergent from] established face-to-face benchmarks, with [summary of the most important modality-specific findings—e.g., a stronger Openness effect in online contexts; a negative Extraversion effect in fully online asynchronous settings; and an amplified Agreeableness effect in collectivistic cultural contexts].</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[r_C] [fell within / fell below / exceeded] the pre-specified range of .20 to .35. H1 is therefore [supported / partially supported / not supported]. The magnitude of the C effect in online environments was [comparable to / larger than / smaller than] the face-to-face benchmarks reported by Poropat (2009; ρ = .22), McAbee and Oswald (2013; ρ = .26), Vedel (2014; ρ = .26), Mammadov (2022; ρ = .27), and Chen et al. (2025; r = .206), [consistent with / inconsistent with] the expectation that the self-regulation demands of online learning would preserve or amplify the Conscientiousness advantage.</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[r_O]) [was / was not] the second-largest positive effect in the present synthesis. Compared with the face-to-face benchmarks (Mammadov, 2022; ρ = .16; Meyer et al., 2023; ρ = .21), the online estimate was [larger / comparable / smaller], [supporting / not supporting] the prediction that online environments place a premium on self-directed exploration. [If supported: The enlarged Openness effect converges with the theoretical mechanism proposed by Meyer et al. (2023) under the Personality-Achievement Saturation Hypothesis, extended to technology-mediated settings.]</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[r_A], [consistent with / inconsistent with] the face-to-face benchmark range of .05 to .10. H3 is [supported / partially supported / not supported]. The pattern was strongly moderated by region: in Asian samples, Agreeableness effects were substantially larger (r = [r_A_Asia]), replicating the pattern reported by Mammadov (2022) and Yu (2021). This finding suggests that the cooperative-learning premium in collectivistic cultural contexts may offset the general prediction of weaker Agreeableness effects in asynchronous online environments.</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[r_N], and the modality moderator analysis [did / did not] reveal a more negative effect in fully online than in blended modalities. H4 is [supported / partially supported / not supported]. [If supported: The pattern converges with Rodrigues et al. (2024) and with the theoretical mechanism that isolation and technology-related stressors disproportionately affect anxious learners.]</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[r_E], [consistent with / inconsistent with] the prediction of a null or weak negative effect. H5 [is / is not] supported. [If supported: The finding that Extraversion was negatively associated with achievement in asynchronous online environments—most clearly in Rivers (2021), Yu (2021), and Wang et al. (2023)—represents the first meta-analytic evidence for a directional shift in the Extraversion effect attributable to learning modality, extending the near-null face-to-face estimate (Poropat, 2009; Chen et al., 2025) toward a meaningfully negative pattern.]</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[preserved / reduced / amplified] Conscientiousness effect in online environments [supports / complicates] the Personality-Achievement Saturation Hypothesis (Meyer et al., 2023), which posits that Conscientiousness is channeled into academic outcomes through behavioral signals visible to graders. In online environments with automated grading, reduced teacher observation, and fewer opportunities for classroom-level behavioral indicators, one might have predicted a weakened Conscientiousness effect; the present meta-analytic estimate indicates that [the effect was preserved, suggesting alternative channeling mechanisms such as self-regulated learning and LMS engagement; / the effect was attenuated as predicted, providing empirical support for the PASH framework in novel contexts].</w:t>
      </w:r>
    </w:p>
    <w:p>
      <w:pPr>
        <w:spacing w:line="480" w:lineRule="auto" w:before="0" w:after="0"/>
        <w:ind w:firstLine="720"/>
      </w:pPr>
      <w:r>
        <w:rPr>
          <w:rFonts w:ascii="Times New Roman" w:hAnsi="Times New Roman" w:eastAsia="Times New Roman"/>
          <w:sz w:val="24"/>
        </w:rPr>
        <w:t>Second, the [null / negative / positive] pooled Extraversion effect in online environments contributes to a nuanced view of how social presence moderates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estimate [converges with / diverges from] this pattern, providing [preliminary / strong] evidence that asynchronous, low-social-presence modalities can shift the direction of the Extraversion effect. This finding aligns with the social-presence theory of online learning (Garrison, Anderson, &amp; Archer, 2000) and with person-environment fit models of personality expression in technology-mediated contexts.</w:t>
      </w:r>
    </w:p>
    <w:p>
      <w:pPr>
        <w:spacing w:line="480" w:lineRule="auto" w:before="0" w:after="0"/>
        <w:ind w:firstLine="720"/>
      </w:pPr>
      <w:r>
        <w:rPr>
          <w:rFonts w:ascii="Times New Roman" w:hAnsi="Times New Roman" w:eastAsia="Times New Roman"/>
          <w:sz w:val="24"/>
        </w:rPr>
        <w:t>Third, the cultural moderator findings—amplified Conscientiousness and Agreeableness effects in Asian samples—replicate Mammadov (2022) and Chen et al. (2025) in the online context. This convergence suggests that the cultural mechanism documented in face-to-face samples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[revealed / did not reveal] meaningful pre-COVID, COVID-era, and post-COVID differences in the personality-achievement association. [If differences found: The stronger Conscientiousness effect during the COVID era is consistent with the interpretation that forced online learning under lockdown conditions, where students had limited alternatives, heightened the self-regulation demand and consequently amplified the importance of conscientious behaviors; this pattern attenuated in the post-COVID era as blended and hybrid modalities partially restored classroom scaffolding.]</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 amplified] role of Conscientiousness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the [negative / null] Extraversion effect suggests that learners who thrive on social interaction may be systematically disadvantaged.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w:t>
      </w:r>
    </w:p>
    <w:p>
      <w:pPr>
        <w:spacing w:line="480" w:lineRule="auto" w:before="0" w:after="0"/>
        <w:ind w:firstLine="720"/>
      </w:pPr>
      <w:r>
        <w:rPr>
          <w:rFonts w:ascii="Times New Roman" w:hAnsi="Times New Roman" w:eastAsia="Times New Roman"/>
          <w:sz w:val="24"/>
        </w:rPr>
        <w:t>For learners themselves and the academic advisors who support them, the amplified role of Openness in online environments underscores the value of exploration-oriented habits: seeking out supplementary resources, engaging with novel digital tools, and framing assignments as opportunities for intellectual exploration rather than compliance tasks. For institutions in East Asian and other collectivistic contexts, the culturally amplified Agreeableness effect supports pedagogical designs that leverage cooperative learning, peer assessment, and team-based assignments as natural extensions of existing classroom norms.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[confirm / qualify / extend] the face-to-face pattern of a dominant Conscientiousness effect, secondary Openness effect, and near-null Extraversion, Agreeableness, and Neuroticism effects, while [documenting / suggesting] meaningful modality-specific divergences in the directional pattern of Extraversion and the cultural moderation of Agreeableness. The Personality-Achievement Saturation Hypothesis (Meyer et al., 2023) is extended to technology-mediated learning, and the role of self-efficacy and self-regulation as mediators is highlighted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