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Scoping Review with Exploratory Quantitative Synthesis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review was pre-registered on OSF Registries (https://doi.org/10.17605/OSF.IO/E5W47), and the extraction data, analysis code, and outputs are openly available at https://github.com/etoki/paper.</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no financial or personal relationships that could inappropriately influence this work. One of the author's own primary studies (Tokiwa, 2025) met the eligibility criteria and is among the retained studies; it contributed no correlation to the quantitative pool, and a pre-specified sensitivity analysis excluding it is reported.</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scoping review synthesises previously published research and involved no data collection from human participants by the author; ethical approval for the primary studies was the responsibility of their investigators.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The protocol was pre-registered on OSF Registries (https://osf.io/e5w47/; DOI: 10.17605/OSF.IO/E5W47) on April 23, 2026. Deviations from it are listed in the Methods.</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The extraction file (data_extraction_populated.csv), the search log, the reading notes, the analysis code, and the outputs behind every table and figure are openly available at https://github.com/etoki/paper (folder metaanalysis). The completed PRISMA-ScR checklist is provided as supplementary material.</w:t>
      </w:r>
    </w:p>
    <w:p>
      <w:pPr>
        <w:spacing w:line="480" w:lineRule="auto" w:before="0" w:after="0"/>
      </w:pPr>
    </w:p>
    <w:p>
      <w:pPr>
        <w:spacing w:line="480" w:lineRule="auto" w:before="0" w:after="0"/>
      </w:pPr>
      <w:r>
        <w:rPr>
          <w:rFonts w:ascii="Times New Roman" w:hAnsi="Times New Roman" w:eastAsia="Times New Roman"/>
          <w:b/>
          <w:sz w:val="24"/>
        </w:rPr>
        <w:t>Declaration of Generative AI Use</w:t>
      </w:r>
    </w:p>
    <w:p>
      <w:pPr>
        <w:spacing w:line="480" w:lineRule="auto" w:before="0" w:after="0"/>
      </w:pPr>
      <w:r>
        <w:rPr>
          <w:rFonts w:ascii="Times New Roman" w:hAnsi="Times New Roman" w:eastAsia="Times New Roman"/>
          <w:sz w:val="24"/>
        </w:rPr>
        <w:t>The author used a large language model (Claude, Anthropic) throughout this project: to support the literature search and the summarising of candidate reports, to write and run the Python analysis code, and to draft and edit the manuscript text. All inclusion decisions and extracted values were checked by the author against the full texts, and the author takes full responsibility for the content. Two analysis errors in an earlier version (an incorrect β-to-r conversion and an inappropriate subgroup test) were introduced in AI-generated code and were corrected for this version; the corrected estimators were checked against an independent implementation (PyMARE).</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ran the searches, screened and extracted the studies,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An earlier version of this work was posted on Research Square (https://doi.org/10.21203/rs.3.rs-9513298) as a systematic review and meta-analysis. That version has not been peer reviewed, and its numerical results differ from the present ones because of the corrections described in the Declaration of Generative AI Use and in the Methods.</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reporting their correlation matrices, and the developers of NumPy, SciPy, Matplotlib, PyMARE, and python-docx.</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Meta-analyses of the Big Five personality traits and academic achievement have pooled face-to-face, blended, and online samples without examining online learning separately. This pre-registered scoping review maps the evidence for online, blended, and MOOC settings and adds an exploratory quantitative synthesis. Because the pre-registered subscription databases (PsycINFO, Scopus, Web of Science, ProQuest Dissertations) could not be accessed, the search used a web search engine, ERIC, open-access repositories, and citation snowballing, and the review follows PRISMA-ScR. Of 31 catalogued full-text reports, 25 studies were retained, and 9 contributed trait–achievement correlations to random-effects meta-analyses (REML, Hartung-Knapp-Sidik-Jonkman; </w:t>
      </w:r>
      <w:r>
        <w:rPr>
          <w:rFonts w:ascii="Times New Roman" w:hAnsi="Times New Roman" w:eastAsia="Times New Roman"/>
          <w:i/>
          <w:sz w:val="24"/>
        </w:rPr>
        <w:t>N</w:t>
      </w:r>
      <w:r>
        <w:rPr>
          <w:rFonts w:ascii="Times New Roman" w:hAnsi="Times New Roman" w:eastAsia="Times New Roman"/>
          <w:sz w:val="24"/>
        </w:rPr>
        <w:t xml:space="preserve"> = 3,102). Conscientiousness showed a small positive association (</w:t>
      </w:r>
      <w:r>
        <w:rPr>
          <w:rFonts w:ascii="Times New Roman" w:hAnsi="Times New Roman" w:eastAsia="Times New Roman"/>
          <w:i/>
          <w:sz w:val="24"/>
        </w:rPr>
        <w:t>r</w:t>
      </w:r>
      <w:r>
        <w:rPr>
          <w:rFonts w:ascii="Times New Roman" w:hAnsi="Times New Roman" w:eastAsia="Times New Roman"/>
          <w:sz w:val="24"/>
        </w:rPr>
        <w:t xml:space="preserve"> = .185, 95% CI [.112, .255]) that held in all sensitivity analyses but was somewhat below face-to-face benchmarks. Agreeableness (</w:t>
      </w:r>
      <w:r>
        <w:rPr>
          <w:rFonts w:ascii="Times New Roman" w:hAnsi="Times New Roman" w:eastAsia="Times New Roman"/>
          <w:i/>
          <w:sz w:val="24"/>
        </w:rPr>
        <w:t>r</w:t>
      </w:r>
      <w:r>
        <w:rPr>
          <w:rFonts w:ascii="Times New Roman" w:hAnsi="Times New Roman" w:eastAsia="Times New Roman"/>
          <w:sz w:val="24"/>
        </w:rPr>
        <w:t xml:space="preserve"> = .130, [−.022, .277]), Openness (</w:t>
      </w:r>
      <w:r>
        <w:rPr>
          <w:rFonts w:ascii="Times New Roman" w:hAnsi="Times New Roman" w:eastAsia="Times New Roman"/>
          <w:i/>
          <w:sz w:val="24"/>
        </w:rPr>
        <w:t>r</w:t>
      </w:r>
      <w:r>
        <w:rPr>
          <w:rFonts w:ascii="Times New Roman" w:hAnsi="Times New Roman" w:eastAsia="Times New Roman"/>
          <w:sz w:val="24"/>
        </w:rPr>
        <w:t xml:space="preserve"> = .096, [−.052, .239]), Neuroticism (</w:t>
      </w:r>
      <w:r>
        <w:rPr>
          <w:rFonts w:ascii="Times New Roman" w:hAnsi="Times New Roman" w:eastAsia="Times New Roman"/>
          <w:i/>
          <w:sz w:val="24"/>
        </w:rPr>
        <w:t>r</w:t>
      </w:r>
      <w:r>
        <w:rPr>
          <w:rFonts w:ascii="Times New Roman" w:hAnsi="Times New Roman" w:eastAsia="Times New Roman"/>
          <w:sz w:val="24"/>
        </w:rPr>
        <w:t xml:space="preserve"> = .017, [−.095, .128]), and Extraversion (</w:t>
      </w:r>
      <w:r>
        <w:rPr>
          <w:rFonts w:ascii="Times New Roman" w:hAnsi="Times New Roman" w:eastAsia="Times New Roman"/>
          <w:i/>
          <w:sz w:val="24"/>
        </w:rPr>
        <w:t>r</w:t>
      </w:r>
      <w:r>
        <w:rPr>
          <w:rFonts w:ascii="Times New Roman" w:hAnsi="Times New Roman" w:eastAsia="Times New Roman"/>
          <w:sz w:val="24"/>
        </w:rPr>
        <w:t xml:space="preserve"> = .012, [−.070, .093]) were small and imprecise, and the Agreeableness and Openness estimates depended on a single study. Exploratory moderator tests (Knapp–Hartung meta-regression) suggested a lower Extraversion estimate in the two Asian studies and a higher one for self-rated outcomes, but each contrast rests on two studies per subgroup, and the contrasts overlap with each other and with asynchronous delivery. Only the Conscientiousness prediction interval excluded zero ([.007, .351]). The review's contribution is a map of the evidence and its gaps — no comprehensive database search, few K-12 or Asian samples, and almost no facet-level or modality-contrast data — rather than an established effect size. The estimates should not be used as a basis for instructional design.</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scoping review, PRISMA-ScR</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correlates of academic achievement that were established in face-to-face classrooms retain their correlational validity when instruction is mediated by technology? Personality traits, and in particular the Big Five (Five-Factor Model) dimensions of Conscientiousness, Openness to Experience, Extraversion, Agreeableness, and Neuroticism, are among the most widely studied non-cognitive correlates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is associated with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 complementary theoretical lens is provided by Trait Activation Theory (Tett &amp; Burnett, 2003), which predicts that stable dispositional traits are expressed behaviourally only when the situation contains cues relevant to that trait. TAT complements PASH by shifting the theoretical question from "why is a trait captured by an outcome measure?" (PASH) to "why is a trait expressed at all in a given learning context?" (TAT). For the present scoping review, TAT motivates three concrete expectations that would otherwise remain descriptive. First, Extraversion should be less strongly associated with academic outcomes in asynchronous online contexts than in face-to-face contexts, because the social and participatory cues that activate extraverted study behaviour (classroom discussion, study groups, in-person feedback) are attenuated in asynchronous formats. Second, Conscientiousness should remain associated with achievement across modalities, because the structured-task cues that activate conscientious study behaviour (deadlines, assessments, syllabi) are preserved in online formats. Third, Agreeableness should be more strongly associated with achievement in online contexts whose formats reward cooperative behaviour (e.g., peer-graded assignments, collaborative MOOCs), particularly in cultural contexts where cooperation is normative. TAT is therefore used, alongside PASH, as the second theoretical anchor for the mapping priors in the present review.</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correlate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correlate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expectations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expectations are theoretically motivated,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correlated with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correlate with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mapping prior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correlates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correlates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the author's knowledge, the first mapping of the association between Big Five personality traits and academic achievement that focuses specifically on online learning environments. Consistent with PRISMA-ScR convention (Tricco et al., 2018), the review is organised around mapping questions and directional priors rather than around hypothesis tests. Two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Because the evidence base is small and the executed search is incomplete relative to the pre-registered information-source plan, both mapping questions are addressed descriptively rather than as confirmatory tests. A third question, whether mediators such as self-efficacy account for the associations, could not be addressed because too few studies reported mediation models.</w:t>
      </w:r>
    </w:p>
    <w:p>
      <w:pPr>
        <w:spacing w:line="480" w:lineRule="auto" w:before="0" w:after="0"/>
        <w:ind w:firstLine="720"/>
      </w:pPr>
      <w:r>
        <w:rPr>
          <w:rFonts w:ascii="Times New Roman" w:hAnsi="Times New Roman" w:eastAsia="Times New Roman"/>
          <w:sz w:val="24"/>
        </w:rPr>
        <w:t xml:space="preserve">Five directional priors, pre-specified in the OSF registration (https://osf.io/e5w47/)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Because the mapped evidence is limited, agreement or disagreement with a prior is descriptive: a small pooled estimate shows that the evidence is compatible with no difference from face-to-face samples, not that the two settings are equivalent. Within those limits, the review is, to the author's knowledge, the first attempt to examine whether personality relates to achievement differently in online learning, and it identifies the primary studies that are still missing.</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was pre-registered on OSF Registries (https://osf.io/e5w47/; DOI: 10.17605/OSF.IO/E5W47) on April 23, 2026, before the formal search and the quantitative synthesis, using the OSF Preregistration template with content structured according to PRISMA-P 2015 (Moher et al., 2015). The protocol was written for a systematic review and meta-analysis; because the pre-registered bibliographic databases could not be searched (see Information Sources), the work is reported as a scoping review with an exploratory quantitative synthesis, following the PRISMA extension for scoping reviews (PRISMA-ScR; Tricco et al., 2018). The completed PRISMA-ScR checklist is provided as supplementary material. All departures from the protocol are listed in Deviations from the Pre-registered Protocol.</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Studies reporting only secondary outcomes (academic satisfaction, engagement, learning-related behaviors, persistence) were retained for the narrative map but not pooled. Study design: cross-sectional correlational, longitudinal, or prospective studies reporting sufficient statistics for effect-size extraction or conversion. Qualitative-only studies, commentaries, editorials, narrative reviews, and single-case studies were excluded, although the reference lists of narrative reviews were hand-searched for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graduate theses. Unpublished manuscripts and preprints that had not undergone peer review were excluded. No restriction was placed on publication year. Studies of fully face-to-face samples with no online learning component were excluded. When a study's modality was ambiguous, it was classified from the full text; corresponding authors were not contacted (see Deviations).</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map the available evidence on a topic — its breadth, conceptual boundaries, methodological characteristics, and gaps — rather than aiming for an exhaustive synthesis of every relevant primary study (Munn et al., 2018; Tricco et al., 2018). The protocol pre-registered a six-database search (PubMed/MEDLINE, PsycINFO, ERIC, Web of Science, Scopus, and ProQuest Dissertations &amp; Theses Global), supplemented by Google Scholar and citation snowballing. PsycINFO, Scopus, Web of Science, and ProQuest Dissertations require institutional subscriptions that were not available to the author, and programmatic access to the open databases was blocked in the computing environment used. The executed search therefore consisted of: (a) a web search engine search run on April 23, 2026, applying the pre-specified three-concept strategy split into eight queries; (b) the ERIC web interface; (c) targeted retrieval from open-access repositories (PubMed Central, Frontiers, MDPI, Open Praxis); and (d) forward and backward citation snowballing from included primary studies and from the eight prior face-to-face Big Five–achievement meta-analyses that form the comparison corpus. This search is sufficient to map the visible literature but not to claim exhaustive coverage, which is why the review is reported as a scoping review. The search log with the executed queries, dates, and hit counts is available in the project repository (https://github.com/etoki/paper, file metaanalysis/search_log.md).</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Because a web search engine does not support the full Boolean syntax, the strategy was split into eight shorter queries. Language and publication-type filters were applied during screening.</w:t>
      </w:r>
    </w:p>
    <w:p>
      <w:pPr>
        <w:spacing w:line="480" w:lineRule="auto" w:before="0" w:after="0"/>
        <w:ind w:firstLine="720"/>
      </w:pPr>
      <w:r>
        <w:rPr>
          <w:rFonts w:ascii="Times New Roman" w:hAnsi="Times New Roman" w:eastAsia="Times New Roman"/>
          <w:sz w:val="24"/>
        </w:rPr>
        <w:t>Forward citation tracking (cited-by) and backward citation tracking (reference list scanning) were performed for the studies identified as eligible and for the eight benchmark meta-analyses that constitute the face-to-face comparison corpus (Poropat, 2009; McAbee &amp; Oswald, 2013; Vedel, 2014; Stajkovic et al., 2018; Mammadov, 2022; Zell &amp; Lesick, 2022; Meyer et al., 2023; Chen et al., 2025). The reference list of the most directly relevant narrative review (Hunter et al., 2025) was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One reviewer (ET) screened titles and abstracts and then assessed full texts against the eligibility criteria, with assistance from a large language model in locating and summarising candidate reports (see the Declaration of Generative AI Use); every inclusion decision was made by the author from the full text. Records were not managed in a reference manager, and the number of records excluded at each screening stage was not logged. Every full-text report that was catalogued received a recorded decision and, where excluded, a reason (Table 1). The pre-registered intra-rater reliability checks (re-screening a random subsample after a wash-out interval) were not carried out (see Deviations).</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Data were extracted by the same reviewer into a pre-specified extraction form covering study identification (author, year, DOI, journal, country), sample characteristics (analytic </w:t>
      </w:r>
      <w:r>
        <w:rPr>
          <w:rFonts w:ascii="Times New Roman" w:hAnsi="Times New Roman" w:eastAsia="Times New Roman"/>
          <w:i/>
          <w:sz w:val="24"/>
        </w:rPr>
        <w:t>N</w:t>
      </w:r>
      <w:r>
        <w:rPr>
          <w:rFonts w:ascii="Times New Roman" w:hAnsi="Times New Roman" w:eastAsia="Times New Roman"/>
          <w:sz w:val="24"/>
        </w:rPr>
        <w:t xml:space="preserve">, gender composition, education level), learning context (modality, era), personality measurement (instrument and item count), outcome measurement, and effect-size statistics (Pearson </w:t>
      </w:r>
      <w:r>
        <w:rPr>
          <w:rFonts w:ascii="Times New Roman" w:hAnsi="Times New Roman" w:eastAsia="Times New Roman"/>
          <w:i/>
          <w:sz w:val="24"/>
        </w:rPr>
        <w:t>r</w:t>
      </w:r>
      <w:r>
        <w:rPr>
          <w:rFonts w:ascii="Times New Roman" w:hAnsi="Times New Roman" w:eastAsia="Times New Roman"/>
          <w:sz w:val="24"/>
        </w:rPr>
        <w:t xml:space="preserve"> or standardised </w:t>
      </w:r>
      <w:r>
        <w:rPr>
          <w:rFonts w:ascii="Times New Roman" w:hAnsi="Times New Roman" w:eastAsia="Times New Roman"/>
          <w:i/>
          <w:sz w:val="24"/>
        </w:rPr>
        <w:t>β</w:t>
      </w:r>
      <w:r>
        <w:rPr>
          <w:rFonts w:ascii="Times New Roman" w:hAnsi="Times New Roman" w:eastAsia="Times New Roman"/>
          <w:sz w:val="24"/>
        </w:rPr>
        <w:t xml:space="preserve"> with the associated sample size). The completed extraction file (data_extraction_populated.csv) is available in the project repository. The pre-registered re-extraction of a random 10% of studies was not carried out, and authors were not contacted for missing statistics (see Deviations). When a statistic was missing, the effect size was converted from an alternative statistic where possible (see below) or the study was left out of the trait pool with the reason recorded.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from 0 to 8 was computed, with higher scores indicating lower risk of bias. The aggregate score was used to define the low-quality exclusion sensitivity analysis (score &lt; 5). The ratings were made by the single reviewer and were not re-assessed (see Deviations).</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effect-size metric was the Pearson correlation (</w:t>
      </w:r>
      <w:r>
        <w:rPr>
          <w:rFonts w:ascii="Times New Roman" w:hAnsi="Times New Roman" w:eastAsia="Times New Roman"/>
          <w:i/>
          <w:sz w:val="24"/>
        </w:rPr>
        <w:t>r</w:t>
      </w:r>
      <w:r>
        <w:rPr>
          <w:rFonts w:ascii="Times New Roman" w:hAnsi="Times New Roman" w:eastAsia="Times New Roman"/>
          <w:sz w:val="24"/>
        </w:rPr>
        <w:t xml:space="preserve">) between each Big Five trait and the academic achievement outcome. Each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and pooled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w:t>
      </w:r>
    </w:p>
    <w:p>
      <w:pPr>
        <w:spacing w:line="480" w:lineRule="auto" w:before="0" w:after="0"/>
        <w:ind w:firstLine="720"/>
      </w:pPr>
      <w:r>
        <w:rPr>
          <w:rFonts w:ascii="Times New Roman" w:hAnsi="Times New Roman" w:eastAsia="Times New Roman"/>
          <w:sz w:val="24"/>
        </w:rPr>
        <w:t>Two kinds of non-standard effect size entered the pool. First, 2 studies (A-28, A-30) reported standardised regression coefficients (</w:t>
      </w:r>
      <w:r>
        <w:rPr>
          <w:rFonts w:ascii="Times New Roman" w:hAnsi="Times New Roman" w:eastAsia="Times New Roman"/>
          <w:i/>
          <w:sz w:val="24"/>
        </w:rPr>
        <w:t>β</w:t>
      </w:r>
      <w:r>
        <w:rPr>
          <w:rFonts w:ascii="Times New Roman" w:hAnsi="Times New Roman" w:eastAsia="Times New Roman"/>
          <w:sz w:val="24"/>
        </w:rPr>
        <w:t xml:space="preserve">) rather than correlations. These were converted with the rule of Peterson and Brown (2005), </w:t>
      </w:r>
      <w:r>
        <w:rPr>
          <w:rFonts w:ascii="Times New Roman" w:hAnsi="Times New Roman" w:eastAsia="Times New Roman"/>
          <w:i/>
          <w:sz w:val="24"/>
        </w:rPr>
        <w:t>r</w:t>
      </w:r>
      <w:r>
        <w:rPr>
          <w:rFonts w:ascii="Times New Roman" w:hAnsi="Times New Roman" w:eastAsia="Times New Roman"/>
          <w:sz w:val="24"/>
        </w:rPr>
        <w:t xml:space="preserve"> = .98β + .05λ, where λ = 1 if </w:t>
      </w:r>
      <w:r>
        <w:rPr>
          <w:rFonts w:ascii="Times New Roman" w:hAnsi="Times New Roman" w:eastAsia="Times New Roman"/>
          <w:i/>
          <w:sz w:val="24"/>
        </w:rPr>
        <w:t>β</w:t>
      </w:r>
      <w:r>
        <w:rPr>
          <w:rFonts w:ascii="Times New Roman" w:hAnsi="Times New Roman" w:eastAsia="Times New Roman"/>
          <w:sz w:val="24"/>
        </w:rPr>
        <w:t xml:space="preserve"> ≥ 0 and λ = 0 if </w:t>
      </w:r>
      <w:r>
        <w:rPr>
          <w:rFonts w:ascii="Times New Roman" w:hAnsi="Times New Roman" w:eastAsia="Times New Roman"/>
          <w:i/>
          <w:sz w:val="24"/>
        </w:rPr>
        <w:t>β</w:t>
      </w:r>
      <w:r>
        <w:rPr>
          <w:rFonts w:ascii="Times New Roman" w:hAnsi="Times New Roman" w:eastAsia="Times New Roman"/>
          <w:sz w:val="24"/>
        </w:rPr>
        <w:t xml:space="preserve"> &lt; 0, and were flagged for a sensitivity analysis that excludes them. Second, one study (A-37 Zheng &amp; Zheng, 2023) reported only that every trait–grade correlation was below .10 in absolute value, and its graduate cohorts were taught face to face before and after the pandemic and online only during it. It was kept in the scoping map but left out of the quantitative pool; a sensitivity analysis adds it with its correlations entered as </w:t>
      </w:r>
      <w:r>
        <w:rPr>
          <w:rFonts w:ascii="Times New Roman" w:hAnsi="Times New Roman" w:eastAsia="Times New Roman"/>
          <w:i/>
          <w:sz w:val="24"/>
        </w:rPr>
        <w:t>r</w:t>
      </w:r>
      <w:r>
        <w:rPr>
          <w:rFonts w:ascii="Times New Roman" w:hAnsi="Times New Roman" w:eastAsia="Times New Roman"/>
          <w:sz w:val="24"/>
        </w:rPr>
        <w:t xml:space="preserve"> = 0. The pre-specified conversions from Cohen's d, η², </w:t>
      </w:r>
      <w:r>
        <w:rPr>
          <w:rFonts w:ascii="Times New Roman" w:hAnsi="Times New Roman" w:eastAsia="Times New Roman"/>
          <w:i/>
          <w:sz w:val="24"/>
        </w:rPr>
        <w:t>t</w:t>
      </w:r>
      <w:r>
        <w:rPr>
          <w:rFonts w:ascii="Times New Roman" w:hAnsi="Times New Roman" w:eastAsia="Times New Roman"/>
          <w:sz w:val="24"/>
        </w:rPr>
        <w:t xml:space="preserve">, and </w:t>
      </w:r>
      <w:r>
        <w:rPr>
          <w:rFonts w:ascii="Times New Roman" w:hAnsi="Times New Roman" w:eastAsia="Times New Roman"/>
          <w:i/>
          <w:sz w:val="24"/>
        </w:rPr>
        <w:t>F</w:t>
      </w:r>
      <w:r>
        <w:rPr>
          <w:rFonts w:ascii="Times New Roman" w:hAnsi="Times New Roman" w:eastAsia="Times New Roman"/>
          <w:sz w:val="24"/>
        </w:rPr>
        <w:t xml:space="preserve"> were not needed because no included study reported only those statistics.</w:t>
      </w:r>
    </w:p>
    <w:p>
      <w:pPr>
        <w:spacing w:line="480" w:lineRule="auto" w:before="0" w:after="0"/>
        <w:ind w:firstLine="720"/>
      </w:pPr>
      <w:r>
        <w:rPr>
          <w:rFonts w:ascii="Times New Roman" w:hAnsi="Times New Roman" w:eastAsia="Times New Roman"/>
          <w:sz w:val="24"/>
        </w:rPr>
        <w:t>For primary studies that reported Emotional Stability rather than Neuroticism, the sign of the correlation was reversed so that all effect sizes in the Neuroticism pool were oriented toward higher Neuroticism; outcomes on which lower values indicate better performance were sign-reversed in the same way. The protocol also specified a HEXACO-to-Big-Five crosswalk (Ashton &amp; Lee, 2007) with an accompanying sensitivity analysis; no HEXACO study contributed to the quantitative pool, so neither was applied.</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A separate random-effects meta-analysis was estimated for each Big Five trait. Because each trait was pooled separately and each study contributed a single effect size per trait, the effect sizes within a pool were independent. The between-study variance (</w:t>
      </w:r>
      <w:r>
        <w:rPr>
          <w:rFonts w:ascii="Times New Roman" w:hAnsi="Times New Roman" w:eastAsia="Times New Roman"/>
          <w:i/>
          <w:sz w:val="24"/>
        </w:rPr>
        <w:t>τ²</w:t>
      </w:r>
      <w:r>
        <w:rPr>
          <w:rFonts w:ascii="Times New Roman" w:hAnsi="Times New Roman" w:eastAsia="Times New Roman"/>
          <w:sz w:val="24"/>
        </w:rPr>
        <w:t xml:space="preserve">) was estimated by restricted maximum likelihood (REML), and 95% confidence intervals for the pooled effect used the Hartung-Knapp-Sidik-Jonkman (HKSJ) adjustment with a </w:t>
      </w:r>
      <w:r>
        <w:rPr>
          <w:rFonts w:ascii="Times New Roman" w:hAnsi="Times New Roman" w:eastAsia="Times New Roman"/>
          <w:i/>
          <w:sz w:val="24"/>
        </w:rPr>
        <w:t>t</w:t>
      </w:r>
      <w:r>
        <w:rPr>
          <w:rFonts w:ascii="Times New Roman" w:hAnsi="Times New Roman" w:eastAsia="Times New Roman"/>
          <w:sz w:val="24"/>
        </w:rPr>
        <w:t xml:space="preserve"> distribution on </w:t>
      </w:r>
      <w:r>
        <w:rPr>
          <w:rFonts w:ascii="Times New Roman" w:hAnsi="Times New Roman" w:eastAsia="Times New Roman"/>
          <w:i/>
          <w:sz w:val="24"/>
        </w:rPr>
        <w:t>k</w:t>
      </w:r>
      <w:r>
        <w:rPr>
          <w:rFonts w:ascii="Times New Roman" w:hAnsi="Times New Roman" w:eastAsia="Times New Roman"/>
          <w:sz w:val="24"/>
        </w:rPr>
        <w:t xml:space="preserve"> − 1 degrees of freedom (IntHout et al., 2014). Heterogeneity was quantified with Cochran's </w:t>
      </w:r>
      <w:r>
        <w:rPr>
          <w:rFonts w:ascii="Times New Roman" w:hAnsi="Times New Roman" w:eastAsia="Times New Roman"/>
          <w:i/>
          <w:sz w:val="24"/>
        </w:rPr>
        <w:t>Q</w:t>
      </w:r>
      <w:r>
        <w:rPr>
          <w:rFonts w:ascii="Times New Roman" w:hAnsi="Times New Roman" w:eastAsia="Times New Roman"/>
          <w:sz w:val="24"/>
        </w:rPr>
        <w:t xml:space="preserve">, </w:t>
      </w:r>
      <w:r>
        <w:rPr>
          <w:rFonts w:ascii="Times New Roman" w:hAnsi="Times New Roman" w:eastAsia="Times New Roman"/>
          <w:i/>
          <w:sz w:val="24"/>
        </w:rPr>
        <w:t>I²</w:t>
      </w:r>
      <w:r>
        <w:rPr>
          <w:rFonts w:ascii="Times New Roman" w:hAnsi="Times New Roman" w:eastAsia="Times New Roman"/>
          <w:sz w:val="24"/>
        </w:rPr>
        <w:t xml:space="preserve">, and </w:t>
      </w:r>
      <w:r>
        <w:rPr>
          <w:rFonts w:ascii="Times New Roman" w:hAnsi="Times New Roman" w:eastAsia="Times New Roman"/>
          <w:i/>
          <w:sz w:val="24"/>
        </w:rPr>
        <w:t>τ²</w:t>
      </w:r>
      <w:r>
        <w:rPr>
          <w:rFonts w:ascii="Times New Roman" w:hAnsi="Times New Roman" w:eastAsia="Times New Roman"/>
          <w:sz w:val="24"/>
        </w:rPr>
        <w:t xml:space="preserve">, and 95% prediction intervals were computed on </w:t>
      </w:r>
      <w:r>
        <w:rPr>
          <w:rFonts w:ascii="Times New Roman" w:hAnsi="Times New Roman" w:eastAsia="Times New Roman"/>
          <w:i/>
          <w:sz w:val="24"/>
        </w:rPr>
        <w:t>k</w:t>
      </w:r>
      <w:r>
        <w:rPr>
          <w:rFonts w:ascii="Times New Roman" w:hAnsi="Times New Roman" w:eastAsia="Times New Roman"/>
          <w:sz w:val="24"/>
        </w:rPr>
        <w:t xml:space="preserve"> − 2 degrees of freedom (Higgins et al., 2009). Effect-size magnitudes were interpreted against the benchmarks of Gignac and Szodorai (2016):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typical, and </w:t>
      </w:r>
      <w:r>
        <w:rPr>
          <w:rFonts w:ascii="Times New Roman" w:hAnsi="Times New Roman" w:eastAsia="Times New Roman"/>
          <w:i/>
          <w:sz w:val="24"/>
        </w:rPr>
        <w:t>r</w:t>
      </w:r>
      <w:r>
        <w:rPr>
          <w:rFonts w:ascii="Times New Roman" w:hAnsi="Times New Roman" w:eastAsia="Times New Roman"/>
          <w:sz w:val="24"/>
        </w:rPr>
        <w:t xml:space="preserve"> ≈ .30 large.</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six categorical (learning modality, education level, region, era, outcome type, personality instrument) and three continuous (publication year, log sample size, risk-of-bias score). Only three categorical moderators had at least two contributing studies in each of at least two levels: region (Asia vs. non-Asia), era (pre-COVID vs. COVID), and outcome type (objective vs. self-rated achievement). Each of these was tested within each trait with a mixed-effects meta-regression on the level indicators (REML residual </w:t>
      </w:r>
      <w:r>
        <w:rPr>
          <w:rFonts w:ascii="Times New Roman" w:hAnsi="Times New Roman" w:eastAsia="Times New Roman"/>
          <w:i/>
          <w:sz w:val="24"/>
        </w:rPr>
        <w:t>τ²</w:t>
      </w:r>
      <w:r>
        <w:rPr>
          <w:rFonts w:ascii="Times New Roman" w:hAnsi="Times New Roman" w:eastAsia="Times New Roman"/>
          <w:sz w:val="24"/>
        </w:rPr>
        <w:t xml:space="preserve">) using the Knapp–Hartung adjustment, F(levels − 1, </w:t>
      </w:r>
      <w:r>
        <w:rPr>
          <w:rFonts w:ascii="Times New Roman" w:hAnsi="Times New Roman" w:eastAsia="Times New Roman"/>
          <w:i/>
          <w:sz w:val="24"/>
        </w:rPr>
        <w:t>k</w:t>
      </w:r>
      <w:r>
        <w:rPr>
          <w:rFonts w:ascii="Times New Roman" w:hAnsi="Times New Roman" w:eastAsia="Times New Roman"/>
          <w:sz w:val="24"/>
        </w:rPr>
        <w:t xml:space="preserve"> − levels) (Knapp &amp; Hartung, 2003; Viechtbauer et al., 2015), over the levels with </w:t>
      </w:r>
      <w:r>
        <w:rPr>
          <w:rFonts w:ascii="Times New Roman" w:hAnsi="Times New Roman" w:eastAsia="Times New Roman"/>
          <w:i/>
          <w:sz w:val="24"/>
        </w:rPr>
        <w:t>k</w:t>
      </w:r>
      <w:r>
        <w:rPr>
          <w:rFonts w:ascii="Times New Roman" w:hAnsi="Times New Roman" w:eastAsia="Times New Roman"/>
          <w:sz w:val="24"/>
        </w:rPr>
        <w:t xml:space="preserve"> ≥ 2. As pre-registered, p-values were Holm-corrected (Holm, 1979) within each trait; the family comprised the three moderators that could be tested. Subgroup pooled estimates are also reported for each level. The other six moderators are described narratively.</w:t>
      </w:r>
    </w:p>
    <w:p>
      <w:pPr>
        <w:spacing w:line="480" w:lineRule="auto" w:before="0" w:after="0"/>
        <w:ind w:firstLine="720"/>
      </w:pPr>
      <w:r>
        <w:rPr>
          <w:rFonts w:ascii="Times New Roman" w:hAnsi="Times New Roman" w:eastAsia="Times New Roman"/>
          <w:sz w:val="24"/>
        </w:rPr>
        <w:t xml:space="preserve">The pooled estimates were re-estimated (a) excluding studies with a risk-of-bias score below 5; (b) excluding the author's own prior primary study (Tokiwa, 2025); (c) excluding the effect sizes converted from β; (d) excluding studies with an analytic sample below 50; (e) removing each study in turn (leave-one-out); and (f) with the DerSimonian–Laird estimator of </w:t>
      </w:r>
      <w:r>
        <w:rPr>
          <w:rFonts w:ascii="Times New Roman" w:hAnsi="Times New Roman" w:eastAsia="Times New Roman"/>
          <w:i/>
          <w:sz w:val="24"/>
        </w:rPr>
        <w:t>τ²</w:t>
      </w:r>
      <w:r>
        <w:rPr>
          <w:rFonts w:ascii="Times New Roman" w:hAnsi="Times New Roman" w:eastAsia="Times New Roman"/>
          <w:sz w:val="24"/>
        </w:rPr>
        <w:t xml:space="preserve"> in place of REML. All six were pre-registered. A seventh analysis, not pre-registered, (g) added A-37 Zheng and Zheng (2023), with its correlations entered as </w:t>
      </w:r>
      <w:r>
        <w:rPr>
          <w:rFonts w:ascii="Times New Roman" w:hAnsi="Times New Roman" w:eastAsia="Times New Roman"/>
          <w:i/>
          <w:sz w:val="24"/>
        </w:rPr>
        <w:t>r</w:t>
      </w:r>
      <w:r>
        <w:rPr>
          <w:rFonts w:ascii="Times New Roman" w:hAnsi="Times New Roman" w:eastAsia="Times New Roman"/>
          <w:sz w:val="24"/>
        </w:rPr>
        <w:t xml:space="preserve"> = 0. A change of |Δr| &gt; .05 was treated as potentially influential.</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 xml:space="preserve">Small-study effects were examined per trait with funnel plots, Egger's regression test (Egger et al., 1997), and Duval and Tweedie's (2000) trim-and-fill procedure with the L0 estimator. The side on which studies were imputed was chosen from the sign of the slope in a REML meta-regression of the effect sizes on their standard errors, and the centre was re-estimated on the trimmed set at each iteration (the procedure of metafor's trimfill). These diagnostics have little power at </w:t>
      </w:r>
      <w:r>
        <w:rPr>
          <w:rFonts w:ascii="Times New Roman" w:hAnsi="Times New Roman" w:eastAsia="Times New Roman"/>
          <w:i/>
          <w:sz w:val="24"/>
        </w:rPr>
        <w:t>k</w:t>
      </w:r>
      <w:r>
        <w:rPr>
          <w:rFonts w:ascii="Times New Roman" w:hAnsi="Times New Roman" w:eastAsia="Times New Roman"/>
          <w:sz w:val="24"/>
        </w:rPr>
        <w:t xml:space="preserve"> = 8–9 (Sterne et al., 2011), so they are reported descriptively: a non-significant Egger test does not show that bias is absent, and trim-and-fill estimates are a sensitivity check, not a correction. The pre-registered Peters' test and p-curve analysis were not carried out (see Deviations).</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Confidence in each pooled association was summarised with an adaptation of the GRADE framework (Schünemann et al., 2019), used here as a completeness-of-evidence map rather than a formal certainty rating. Each trait started at High and was lowered one level for each serious and two levels for each very serious concern in five domains: risk of bias (serious if the mean JBI score of the contributing studies was below 5), inconsistency (serious if </w:t>
      </w:r>
      <w:r>
        <w:rPr>
          <w:rFonts w:ascii="Times New Roman" w:hAnsi="Times New Roman" w:eastAsia="Times New Roman"/>
          <w:i/>
          <w:sz w:val="24"/>
        </w:rPr>
        <w:t>I²</w:t>
      </w:r>
      <w:r>
        <w:rPr>
          <w:rFonts w:ascii="Times New Roman" w:hAnsi="Times New Roman" w:eastAsia="Times New Roman"/>
          <w:sz w:val="24"/>
        </w:rPr>
        <w:t xml:space="preserve"> exceeded 50%, very serious if it exceeded 75%), indirectness (population, exposure, or outcome relative to the review question), imprecision (serious if the 95% confidence interval included both zero and a value of |r| ≥ .10, or was wider than .20), and publication bias (serious if Egger's test was significant, if trim-and-fill changed the estimate by more than .05, or if the search could not be comprehensive).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 xml:space="preserve">The executed review departed from the pre-registered protocol (DOI 10.17605/OSF.IO/E5W47) in the following ways. (1) Search: the six pre-registered databases were not searched; the executed search is described under Information Sources. (2) Review process: the pre-registered intra-rater reliability checks (re-screening 10% of titles and abstracts and 20% of full texts, re-extracting 10% of studies, and re-rating 20% of risk-of-bias assessments after a wash-out interval) were not carried out, and corresponding authors were not contacted for missing statistics or modality information. (3) Records: the numbers of records identified, de-duplicated, and excluded at title and abstract screening were not logged, so the flow diagram reports them as approximate. (4) Dependent effect sizes: robust variance estimation (Tipton, 2015) and three-level models were planned on the assumption that studies would contribute several effect sizes to one pool; because each trait was pooled separately with one effect size per study, neither was needed. (5) Moderators: six of the nine pre-registered moderators could not be tested; the Holm correction was therefore applied over the three moderators that were tested. The pre-registered subgroup </w:t>
      </w:r>
      <w:r>
        <w:rPr>
          <w:rFonts w:ascii="Times New Roman" w:hAnsi="Times New Roman" w:eastAsia="Times New Roman"/>
          <w:i/>
          <w:sz w:val="24"/>
        </w:rPr>
        <w:t>Q_between</w:t>
      </w:r>
      <w:r>
        <w:rPr>
          <w:rFonts w:ascii="Times New Roman" w:hAnsi="Times New Roman" w:eastAsia="Times New Roman"/>
          <w:sz w:val="24"/>
        </w:rPr>
        <w:t xml:space="preserve"> test was replaced by a Knapp–Hartung meta-regression, because a χ² test on subgroup standard errors is unreliable with two to eight studies per subgroup (Viechtbauer et al., 2015). (6) Sensitivity: the HEXACO crosswalk analysis was not applicable, and an analysis that adds A-37 back was included. (7) Pool: A-37 Zheng and Zheng (2023) was moved from the quantitative pool to the narrative map during revision, after the pooled results were known, because most of its cohorts were taught face to face; the sensitivity analysis shows the estimates with it included. (8) Publication bias: Peters' test and p-curve analysis (Simonsohn et al., 2014) were not carried out; the pool contains too few statistically significant primary estimates for a meaningful p-curve. (9) Software: the analyses were run in Python rather than in R with metafor. (10) Framing: the review is reported as a scoping review under PRISMA-ScR rather than as a systematic review and meta-analysis under PRISMA 2020. In addition, a benchmark meta-analysis published after registration (Chen et al., 2025) was added to the face-to-face comparison corpus.</w:t>
      </w:r>
    </w:p>
    <w:p>
      <w:pPr>
        <w:spacing w:line="480" w:lineRule="auto" w:before="0" w:after="0"/>
        <w:ind w:firstLine="720"/>
      </w:pPr>
      <w:r>
        <w:rPr>
          <w:rFonts w:ascii="Times New Roman" w:hAnsi="Times New Roman" w:eastAsia="Times New Roman"/>
          <w:sz w:val="24"/>
        </w:rPr>
        <w:t xml:space="preserve">The six moderators that could not be tested quantitatively are described here for orientation only. (a) Personality instrument: the Big Five Inventory family predominated among the retained studies; NEO, IPIP, HEXACO, and TIPI instruments each appeared in three or fewer studies. Within the quantitative pool, Conscientiousness correlations from BFI-family instruments ranged from .068 (Bahçekapılı &amp; Karaman, 2020) to .370 (Abe, 2020), the NEO-FFI study gave .410 (Elvers et al., 2003, </w:t>
      </w:r>
      <w:r>
        <w:rPr>
          <w:rFonts w:ascii="Times New Roman" w:hAnsi="Times New Roman" w:eastAsia="Times New Roman"/>
          <w:i/>
          <w:sz w:val="24"/>
        </w:rPr>
        <w:t>N</w:t>
      </w:r>
      <w:r>
        <w:rPr>
          <w:rFonts w:ascii="Times New Roman" w:hAnsi="Times New Roman" w:eastAsia="Times New Roman"/>
          <w:sz w:val="24"/>
        </w:rPr>
        <w:t xml:space="preserve"> = 21), and the two 10-item TIPI studies gave .144 (Rivers, 2021) and 0, the value entered for Zheng and Zheng (2023). (b) Publication year: the retained studies span 2003–2025, concentrated in 2020–2023. (c) Sample size: in the Conscientiousness pool the largest samples (e.g.,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gave smaller correlations than the smallest ones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subsample </w:t>
      </w:r>
      <w:r>
        <w:rPr>
          <w:rFonts w:ascii="Times New Roman" w:hAnsi="Times New Roman" w:eastAsia="Times New Roman"/>
          <w:i/>
          <w:sz w:val="24"/>
        </w:rPr>
        <w:t>N</w:t>
      </w:r>
      <w:r>
        <w:rPr>
          <w:rFonts w:ascii="Times New Roman" w:hAnsi="Times New Roman" w:eastAsia="Times New Roman"/>
          <w:sz w:val="24"/>
        </w:rPr>
        <w:t xml:space="preserve"> = 21), a pattern compatible with small-study effects that Egger's test also flags (intercept = 2.46, </w:t>
      </w:r>
      <w:r>
        <w:rPr>
          <w:rFonts w:ascii="Times New Roman" w:hAnsi="Times New Roman" w:eastAsia="Times New Roman"/>
          <w:i/>
          <w:sz w:val="24"/>
        </w:rPr>
        <w:t>p</w:t>
      </w:r>
      <w:r>
        <w:rPr>
          <w:rFonts w:ascii="Times New Roman" w:hAnsi="Times New Roman" w:eastAsia="Times New Roman"/>
          <w:sz w:val="24"/>
        </w:rPr>
        <w:t xml:space="preserve"> = .026). (d) Risk-of-bias score: every study in the quantitative pool scored 5 or more (mean = 6.00), so the score could not be examined. (e) Modality: one retained study used an engagement scale that was not specific to online learning (A-13 Dang et al., 2025), one contributed separate online and blended subsamples (A-02 Alkış &amp; Taşkaya Temizel, 2018), and A-37 Zheng and Zheng (2023) pooled graduate cohorts taught face to face before and after the pandemic and online during it. (f) Education level: the two retained K-12 studies (A-25 Tokiwa, 2025; A-26 Wang et al., 2023) did not report trait–achievement correlations, so the quantitative pool contains no K-12 sample.</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analyses were run in Python 3.11 with NumPy and SciPy; figures were drawn with Matplotlib. REML </w:t>
      </w:r>
      <w:r>
        <w:rPr>
          <w:rFonts w:ascii="Times New Roman" w:hAnsi="Times New Roman" w:eastAsia="Times New Roman"/>
          <w:i/>
          <w:sz w:val="24"/>
        </w:rPr>
        <w:t>τ²</w:t>
      </w:r>
      <w:r>
        <w:rPr>
          <w:rFonts w:ascii="Times New Roman" w:hAnsi="Times New Roman" w:eastAsia="Times New Roman"/>
          <w:sz w:val="24"/>
        </w:rPr>
        <w:t xml:space="preserve"> estimates, Knapp–Hartung moderator tests, and DerSimonian–Laird estimates were checked against the independent implementations in PyMARE, and agreed to within 10⁻⁷. The analysis code, the extraction file, the search log, and the outputs behind every table and figure are openly available at https://github.com/etoki/paper (folder metaanalysis/analysis), so every number in this paper can be reproduced.</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 xml:space="preserve">Figure 1 summarises the selection process. The executed search returned about 80 records from the eight web queries, alongside 28 primary studies already known from preliminary searching and five benchmark meta-analyses whose reference lists were screened. The numbers of duplicates and of records excluded at title and abstract screening were not logged. From the full-text stage onward the counts are exact: 37 reports were sought, one could not be retrieved (A-27), 36 were assessed, and 11 were excluded (no Big Five measure, 5; face-to-face only, 4: A-09, A-10, A-14, A-16; sample overlap with A-04, 1: A-05; no extractable effect size, 1: A-24), leaving 25 studies. Table 1 catalogues 31 of the 37 reports, namely the retained studies and the exclusions with study identifiers; the five reports without a Big Five measure (Myers-Briggs types, proactive personality, technology-acceptance or use-intention constructs, and digital competencies) and A-14 Eilam et al. (2009) are documented in the reading notes. Of the 25 retained studies, 9 contributed correlations between personality and achievement to the quantitative pool (7 direct, 2 converted from </w:t>
      </w:r>
      <w:r>
        <w:rPr>
          <w:rFonts w:ascii="Times New Roman" w:hAnsi="Times New Roman" w:eastAsia="Times New Roman"/>
          <w:i/>
          <w:sz w:val="24"/>
        </w:rPr>
        <w:t>β</w:t>
      </w:r>
      <w:r>
        <w:rPr>
          <w:rFonts w:ascii="Times New Roman" w:hAnsi="Times New Roman" w:eastAsia="Times New Roman"/>
          <w:sz w:val="24"/>
        </w:rPr>
        <w:t>). The other 16 comprised 13 studies with only secondary outcomes, two without an extractable trait–achievement correlation (A-25 Tokiwa, 2025; A-26 Wang et al., 2023), and A-37 Zheng and Zheng (2023), which was left out of the pool (see Methods).</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Table 1 lists the 31 catalogued studies. The 25 retained studies were published between 2003 and 2025, about half of them during the COVID-19 period (2020–2022). Analytic sample sizes ranged from 47 (Elvers et al., 2003) to 1,625 (Wang et al., 2023), with a median of 260. The 9 studies in the quantitative pool comprised 3,102 participants (</w:t>
      </w:r>
      <w:r>
        <w:rPr>
          <w:rFonts w:ascii="Times New Roman" w:hAnsi="Times New Roman" w:eastAsia="Times New Roman"/>
          <w:i/>
          <w:sz w:val="24"/>
        </w:rPr>
        <w:t>k</w:t>
      </w:r>
      <w:r>
        <w:rPr>
          <w:rFonts w:ascii="Times New Roman" w:hAnsi="Times New Roman" w:eastAsia="Times New Roman"/>
          <w:sz w:val="24"/>
        </w:rPr>
        <w:t xml:space="preserve"> = 9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8 for Openness, Extraversion, and Agreeableness, because A-15 Elvers et al. reported only Conscientiousness and Neuroticism).</w:t>
      </w:r>
    </w:p>
    <w:p>
      <w:pPr>
        <w:spacing w:line="480" w:lineRule="auto" w:before="0" w:after="0"/>
        <w:ind w:firstLine="720"/>
      </w:pPr>
      <w:r>
        <w:rPr>
          <w:rFonts w:ascii="Times New Roman" w:hAnsi="Times New Roman" w:eastAsia="Times New Roman"/>
          <w:sz w:val="24"/>
        </w:rPr>
        <w:t>Of the 25 retained studies, 24 were conducted in fully online settings; the remaining study (A-13 Dang et al., 2025) used an engagement scale that was not specific to online learning. Few studies stated whether instruction was synchronous or asynchronous. By education level, 15 studies sampled undergraduates, 5 mixed undergraduate and graduate students, 2 graduate students, 2 K-12 students, and 1 mixed secondary and post-secondary students. By region, 12 were from Asia (including Middle Eastern samples), 7 from Europe, and 6 from North America; within the quantitative pool only two studies were Asian (A-28 Yu, 2021, China; A-31 Rivers, 2021, Japan). By period, 8 studies were pre-COVID, 12 from the COVID period, 4 post-COVID, and 1 (A-37 Zheng &amp; Zheng, 2023) pooled cohorts from all three periods.</w:t>
      </w:r>
    </w:p>
    <w:p>
      <w:pPr>
        <w:spacing w:line="480" w:lineRule="auto" w:before="0" w:after="0"/>
        <w:ind w:firstLine="720"/>
      </w:pPr>
      <w:r>
        <w:rPr>
          <w:rFonts w:ascii="Times New Roman" w:hAnsi="Times New Roman" w:eastAsia="Times New Roman"/>
          <w:sz w:val="24"/>
        </w:rPr>
        <w:t>The Big Five Inventory family was the most common instrument; the others were NEO-FFI, IPIP and Mini-IPIP, HEXACO-PI-R, the 10-item TIPI and TIPI-J, and other Big Five scales, including Chinese-language scales and McCrae's scale used by Yu (2021). In the quantitative pool, achievement was measured as GPA or course grade (A-01, A-02, A-23, A-29, A-31), an introductory psychology exam (A-15), a MOOC platform composite (A-28), or self-rated performance (A-22, A-30). In the other retained studies, the only outcomes were satisfaction, engagement, preference, or perception; these were not pooled.</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scores for each study are given in Table 1. Across the 25 retained studies the mean JBI score was 5.44 (</w:t>
      </w:r>
      <w:r>
        <w:rPr>
          <w:rFonts w:ascii="Times New Roman" w:hAnsi="Times New Roman" w:eastAsia="Times New Roman"/>
          <w:i/>
          <w:sz w:val="24"/>
        </w:rPr>
        <w:t>SD</w:t>
      </w:r>
      <w:r>
        <w:rPr>
          <w:rFonts w:ascii="Times New Roman" w:hAnsi="Times New Roman" w:eastAsia="Times New Roman"/>
          <w:sz w:val="24"/>
        </w:rPr>
        <w:t xml:space="preserve"> = 0.87, range 4–7); 21 studies scored 5 or more and 4 scored below 5 (A-06, A-12, A-21, A-37). Every study in the quantitative pool scored 5 or more (mean = 6.00).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Table 2 gives the pooled estimates, and Figures 2 to 6 show the forest plots.</w:t>
      </w:r>
    </w:p>
    <w:p>
      <w:pPr>
        <w:spacing w:line="480" w:lineRule="auto" w:before="0" w:after="0"/>
        <w:ind w:firstLine="720"/>
      </w:pPr>
      <w:r>
        <w:rPr>
          <w:rFonts w:ascii="Times New Roman" w:hAnsi="Times New Roman" w:eastAsia="Times New Roman"/>
          <w:sz w:val="24"/>
        </w:rPr>
        <w:t>Conscientiousness. The pooled correlation was positive (</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 </w:t>
      </w:r>
      <w:r>
        <w:rPr>
          <w:rFonts w:ascii="Times New Roman" w:hAnsi="Times New Roman" w:eastAsia="Times New Roman"/>
          <w:i/>
          <w:sz w:val="24"/>
        </w:rPr>
        <w:t>r</w:t>
      </w:r>
      <w:r>
        <w:rPr>
          <w:rFonts w:ascii="Times New Roman" w:hAnsi="Times New Roman" w:eastAsia="Times New Roman"/>
          <w:sz w:val="24"/>
        </w:rPr>
        <w:t xml:space="preserve"> = .185, 95% CI [.112, .255], 95% PI [.007, .351]; Q(8) = 19.49, </w:t>
      </w:r>
      <w:r>
        <w:rPr>
          <w:rFonts w:ascii="Times New Roman" w:hAnsi="Times New Roman" w:eastAsia="Times New Roman"/>
          <w:i/>
          <w:sz w:val="24"/>
        </w:rPr>
        <w:t>p</w:t>
      </w:r>
      <w:r>
        <w:rPr>
          <w:rFonts w:ascii="Times New Roman" w:hAnsi="Times New Roman" w:eastAsia="Times New Roman"/>
          <w:sz w:val="24"/>
        </w:rPr>
        <w:t xml:space="preserve"> = .012, </w:t>
      </w:r>
      <w:r>
        <w:rPr>
          <w:rFonts w:ascii="Times New Roman" w:hAnsi="Times New Roman" w:eastAsia="Times New Roman"/>
          <w:i/>
          <w:sz w:val="24"/>
        </w:rPr>
        <w:t>I²</w:t>
      </w:r>
      <w:r>
        <w:rPr>
          <w:rFonts w:ascii="Times New Roman" w:hAnsi="Times New Roman" w:eastAsia="Times New Roman"/>
          <w:sz w:val="24"/>
        </w:rPr>
        <w:t xml:space="preserve"> = 59.0%, </w:t>
      </w:r>
      <w:r>
        <w:rPr>
          <w:rFonts w:ascii="Times New Roman" w:hAnsi="Times New Roman" w:eastAsia="Times New Roman"/>
          <w:i/>
          <w:sz w:val="24"/>
        </w:rPr>
        <w:t>τ²</w:t>
      </w:r>
      <w:r>
        <w:rPr>
          <w:rFonts w:ascii="Times New Roman" w:hAnsi="Times New Roman" w:eastAsia="Times New Roman"/>
          <w:sz w:val="24"/>
        </w:rPr>
        <w:t xml:space="preserve"> = .005). It was the largest of the five traits, in line with Mapping Prior 1, but below that prior's expected range (</w:t>
      </w:r>
      <w:r>
        <w:rPr>
          <w:rFonts w:ascii="Times New Roman" w:hAnsi="Times New Roman" w:eastAsia="Times New Roman"/>
          <w:i/>
          <w:sz w:val="24"/>
        </w:rPr>
        <w:t>ρ</w:t>
      </w:r>
      <w:r>
        <w:rPr>
          <w:rFonts w:ascii="Times New Roman" w:hAnsi="Times New Roman" w:eastAsia="Times New Roman"/>
          <w:sz w:val="24"/>
        </w:rPr>
        <w:t xml:space="preserve"> = .20–.35) and below the face-to-face benchmarks of </w:t>
      </w:r>
      <w:r>
        <w:rPr>
          <w:rFonts w:ascii="Times New Roman" w:hAnsi="Times New Roman" w:eastAsia="Times New Roman"/>
          <w:i/>
          <w:sz w:val="24"/>
        </w:rPr>
        <w:t>ρ</w:t>
      </w:r>
      <w:r>
        <w:rPr>
          <w:rFonts w:ascii="Times New Roman" w:hAnsi="Times New Roman" w:eastAsia="Times New Roman"/>
          <w:sz w:val="24"/>
        </w:rPr>
        <w:t xml:space="preserve"> = .19–.28 (Poropat, 2009; McAbee &amp; Oswald, 2013; Vedel, 2014; Mammadov, 2022; Meyer et al., 2023; Chen et al., 2025). Both its confidence interval and its prediction interval excluded zero, the latter only just.</w:t>
      </w:r>
    </w:p>
    <w:p>
      <w:pPr>
        <w:spacing w:line="480" w:lineRule="auto" w:before="0" w:after="0"/>
        <w:ind w:firstLine="720"/>
      </w:pPr>
      <w:r>
        <w:rPr>
          <w:rFonts w:ascii="Times New Roman" w:hAnsi="Times New Roman" w:eastAsia="Times New Roman"/>
          <w:sz w:val="24"/>
        </w:rPr>
        <w:t>Openness to Experience. The pooled correlation was small and its confidence interval included zero (</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 </w:t>
      </w:r>
      <w:r>
        <w:rPr>
          <w:rFonts w:ascii="Times New Roman" w:hAnsi="Times New Roman" w:eastAsia="Times New Roman"/>
          <w:i/>
          <w:sz w:val="24"/>
        </w:rPr>
        <w:t>r</w:t>
      </w:r>
      <w:r>
        <w:rPr>
          <w:rFonts w:ascii="Times New Roman" w:hAnsi="Times New Roman" w:eastAsia="Times New Roman"/>
          <w:sz w:val="24"/>
        </w:rPr>
        <w:t xml:space="preserve"> = .096, 95% CI [−.052, .239], 95% PI [−.319, .480]; Q(7) = 89.58,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92.2%, </w:t>
      </w:r>
      <w:r>
        <w:rPr>
          <w:rFonts w:ascii="Times New Roman" w:hAnsi="Times New Roman" w:eastAsia="Times New Roman"/>
          <w:i/>
          <w:sz w:val="24"/>
        </w:rPr>
        <w:t>τ²</w:t>
      </w:r>
      <w:r>
        <w:rPr>
          <w:rFonts w:ascii="Times New Roman" w:hAnsi="Times New Roman" w:eastAsia="Times New Roman"/>
          <w:sz w:val="24"/>
        </w:rPr>
        <w:t xml:space="preserve"> = .027). Mapping Prior 2, which expected Openness to be the second-largest positive association, was not supported. Heterogeneity was very high: the converted MOOC estimate of Yu (2021; </w:t>
      </w:r>
      <w:r>
        <w:rPr>
          <w:rFonts w:ascii="Times New Roman" w:hAnsi="Times New Roman" w:eastAsia="Times New Roman"/>
          <w:i/>
          <w:sz w:val="24"/>
        </w:rPr>
        <w:t>r</w:t>
      </w:r>
      <w:r>
        <w:rPr>
          <w:rFonts w:ascii="Times New Roman" w:hAnsi="Times New Roman" w:eastAsia="Times New Roman"/>
          <w:sz w:val="24"/>
        </w:rPr>
        <w:t xml:space="preserve"> = .349) and the asynchronous Moodle estimate of Rivers (2021; </w:t>
      </w:r>
      <w:r>
        <w:rPr>
          <w:rFonts w:ascii="Times New Roman" w:hAnsi="Times New Roman" w:eastAsia="Times New Roman"/>
          <w:i/>
          <w:sz w:val="24"/>
        </w:rPr>
        <w:t>r</w:t>
      </w:r>
      <w:r>
        <w:rPr>
          <w:rFonts w:ascii="Times New Roman" w:hAnsi="Times New Roman" w:eastAsia="Times New Roman"/>
          <w:sz w:val="24"/>
        </w:rPr>
        <w:t xml:space="preserve"> = −.066) lie at the two ends of the distribution.</w:t>
      </w:r>
    </w:p>
    <w:p>
      <w:pPr>
        <w:spacing w:line="480" w:lineRule="auto" w:before="0" w:after="0"/>
        <w:ind w:firstLine="720"/>
      </w:pPr>
      <w:r>
        <w:rPr>
          <w:rFonts w:ascii="Times New Roman" w:hAnsi="Times New Roman" w:eastAsia="Times New Roman"/>
          <w:sz w:val="24"/>
        </w:rPr>
        <w:t>Extraversion. The pooled correlation was close to zero (</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 </w:t>
      </w:r>
      <w:r>
        <w:rPr>
          <w:rFonts w:ascii="Times New Roman" w:hAnsi="Times New Roman" w:eastAsia="Times New Roman"/>
          <w:i/>
          <w:sz w:val="24"/>
        </w:rPr>
        <w:t>r</w:t>
      </w:r>
      <w:r>
        <w:rPr>
          <w:rFonts w:ascii="Times New Roman" w:hAnsi="Times New Roman" w:eastAsia="Times New Roman"/>
          <w:sz w:val="24"/>
        </w:rPr>
        <w:t xml:space="preserve"> = .012, 95% CI [−.070, .093], 95% PI [−.191, .213]; Q(7) = 21.90, </w:t>
      </w:r>
      <w:r>
        <w:rPr>
          <w:rFonts w:ascii="Times New Roman" w:hAnsi="Times New Roman" w:eastAsia="Times New Roman"/>
          <w:i/>
          <w:sz w:val="24"/>
        </w:rPr>
        <w:t>p</w:t>
      </w:r>
      <w:r>
        <w:rPr>
          <w:rFonts w:ascii="Times New Roman" w:hAnsi="Times New Roman" w:eastAsia="Times New Roman"/>
          <w:sz w:val="24"/>
        </w:rPr>
        <w:t xml:space="preserve"> = .003, </w:t>
      </w:r>
      <w:r>
        <w:rPr>
          <w:rFonts w:ascii="Times New Roman" w:hAnsi="Times New Roman" w:eastAsia="Times New Roman"/>
          <w:i/>
          <w:sz w:val="24"/>
        </w:rPr>
        <w:t>I²</w:t>
      </w:r>
      <w:r>
        <w:rPr>
          <w:rFonts w:ascii="Times New Roman" w:hAnsi="Times New Roman" w:eastAsia="Times New Roman"/>
          <w:sz w:val="24"/>
        </w:rPr>
        <w:t xml:space="preserve"> = 68.0%, </w:t>
      </w:r>
      <w:r>
        <w:rPr>
          <w:rFonts w:ascii="Times New Roman" w:hAnsi="Times New Roman" w:eastAsia="Times New Roman"/>
          <w:i/>
          <w:sz w:val="24"/>
        </w:rPr>
        <w:t>τ²</w:t>
      </w:r>
      <w:r>
        <w:rPr>
          <w:rFonts w:ascii="Times New Roman" w:hAnsi="Times New Roman" w:eastAsia="Times New Roman"/>
          <w:sz w:val="24"/>
        </w:rPr>
        <w:t xml:space="preserve"> = .006), consistent with Mapping Prior 5, which expected a null or weakly negative association. The negative estimates came from the two Asian studies (Rivers, 2021, </w:t>
      </w:r>
      <w:r>
        <w:rPr>
          <w:rFonts w:ascii="Times New Roman" w:hAnsi="Times New Roman" w:eastAsia="Times New Roman"/>
          <w:i/>
          <w:sz w:val="24"/>
        </w:rPr>
        <w:t>r</w:t>
      </w:r>
      <w:r>
        <w:rPr>
          <w:rFonts w:ascii="Times New Roman" w:hAnsi="Times New Roman" w:eastAsia="Times New Roman"/>
          <w:sz w:val="24"/>
        </w:rPr>
        <w:t xml:space="preserve"> = −.173; Yu, 2021, </w:t>
      </w:r>
      <w:r>
        <w:rPr>
          <w:rFonts w:ascii="Times New Roman" w:hAnsi="Times New Roman" w:eastAsia="Times New Roman"/>
          <w:i/>
          <w:sz w:val="24"/>
        </w:rPr>
        <w:t>r</w:t>
      </w:r>
      <w:r>
        <w:rPr>
          <w:rFonts w:ascii="Times New Roman" w:hAnsi="Times New Roman" w:eastAsia="Times New Roman"/>
          <w:sz w:val="24"/>
        </w:rPr>
        <w:t xml:space="preserve"> = −.074, converted from </w:t>
      </w:r>
      <w:r>
        <w:rPr>
          <w:rFonts w:ascii="Times New Roman" w:hAnsi="Times New Roman" w:eastAsia="Times New Roman"/>
          <w:i/>
          <w:sz w:val="24"/>
        </w:rPr>
        <w:t>β</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Agreeableness. The pooled correlation was small and its confidence interval included zero (</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 </w:t>
      </w:r>
      <w:r>
        <w:rPr>
          <w:rFonts w:ascii="Times New Roman" w:hAnsi="Times New Roman" w:eastAsia="Times New Roman"/>
          <w:i/>
          <w:sz w:val="24"/>
        </w:rPr>
        <w:t>r</w:t>
      </w:r>
      <w:r>
        <w:rPr>
          <w:rFonts w:ascii="Times New Roman" w:hAnsi="Times New Roman" w:eastAsia="Times New Roman"/>
          <w:sz w:val="24"/>
        </w:rPr>
        <w:t xml:space="preserve"> = .130, 95% CI [−.022, .277], 95% PI [−.327, .538]; Q(7) = 176.86,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96.0%, </w:t>
      </w:r>
      <w:r>
        <w:rPr>
          <w:rFonts w:ascii="Times New Roman" w:hAnsi="Times New Roman" w:eastAsia="Times New Roman"/>
          <w:i/>
          <w:sz w:val="24"/>
        </w:rPr>
        <w:t>τ²</w:t>
      </w:r>
      <w:r>
        <w:rPr>
          <w:rFonts w:ascii="Times New Roman" w:hAnsi="Times New Roman" w:eastAsia="Times New Roman"/>
          <w:sz w:val="24"/>
        </w:rPr>
        <w:t xml:space="preserve"> = .032). Mapping Prior 3, which expected a weaker association than in face-to-face samples (</w:t>
      </w:r>
      <w:r>
        <w:rPr>
          <w:rFonts w:ascii="Times New Roman" w:hAnsi="Times New Roman" w:eastAsia="Times New Roman"/>
          <w:i/>
          <w:sz w:val="24"/>
        </w:rPr>
        <w:t>ρ</w:t>
      </w:r>
      <w:r>
        <w:rPr>
          <w:rFonts w:ascii="Times New Roman" w:hAnsi="Times New Roman" w:eastAsia="Times New Roman"/>
          <w:sz w:val="24"/>
        </w:rPr>
        <w:t xml:space="preserve"> = .05–.10), was not supported, but the estimate depends heavily on one study: removing Yu (2021; </w:t>
      </w:r>
      <w:r>
        <w:rPr>
          <w:rFonts w:ascii="Times New Roman" w:hAnsi="Times New Roman" w:eastAsia="Times New Roman"/>
          <w:i/>
          <w:sz w:val="24"/>
        </w:rPr>
        <w:t>r</w:t>
      </w:r>
      <w:r>
        <w:rPr>
          <w:rFonts w:ascii="Times New Roman" w:hAnsi="Times New Roman" w:eastAsia="Times New Roman"/>
          <w:sz w:val="24"/>
        </w:rPr>
        <w:t xml:space="preserve"> = .483, converted from </w:t>
      </w:r>
      <w:r>
        <w:rPr>
          <w:rFonts w:ascii="Times New Roman" w:hAnsi="Times New Roman" w:eastAsia="Times New Roman"/>
          <w:i/>
          <w:sz w:val="24"/>
        </w:rPr>
        <w:t>β</w:t>
      </w:r>
      <w:r>
        <w:rPr>
          <w:rFonts w:ascii="Times New Roman" w:hAnsi="Times New Roman" w:eastAsia="Times New Roman"/>
          <w:sz w:val="24"/>
        </w:rPr>
        <w:t xml:space="preserve"> = .442) changes the pooled </w:t>
      </w:r>
      <w:r>
        <w:rPr>
          <w:rFonts w:ascii="Times New Roman" w:hAnsi="Times New Roman" w:eastAsia="Times New Roman"/>
          <w:i/>
          <w:sz w:val="24"/>
        </w:rPr>
        <w:t>r</w:t>
      </w:r>
      <w:r>
        <w:rPr>
          <w:rFonts w:ascii="Times New Roman" w:hAnsi="Times New Roman" w:eastAsia="Times New Roman"/>
          <w:sz w:val="24"/>
        </w:rPr>
        <w:t xml:space="preserve"> to .054 (Δr = −.077). Heterogeneity was extreme.</w:t>
      </w:r>
    </w:p>
    <w:p>
      <w:pPr>
        <w:spacing w:line="480" w:lineRule="auto" w:before="0" w:after="0"/>
        <w:ind w:firstLine="720"/>
      </w:pPr>
      <w:r>
        <w:rPr>
          <w:rFonts w:ascii="Times New Roman" w:hAnsi="Times New Roman" w:eastAsia="Times New Roman"/>
          <w:sz w:val="24"/>
        </w:rPr>
        <w:t>Neuroticism. The pooled correlation was close to zero (</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 </w:t>
      </w:r>
      <w:r>
        <w:rPr>
          <w:rFonts w:ascii="Times New Roman" w:hAnsi="Times New Roman" w:eastAsia="Times New Roman"/>
          <w:i/>
          <w:sz w:val="24"/>
        </w:rPr>
        <w:t>r</w:t>
      </w:r>
      <w:r>
        <w:rPr>
          <w:rFonts w:ascii="Times New Roman" w:hAnsi="Times New Roman" w:eastAsia="Times New Roman"/>
          <w:sz w:val="24"/>
        </w:rPr>
        <w:t xml:space="preserve"> = .017, 95% CI [−.095, .128], 95% PI [−.275, .305]; Q(8) = 41.45,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80.7%, </w:t>
      </w:r>
      <w:r>
        <w:rPr>
          <w:rFonts w:ascii="Times New Roman" w:hAnsi="Times New Roman" w:eastAsia="Times New Roman"/>
          <w:i/>
          <w:sz w:val="24"/>
        </w:rPr>
        <w:t>τ²</w:t>
      </w:r>
      <w:r>
        <w:rPr>
          <w:rFonts w:ascii="Times New Roman" w:hAnsi="Times New Roman" w:eastAsia="Times New Roman"/>
          <w:sz w:val="24"/>
        </w:rPr>
        <w:t xml:space="preserve"> = .014), so Mapping Prior 4, which expected a negative association, was not supported. Study-level signs were mixed: Rodrigues et al. (2024) reported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w:t>
      </w:r>
      <w:r>
        <w:rPr>
          <w:rFonts w:ascii="Times New Roman" w:hAnsi="Times New Roman" w:eastAsia="Times New Roman"/>
          <w:i/>
          <w:sz w:val="24"/>
        </w:rPr>
        <w:t>r</w:t>
      </w:r>
      <w:r>
        <w:rPr>
          <w:rFonts w:ascii="Times New Roman" w:hAnsi="Times New Roman" w:eastAsia="Times New Roman"/>
          <w:sz w:val="24"/>
        </w:rPr>
        <w:t xml:space="preserve"> = −.072, whereas the two converted estimates were positive (Yu, 2021, </w:t>
      </w:r>
      <w:r>
        <w:rPr>
          <w:rFonts w:ascii="Times New Roman" w:hAnsi="Times New Roman" w:eastAsia="Times New Roman"/>
          <w:i/>
          <w:sz w:val="24"/>
        </w:rPr>
        <w:t>r</w:t>
      </w:r>
      <w:r>
        <w:rPr>
          <w:rFonts w:ascii="Times New Roman" w:hAnsi="Times New Roman" w:eastAsia="Times New Roman"/>
          <w:sz w:val="24"/>
        </w:rPr>
        <w:t xml:space="preserve"> = .086; Kaspar et al., 2023, </w:t>
      </w:r>
      <w:r>
        <w:rPr>
          <w:rFonts w:ascii="Times New Roman" w:hAnsi="Times New Roman" w:eastAsia="Times New Roman"/>
          <w:i/>
          <w:sz w:val="24"/>
        </w:rPr>
        <w:t>r</w:t>
      </w:r>
      <w:r>
        <w:rPr>
          <w:rFonts w:ascii="Times New Roman" w:hAnsi="Times New Roman" w:eastAsia="Times New Roman"/>
          <w:sz w:val="24"/>
        </w:rPr>
        <w:t xml:space="preserve"> = .246). Without the converted estimates the pooled </w:t>
      </w:r>
      <w:r>
        <w:rPr>
          <w:rFonts w:ascii="Times New Roman" w:hAnsi="Times New Roman" w:eastAsia="Times New Roman"/>
          <w:i/>
          <w:sz w:val="24"/>
        </w:rPr>
        <w:t>r</w:t>
      </w:r>
      <w:r>
        <w:rPr>
          <w:rFonts w:ascii="Times New Roman" w:hAnsi="Times New Roman" w:eastAsia="Times New Roman"/>
          <w:sz w:val="24"/>
        </w:rPr>
        <w:t xml:space="preserve"> was −.040 (95% CI [−.129, .049]).</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Heterogeneity was substantial for every trait, with </w:t>
      </w:r>
      <w:r>
        <w:rPr>
          <w:rFonts w:ascii="Times New Roman" w:hAnsi="Times New Roman" w:eastAsia="Times New Roman"/>
          <w:i/>
          <w:sz w:val="24"/>
        </w:rPr>
        <w:t>I²</w:t>
      </w:r>
      <w:r>
        <w:rPr>
          <w:rFonts w:ascii="Times New Roman" w:hAnsi="Times New Roman" w:eastAsia="Times New Roman"/>
          <w:sz w:val="24"/>
        </w:rPr>
        <w:t xml:space="preserve"> from 59.0% (Conscientiousness) to 96.0% (Agreeableness). Only the Conscientiousness prediction interval excluded zero ([.007, .351]). For Agreeableness the interval spanned [−.327, .538]: a new online study could find an association of quite different size, or of opposite sign.</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Three moderators could be tested: region (Asia vs. non-Asia), era (pre-COVID vs. COVID), and outcome type (objective vs. self-rated achievement). Table 3 gives the subgroup estimates and tests. Every contrast has two studies in its smaller subgroup, so the tests have little power and the subgroup estimates are imprecise.</w:t>
      </w:r>
    </w:p>
    <w:p>
      <w:pPr>
        <w:spacing w:line="480" w:lineRule="auto" w:before="0" w:after="0"/>
        <w:ind w:firstLine="720"/>
      </w:pPr>
      <w:r>
        <w:rPr>
          <w:rFonts w:ascii="Times New Roman" w:hAnsi="Times New Roman" w:eastAsia="Times New Roman"/>
          <w:sz w:val="24"/>
        </w:rPr>
        <w:t>Region. With two Asian studies (A-28 Yu, China; A-31 Rivers, Japan) against six or seven non-Asian studies, the Extraversion estimate was lower in the Asian subgroup (</w:t>
      </w:r>
      <w:r>
        <w:rPr>
          <w:rFonts w:ascii="Times New Roman" w:hAnsi="Times New Roman" w:eastAsia="Times New Roman"/>
          <w:i/>
          <w:sz w:val="24"/>
        </w:rPr>
        <w:t>r</w:t>
      </w:r>
      <w:r>
        <w:rPr>
          <w:rFonts w:ascii="Times New Roman" w:hAnsi="Times New Roman" w:eastAsia="Times New Roman"/>
          <w:sz w:val="24"/>
        </w:rPr>
        <w:t xml:space="preserve"> = −.095, 95% CI [−.541, .393]) than in the non-Asian subgroup (</w:t>
      </w:r>
      <w:r>
        <w:rPr>
          <w:rFonts w:ascii="Times New Roman" w:hAnsi="Times New Roman" w:eastAsia="Times New Roman"/>
          <w:i/>
          <w:sz w:val="24"/>
        </w:rPr>
        <w:t>r</w:t>
      </w:r>
      <w:r>
        <w:rPr>
          <w:rFonts w:ascii="Times New Roman" w:hAnsi="Times New Roman" w:eastAsia="Times New Roman"/>
          <w:sz w:val="24"/>
        </w:rPr>
        <w:t xml:space="preserve"> = .058, [−.004, .120]); F(1, 6) = 12.96, </w:t>
      </w:r>
      <w:r>
        <w:rPr>
          <w:rFonts w:ascii="Times New Roman" w:hAnsi="Times New Roman" w:eastAsia="Times New Roman"/>
          <w:i/>
          <w:sz w:val="24"/>
        </w:rPr>
        <w:t>p</w:t>
      </w:r>
      <w:r>
        <w:rPr>
          <w:rFonts w:ascii="Times New Roman" w:hAnsi="Times New Roman" w:eastAsia="Times New Roman"/>
          <w:sz w:val="24"/>
        </w:rPr>
        <w:t xml:space="preserve"> = .011, Holm-adjusted </w:t>
      </w:r>
      <w:r>
        <w:rPr>
          <w:rFonts w:ascii="Times New Roman" w:hAnsi="Times New Roman" w:eastAsia="Times New Roman"/>
          <w:i/>
          <w:sz w:val="24"/>
        </w:rPr>
        <w:t>p</w:t>
      </w:r>
      <w:r>
        <w:rPr>
          <w:rFonts w:ascii="Times New Roman" w:hAnsi="Times New Roman" w:eastAsia="Times New Roman"/>
          <w:sz w:val="24"/>
        </w:rPr>
        <w:t xml:space="preserve"> = .034. The Agreeableness estimate was higher in the Asian subgroup (</w:t>
      </w:r>
      <w:r>
        <w:rPr>
          <w:rFonts w:ascii="Times New Roman" w:hAnsi="Times New Roman" w:eastAsia="Times New Roman"/>
          <w:i/>
          <w:sz w:val="24"/>
        </w:rPr>
        <w:t>r</w:t>
      </w:r>
      <w:r>
        <w:rPr>
          <w:rFonts w:ascii="Times New Roman" w:hAnsi="Times New Roman" w:eastAsia="Times New Roman"/>
          <w:sz w:val="24"/>
        </w:rPr>
        <w:t xml:space="preserve"> = .319, [−.979, .994], vs. .047, [−.036, .128]; F(1, 6) = 6.98, </w:t>
      </w:r>
      <w:r>
        <w:rPr>
          <w:rFonts w:ascii="Times New Roman" w:hAnsi="Times New Roman" w:eastAsia="Times New Roman"/>
          <w:i/>
          <w:sz w:val="24"/>
        </w:rPr>
        <w:t>p</w:t>
      </w:r>
      <w:r>
        <w:rPr>
          <w:rFonts w:ascii="Times New Roman" w:hAnsi="Times New Roman" w:eastAsia="Times New Roman"/>
          <w:sz w:val="24"/>
        </w:rPr>
        <w:t xml:space="preserve"> = .038, Holm-adjusted </w:t>
      </w:r>
      <w:r>
        <w:rPr>
          <w:rFonts w:ascii="Times New Roman" w:hAnsi="Times New Roman" w:eastAsia="Times New Roman"/>
          <w:i/>
          <w:sz w:val="24"/>
        </w:rPr>
        <w:t>p</w:t>
      </w:r>
      <w:r>
        <w:rPr>
          <w:rFonts w:ascii="Times New Roman" w:hAnsi="Times New Roman" w:eastAsia="Times New Roman"/>
          <w:sz w:val="24"/>
        </w:rPr>
        <w:t xml:space="preserve"> = .115), but the two Asian studies disagree sharply (</w:t>
      </w:r>
      <w:r>
        <w:rPr>
          <w:rFonts w:ascii="Times New Roman" w:hAnsi="Times New Roman" w:eastAsia="Times New Roman"/>
          <w:i/>
          <w:sz w:val="24"/>
        </w:rPr>
        <w:t>r</w:t>
      </w:r>
      <w:r>
        <w:rPr>
          <w:rFonts w:ascii="Times New Roman" w:hAnsi="Times New Roman" w:eastAsia="Times New Roman"/>
          <w:sz w:val="24"/>
        </w:rPr>
        <w:t xml:space="preserve"> = .483 and .118). The meta-regression assumes a common residual variance, so this contrast is not interpretable. The other three traits did not differ by region (all </w:t>
      </w:r>
      <w:r>
        <w:rPr>
          <w:rFonts w:ascii="Times New Roman" w:hAnsi="Times New Roman" w:eastAsia="Times New Roman"/>
          <w:i/>
          <w:sz w:val="24"/>
        </w:rPr>
        <w:t>p</w:t>
      </w:r>
      <w:r>
        <w:rPr>
          <w:rFonts w:ascii="Times New Roman" w:hAnsi="Times New Roman" w:eastAsia="Times New Roman"/>
          <w:sz w:val="24"/>
        </w:rPr>
        <w:t xml:space="preserve"> ≥ .21).</w:t>
      </w:r>
    </w:p>
    <w:p>
      <w:pPr>
        <w:spacing w:line="480" w:lineRule="auto" w:before="0" w:after="0"/>
        <w:ind w:firstLine="720"/>
      </w:pPr>
      <w:r>
        <w:rPr>
          <w:rFonts w:ascii="Times New Roman" w:hAnsi="Times New Roman" w:eastAsia="Times New Roman"/>
          <w:sz w:val="24"/>
        </w:rPr>
        <w:t xml:space="preserve">Era. No trait differed between pre-COVID and COVID-period studies (all </w:t>
      </w:r>
      <w:r>
        <w:rPr>
          <w:rFonts w:ascii="Times New Roman" w:hAnsi="Times New Roman" w:eastAsia="Times New Roman"/>
          <w:i/>
          <w:sz w:val="24"/>
        </w:rPr>
        <w:t>p</w:t>
      </w:r>
      <w:r>
        <w:rPr>
          <w:rFonts w:ascii="Times New Roman" w:hAnsi="Times New Roman" w:eastAsia="Times New Roman"/>
          <w:sz w:val="24"/>
        </w:rPr>
        <w:t xml:space="preserve"> ≥ .27). For Conscientiousness, the estimates were .221 before and .180 during the pandemic. The post-COVID period could not be tested, because no post-COVID study contributed a trait–achievement correlation.</w:t>
      </w:r>
    </w:p>
    <w:p>
      <w:pPr>
        <w:spacing w:line="480" w:lineRule="auto" w:before="0" w:after="0"/>
        <w:ind w:firstLine="720"/>
      </w:pPr>
      <w:r>
        <w:rPr>
          <w:rFonts w:ascii="Times New Roman" w:hAnsi="Times New Roman" w:eastAsia="Times New Roman"/>
          <w:sz w:val="24"/>
        </w:rPr>
        <w:t>Outcome type. The Extraversion estimate was close to zero for objective outcomes (</w:t>
      </w:r>
      <w:r>
        <w:rPr>
          <w:rFonts w:ascii="Times New Roman" w:hAnsi="Times New Roman" w:eastAsia="Times New Roman"/>
          <w:i/>
          <w:sz w:val="24"/>
        </w:rPr>
        <w:t>k</w:t>
      </w:r>
      <w:r>
        <w:rPr>
          <w:rFonts w:ascii="Times New Roman" w:hAnsi="Times New Roman" w:eastAsia="Times New Roman"/>
          <w:sz w:val="24"/>
        </w:rPr>
        <w:t xml:space="preserve"> = 6, </w:t>
      </w:r>
      <w:r>
        <w:rPr>
          <w:rFonts w:ascii="Times New Roman" w:hAnsi="Times New Roman" w:eastAsia="Times New Roman"/>
          <w:i/>
          <w:sz w:val="24"/>
        </w:rPr>
        <w:t>r</w:t>
      </w:r>
      <w:r>
        <w:rPr>
          <w:rFonts w:ascii="Times New Roman" w:hAnsi="Times New Roman" w:eastAsia="Times New Roman"/>
          <w:sz w:val="24"/>
        </w:rPr>
        <w:t xml:space="preserve"> = −.031, [−.108, .047]) and positive for self-rated performance (</w:t>
      </w:r>
      <w:r>
        <w:rPr>
          <w:rFonts w:ascii="Times New Roman" w:hAnsi="Times New Roman" w:eastAsia="Times New Roman"/>
          <w:i/>
          <w:sz w:val="24"/>
        </w:rPr>
        <w:t>k</w:t>
      </w:r>
      <w:r>
        <w:rPr>
          <w:rFonts w:ascii="Times New Roman" w:hAnsi="Times New Roman" w:eastAsia="Times New Roman"/>
          <w:sz w:val="24"/>
        </w:rPr>
        <w:t xml:space="preserve"> = 2, </w:t>
      </w:r>
      <w:r>
        <w:rPr>
          <w:rFonts w:ascii="Times New Roman" w:hAnsi="Times New Roman" w:eastAsia="Times New Roman"/>
          <w:i/>
          <w:sz w:val="24"/>
        </w:rPr>
        <w:t>r</w:t>
      </w:r>
      <w:r>
        <w:rPr>
          <w:rFonts w:ascii="Times New Roman" w:hAnsi="Times New Roman" w:eastAsia="Times New Roman"/>
          <w:sz w:val="24"/>
        </w:rPr>
        <w:t xml:space="preserve"> = .116, [−.143, .361]); F(1, 6) = 7.96, </w:t>
      </w:r>
      <w:r>
        <w:rPr>
          <w:rFonts w:ascii="Times New Roman" w:hAnsi="Times New Roman" w:eastAsia="Times New Roman"/>
          <w:i/>
          <w:sz w:val="24"/>
        </w:rPr>
        <w:t>p</w:t>
      </w:r>
      <w:r>
        <w:rPr>
          <w:rFonts w:ascii="Times New Roman" w:hAnsi="Times New Roman" w:eastAsia="Times New Roman"/>
          <w:sz w:val="24"/>
        </w:rPr>
        <w:t xml:space="preserve"> = .030, Holm-adjusted </w:t>
      </w:r>
      <w:r>
        <w:rPr>
          <w:rFonts w:ascii="Times New Roman" w:hAnsi="Times New Roman" w:eastAsia="Times New Roman"/>
          <w:i/>
          <w:sz w:val="24"/>
        </w:rPr>
        <w:t>p</w:t>
      </w:r>
      <w:r>
        <w:rPr>
          <w:rFonts w:ascii="Times New Roman" w:hAnsi="Times New Roman" w:eastAsia="Times New Roman"/>
          <w:sz w:val="24"/>
        </w:rPr>
        <w:t xml:space="preserve"> = .061. The other traits did not differ by outcome type (all </w:t>
      </w:r>
      <w:r>
        <w:rPr>
          <w:rFonts w:ascii="Times New Roman" w:hAnsi="Times New Roman" w:eastAsia="Times New Roman"/>
          <w:i/>
          <w:sz w:val="24"/>
        </w:rPr>
        <w:t>p</w:t>
      </w:r>
      <w:r>
        <w:rPr>
          <w:rFonts w:ascii="Times New Roman" w:hAnsi="Times New Roman" w:eastAsia="Times New Roman"/>
          <w:sz w:val="24"/>
        </w:rPr>
        <w:t xml:space="preserve"> ≥ .23).</w:t>
      </w:r>
    </w:p>
    <w:p>
      <w:pPr>
        <w:spacing w:line="480" w:lineRule="auto" w:before="0" w:after="0"/>
        <w:ind w:firstLine="720"/>
      </w:pPr>
      <w:r>
        <w:rPr>
          <w:rFonts w:ascii="Times New Roman" w:hAnsi="Times New Roman" w:eastAsia="Times New Roman"/>
          <w:sz w:val="24"/>
        </w:rPr>
        <w:t>These contrasts overlap. Both Asian studies used objective outcomes and asynchronous delivery, and both self-rated studies were European (A-22 Quigley et al., 2022; A-30 Kaspar et al., 2023). The region and outcome-type differences for Extraversion therefore rest on the same few studies and cannot be separated from each other or from modality.</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Table 4 summarises the sensitivity analyses. Excluding the author's own study (Tokiwa, 2025) changed nothing, because it contributed no correlation to the pool. The DerSimonian–Laird estimator changed the estimates by at most .001. Excluding studies with </w:t>
      </w:r>
      <w:r>
        <w:rPr>
          <w:rFonts w:ascii="Times New Roman" w:hAnsi="Times New Roman" w:eastAsia="Times New Roman"/>
          <w:i/>
          <w:sz w:val="24"/>
        </w:rPr>
        <w:t>N</w:t>
      </w:r>
      <w:r>
        <w:rPr>
          <w:rFonts w:ascii="Times New Roman" w:hAnsi="Times New Roman" w:eastAsia="Times New Roman"/>
          <w:sz w:val="24"/>
        </w:rPr>
        <w:t xml:space="preserve"> &lt; 50 (A-15 Elvers et al.) changed the estimates by at most .014. No study in the pool scored below the risk-of-bias threshold, so that analysis repeats the primary one. Adding A-37 Zheng and Zheng (2023) with </w:t>
      </w:r>
      <w:r>
        <w:rPr>
          <w:rFonts w:ascii="Times New Roman" w:hAnsi="Times New Roman" w:eastAsia="Times New Roman"/>
          <w:i/>
          <w:sz w:val="24"/>
        </w:rPr>
        <w:t>r</w:t>
      </w:r>
      <w:r>
        <w:rPr>
          <w:rFonts w:ascii="Times New Roman" w:hAnsi="Times New Roman" w:eastAsia="Times New Roman"/>
          <w:sz w:val="24"/>
        </w:rPr>
        <w:t xml:space="preserve"> = 0 lowered the estimates slightly (Conscientiousness −.016; largest change .016). Excluding the two studies whose effects were converted from </w:t>
      </w:r>
      <w:r>
        <w:rPr>
          <w:rFonts w:ascii="Times New Roman" w:hAnsi="Times New Roman" w:eastAsia="Times New Roman"/>
          <w:i/>
          <w:sz w:val="24"/>
        </w:rPr>
        <w:t>β</w:t>
      </w:r>
      <w:r>
        <w:rPr>
          <w:rFonts w:ascii="Times New Roman" w:hAnsi="Times New Roman" w:eastAsia="Times New Roman"/>
          <w:sz w:val="24"/>
        </w:rPr>
        <w:t xml:space="preserve"> (A-28 Yu; A-30 Kaspar) changed the estimates by more than .05 for Openness, Agreeableness, and Neuroticism (Openness to .034, Agreeableness to .069, Neuroticism to −.040); Conscientiousness stayed positive (.206, [.107, .301]).</w:t>
      </w:r>
    </w:p>
    <w:p>
      <w:pPr>
        <w:spacing w:line="480" w:lineRule="auto" w:before="0" w:after="0"/>
        <w:ind w:firstLine="720"/>
      </w:pPr>
      <w:r>
        <w:rPr>
          <w:rFonts w:ascii="Times New Roman" w:hAnsi="Times New Roman" w:eastAsia="Times New Roman"/>
          <w:sz w:val="24"/>
        </w:rPr>
        <w:t>In the leave-one-out analysis, the Conscientiousness estimate ranged from .168 to .202. The most influential single study was Yu (2021) for Agreeableness (</w:t>
      </w:r>
      <w:r>
        <w:rPr>
          <w:rFonts w:ascii="Times New Roman" w:hAnsi="Times New Roman" w:eastAsia="Times New Roman"/>
          <w:i/>
          <w:sz w:val="24"/>
        </w:rPr>
        <w:t>r</w:t>
      </w:r>
      <w:r>
        <w:rPr>
          <w:rFonts w:ascii="Times New Roman" w:hAnsi="Times New Roman" w:eastAsia="Times New Roman"/>
          <w:sz w:val="24"/>
        </w:rPr>
        <w:t xml:space="preserve"> = .054 without it; Δr = −.077), Openness (.049; Δr = −.047), and Extraversion (.032; Δr = +.020), and Kaspar et al. (2023) for Neuroticism (−.013; Δr = −.030).</w:t>
      </w:r>
    </w:p>
    <w:p>
      <w:pPr>
        <w:pStyle w:val="Heading2"/>
        <w:spacing w:line="480" w:lineRule="auto" w:before="0" w:after="0"/>
      </w:pPr>
      <w:r>
        <w:t>Publication-Bias Diagnostics (descriptive only)</w:t>
      </w:r>
    </w:p>
    <w:p>
      <w:pPr>
        <w:spacing w:line="480" w:lineRule="auto" w:before="0" w:after="0"/>
        <w:ind w:firstLine="720"/>
      </w:pPr>
      <w:r>
        <w:rPr>
          <w:rFonts w:ascii="Times New Roman" w:hAnsi="Times New Roman" w:eastAsia="Times New Roman"/>
          <w:sz w:val="24"/>
        </w:rPr>
        <w:t xml:space="preserve">Funnel plots are shown in Figures 7 to 11. Egger's test was significant for Conscientiousness (intercept = 2.46, SE = 0.87, t(7) = 2.82, </w:t>
      </w:r>
      <w:r>
        <w:rPr>
          <w:rFonts w:ascii="Times New Roman" w:hAnsi="Times New Roman" w:eastAsia="Times New Roman"/>
          <w:i/>
          <w:sz w:val="24"/>
        </w:rPr>
        <w:t>p</w:t>
      </w:r>
      <w:r>
        <w:rPr>
          <w:rFonts w:ascii="Times New Roman" w:hAnsi="Times New Roman" w:eastAsia="Times New Roman"/>
          <w:sz w:val="24"/>
        </w:rPr>
        <w:t xml:space="preserve"> = .026) and not for Openness (intercept = −6.01, </w:t>
      </w:r>
      <w:r>
        <w:rPr>
          <w:rFonts w:ascii="Times New Roman" w:hAnsi="Times New Roman" w:eastAsia="Times New Roman"/>
          <w:i/>
          <w:sz w:val="24"/>
        </w:rPr>
        <w:t>p</w:t>
      </w:r>
      <w:r>
        <w:rPr>
          <w:rFonts w:ascii="Times New Roman" w:hAnsi="Times New Roman" w:eastAsia="Times New Roman"/>
          <w:sz w:val="24"/>
        </w:rPr>
        <w:t xml:space="preserve"> = .075), Extraversion (intercept = 1.31, </w:t>
      </w:r>
      <w:r>
        <w:rPr>
          <w:rFonts w:ascii="Times New Roman" w:hAnsi="Times New Roman" w:eastAsia="Times New Roman"/>
          <w:i/>
          <w:sz w:val="24"/>
        </w:rPr>
        <w:t>p</w:t>
      </w:r>
      <w:r>
        <w:rPr>
          <w:rFonts w:ascii="Times New Roman" w:hAnsi="Times New Roman" w:eastAsia="Times New Roman"/>
          <w:sz w:val="24"/>
        </w:rPr>
        <w:t xml:space="preserve"> = .485), Agreeableness (intercept = −7.93, </w:t>
      </w:r>
      <w:r>
        <w:rPr>
          <w:rFonts w:ascii="Times New Roman" w:hAnsi="Times New Roman" w:eastAsia="Times New Roman"/>
          <w:i/>
          <w:sz w:val="24"/>
        </w:rPr>
        <w:t>p</w:t>
      </w:r>
      <w:r>
        <w:rPr>
          <w:rFonts w:ascii="Times New Roman" w:hAnsi="Times New Roman" w:eastAsia="Times New Roman"/>
          <w:sz w:val="24"/>
        </w:rPr>
        <w:t xml:space="preserve"> = .101), or Neuroticism (intercept = −1.74, </w:t>
      </w:r>
      <w:r>
        <w:rPr>
          <w:rFonts w:ascii="Times New Roman" w:hAnsi="Times New Roman" w:eastAsia="Times New Roman"/>
          <w:i/>
          <w:sz w:val="24"/>
        </w:rPr>
        <w:t>p</w:t>
      </w:r>
      <w:r>
        <w:rPr>
          <w:rFonts w:ascii="Times New Roman" w:hAnsi="Times New Roman" w:eastAsia="Times New Roman"/>
          <w:sz w:val="24"/>
        </w:rPr>
        <w:t xml:space="preserve"> = .350). With </w:t>
      </w:r>
      <w:r>
        <w:rPr>
          <w:rFonts w:ascii="Times New Roman" w:hAnsi="Times New Roman" w:eastAsia="Times New Roman"/>
          <w:i/>
          <w:sz w:val="24"/>
        </w:rPr>
        <w:t>k</w:t>
      </w:r>
      <w:r>
        <w:rPr>
          <w:rFonts w:ascii="Times New Roman" w:hAnsi="Times New Roman" w:eastAsia="Times New Roman"/>
          <w:sz w:val="24"/>
        </w:rPr>
        <w:t xml:space="preserve"> = 8–9 the test has little power, so the non-significant results do not show that bias is absent.</w:t>
      </w:r>
    </w:p>
    <w:p>
      <w:pPr>
        <w:spacing w:line="480" w:lineRule="auto" w:before="0" w:after="0"/>
        <w:ind w:firstLine="720"/>
      </w:pPr>
      <w:r>
        <w:rPr>
          <w:rFonts w:ascii="Times New Roman" w:hAnsi="Times New Roman" w:eastAsia="Times New Roman"/>
          <w:sz w:val="24"/>
        </w:rPr>
        <w:t xml:space="preserve">Trim-and-fill imputed studies for Conscientiousness, 3 on the left (adjusted </w:t>
      </w:r>
      <w:r>
        <w:rPr>
          <w:rFonts w:ascii="Times New Roman" w:hAnsi="Times New Roman" w:eastAsia="Times New Roman"/>
          <w:i/>
          <w:sz w:val="24"/>
        </w:rPr>
        <w:t>r</w:t>
      </w:r>
      <w:r>
        <w:rPr>
          <w:rFonts w:ascii="Times New Roman" w:hAnsi="Times New Roman" w:eastAsia="Times New Roman"/>
          <w:sz w:val="24"/>
        </w:rPr>
        <w:t xml:space="preserve"> = .151, [.069, .230]); Agreeableness, 3 on the right (adjusted </w:t>
      </w:r>
      <w:r>
        <w:rPr>
          <w:rFonts w:ascii="Times New Roman" w:hAnsi="Times New Roman" w:eastAsia="Times New Roman"/>
          <w:i/>
          <w:sz w:val="24"/>
        </w:rPr>
        <w:t>r</w:t>
      </w:r>
      <w:r>
        <w:rPr>
          <w:rFonts w:ascii="Times New Roman" w:hAnsi="Times New Roman" w:eastAsia="Times New Roman"/>
          <w:sz w:val="24"/>
        </w:rPr>
        <w:t xml:space="preserve"> = .216, [.076, .347]); Neuroticism, 1 on the right (adjusted </w:t>
      </w:r>
      <w:r>
        <w:rPr>
          <w:rFonts w:ascii="Times New Roman" w:hAnsi="Times New Roman" w:eastAsia="Times New Roman"/>
          <w:i/>
          <w:sz w:val="24"/>
        </w:rPr>
        <w:t>r</w:t>
      </w:r>
      <w:r>
        <w:rPr>
          <w:rFonts w:ascii="Times New Roman" w:hAnsi="Times New Roman" w:eastAsia="Times New Roman"/>
          <w:sz w:val="24"/>
        </w:rPr>
        <w:t xml:space="preserve"> = .030, [−.087, .147]), and none for Openness and Extraversion. The Conscientiousness estimate remained positive after imputation. The Agreeableness adjustment moved the estimate upward and its interval above zero, which reflects the influence of Yu (2021) on the funnel rather than evidence of a larger true effect. These adjusted values are a sensitivity check, not corrected estimates.</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Table 5 summarises the confidence ratings. The Conscientiousness association was rated Low: its confidence interval excluded zero and it was robust to the sensitivity analyses, but heterogeneity was substantial, Egger's test suggested small-study effects, and the search was not comprehensive. The Extraversion estimate was also rated Low, because its confidence interval was narrow around zero. The Openness, Agreeableness, and Neuroticism estimates were rated Very Low, because of very high heterogeneity, imprecision, and the incomplete search.</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This scoping review mapped the evidence on the Big Five traits and academic achievement in online learning. Of 31 catalogued studies, 25 were retained and 9 contributed to an exploratory quantitative pool (</w:t>
      </w:r>
      <w:r>
        <w:rPr>
          <w:rFonts w:ascii="Times New Roman" w:hAnsi="Times New Roman" w:eastAsia="Times New Roman"/>
          <w:i/>
          <w:sz w:val="24"/>
        </w:rPr>
        <w:t>N</w:t>
      </w:r>
      <w:r>
        <w:rPr>
          <w:rFonts w:ascii="Times New Roman" w:hAnsi="Times New Roman" w:eastAsia="Times New Roman"/>
          <w:sz w:val="24"/>
        </w:rPr>
        <w:t xml:space="preserve"> = 3,102). Conscientiousness was the only trait with a clearly positive association (</w:t>
      </w:r>
      <w:r>
        <w:rPr>
          <w:rFonts w:ascii="Times New Roman" w:hAnsi="Times New Roman" w:eastAsia="Times New Roman"/>
          <w:i/>
          <w:sz w:val="24"/>
        </w:rPr>
        <w:t>r</w:t>
      </w:r>
      <w:r>
        <w:rPr>
          <w:rFonts w:ascii="Times New Roman" w:hAnsi="Times New Roman" w:eastAsia="Times New Roman"/>
          <w:sz w:val="24"/>
        </w:rPr>
        <w:t xml:space="preserve"> = .185, 95% CI [.112, .255]), and it held up in every sensitivity analysis. The estimates for Agreeableness (</w:t>
      </w:r>
      <w:r>
        <w:rPr>
          <w:rFonts w:ascii="Times New Roman" w:hAnsi="Times New Roman" w:eastAsia="Times New Roman"/>
          <w:i/>
          <w:sz w:val="24"/>
        </w:rPr>
        <w:t>r</w:t>
      </w:r>
      <w:r>
        <w:rPr>
          <w:rFonts w:ascii="Times New Roman" w:hAnsi="Times New Roman" w:eastAsia="Times New Roman"/>
          <w:sz w:val="24"/>
        </w:rPr>
        <w:t xml:space="preserve"> = .130, [−.022, .277]), Openness (</w:t>
      </w:r>
      <w:r>
        <w:rPr>
          <w:rFonts w:ascii="Times New Roman" w:hAnsi="Times New Roman" w:eastAsia="Times New Roman"/>
          <w:i/>
          <w:sz w:val="24"/>
        </w:rPr>
        <w:t>r</w:t>
      </w:r>
      <w:r>
        <w:rPr>
          <w:rFonts w:ascii="Times New Roman" w:hAnsi="Times New Roman" w:eastAsia="Times New Roman"/>
          <w:sz w:val="24"/>
        </w:rPr>
        <w:t xml:space="preserve"> = .096, [−.052, .239]), Neuroticism (</w:t>
      </w:r>
      <w:r>
        <w:rPr>
          <w:rFonts w:ascii="Times New Roman" w:hAnsi="Times New Roman" w:eastAsia="Times New Roman"/>
          <w:i/>
          <w:sz w:val="24"/>
        </w:rPr>
        <w:t>r</w:t>
      </w:r>
      <w:r>
        <w:rPr>
          <w:rFonts w:ascii="Times New Roman" w:hAnsi="Times New Roman" w:eastAsia="Times New Roman"/>
          <w:sz w:val="24"/>
        </w:rPr>
        <w:t xml:space="preserve"> = .017, [−.095, .128]), and Extraversion (</w:t>
      </w:r>
      <w:r>
        <w:rPr>
          <w:rFonts w:ascii="Times New Roman" w:hAnsi="Times New Roman" w:eastAsia="Times New Roman"/>
          <w:i/>
          <w:sz w:val="24"/>
        </w:rPr>
        <w:t>r</w:t>
      </w:r>
      <w:r>
        <w:rPr>
          <w:rFonts w:ascii="Times New Roman" w:hAnsi="Times New Roman" w:eastAsia="Times New Roman"/>
          <w:sz w:val="24"/>
        </w:rPr>
        <w:t xml:space="preserve"> = .012, [−.070, .093]) were small, with confidence intervals that included zero. The Agreeableness and Openness estimates depended heavily on one converted study (Yu, 2021). Exploratory subgroup contrasts suggested a lower Extraversion estimate in the two Asian studies (F(1, 6) = 12.96, Holm-adjusted </w:t>
      </w:r>
      <w:r>
        <w:rPr>
          <w:rFonts w:ascii="Times New Roman" w:hAnsi="Times New Roman" w:eastAsia="Times New Roman"/>
          <w:i/>
          <w:sz w:val="24"/>
        </w:rPr>
        <w:t>p</w:t>
      </w:r>
      <w:r>
        <w:rPr>
          <w:rFonts w:ascii="Times New Roman" w:hAnsi="Times New Roman" w:eastAsia="Times New Roman"/>
          <w:sz w:val="24"/>
        </w:rPr>
        <w:t xml:space="preserve"> = .034) and a higher one for self-rated outcomes (F(1, 6) = 7.96, Holm-adjusted </w:t>
      </w:r>
      <w:r>
        <w:rPr>
          <w:rFonts w:ascii="Times New Roman" w:hAnsi="Times New Roman" w:eastAsia="Times New Roman"/>
          <w:i/>
          <w:sz w:val="24"/>
        </w:rPr>
        <w:t>p</w:t>
      </w:r>
      <w:r>
        <w:rPr>
          <w:rFonts w:ascii="Times New Roman" w:hAnsi="Times New Roman" w:eastAsia="Times New Roman"/>
          <w:sz w:val="24"/>
        </w:rPr>
        <w:t xml:space="preserve"> = .061). These contrasts rest on the same two-study subgroups and cannot be separated from one another.</w:t>
      </w:r>
    </w:p>
    <w:p>
      <w:pPr>
        <w:pStyle w:val="Heading2"/>
        <w:spacing w:line="480" w:lineRule="auto" w:before="0" w:after="0"/>
      </w:pPr>
      <w:r>
        <w:t>Evaluation of the Mapping Priors</w:t>
      </w:r>
    </w:p>
    <w:p>
      <w:pPr>
        <w:spacing w:line="480" w:lineRule="auto" w:before="0" w:after="0"/>
        <w:ind w:firstLine="720"/>
      </w:pPr>
      <w:r>
        <w:rPr>
          <w:rFonts w:ascii="Times New Roman" w:hAnsi="Times New Roman" w:eastAsia="Times New Roman"/>
          <w:sz w:val="24"/>
        </w:rPr>
        <w:t xml:space="preserve">Mapping Prior 1 (Conscientiousness as the strongest positive correlate) was supported in rank: </w:t>
      </w:r>
      <w:r>
        <w:rPr>
          <w:rFonts w:ascii="Times New Roman" w:hAnsi="Times New Roman" w:eastAsia="Times New Roman"/>
          <w:i/>
          <w:sz w:val="24"/>
        </w:rPr>
        <w:t>r</w:t>
      </w:r>
      <w:r>
        <w:rPr>
          <w:rFonts w:ascii="Times New Roman" w:hAnsi="Times New Roman" w:eastAsia="Times New Roman"/>
          <w:sz w:val="24"/>
        </w:rPr>
        <w:t xml:space="preserve"> = .185 was the largest estimate. It fell below the prior's expected range (.20–.35) and below the face-to-face benchmarks of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The upper limit of its confidence interval reached that range.</w:t>
      </w:r>
    </w:p>
    <w:p>
      <w:pPr>
        <w:spacing w:line="480" w:lineRule="auto" w:before="0" w:after="0"/>
        <w:ind w:firstLine="720"/>
      </w:pPr>
      <w:r>
        <w:rPr>
          <w:rFonts w:ascii="Times New Roman" w:hAnsi="Times New Roman" w:eastAsia="Times New Roman"/>
          <w:sz w:val="24"/>
        </w:rPr>
        <w:t xml:space="preserve">Mapping Prior 2 (Openness as the second-strongest positive correlate) was not supported: </w:t>
      </w:r>
      <w:r>
        <w:rPr>
          <w:rFonts w:ascii="Times New Roman" w:hAnsi="Times New Roman" w:eastAsia="Times New Roman"/>
          <w:i/>
          <w:sz w:val="24"/>
        </w:rPr>
        <w:t>r</w:t>
      </w:r>
      <w:r>
        <w:rPr>
          <w:rFonts w:ascii="Times New Roman" w:hAnsi="Times New Roman" w:eastAsia="Times New Roman"/>
          <w:sz w:val="24"/>
        </w:rPr>
        <w:t xml:space="preserve"> = .096 was smaller than both the Conscientiousness and the Agreeableness estimate, and its confidence interval included zero. One possible reason is that the pool is almost entirely undergraduate, and Openness effects are known to weaken with educational level (Mammadov, 2022; Meyer et al., 2023).</w:t>
      </w:r>
    </w:p>
    <w:p>
      <w:pPr>
        <w:spacing w:line="480" w:lineRule="auto" w:before="0" w:after="0"/>
        <w:ind w:firstLine="720"/>
      </w:pPr>
      <w:r>
        <w:rPr>
          <w:rFonts w:ascii="Times New Roman" w:hAnsi="Times New Roman" w:eastAsia="Times New Roman"/>
          <w:sz w:val="24"/>
        </w:rPr>
        <w:t xml:space="preserve">Mapping Prior 3 (Agreeableness weaker than in face-to-face samples) was not supported in direction: </w:t>
      </w:r>
      <w:r>
        <w:rPr>
          <w:rFonts w:ascii="Times New Roman" w:hAnsi="Times New Roman" w:eastAsia="Times New Roman"/>
          <w:i/>
          <w:sz w:val="24"/>
        </w:rPr>
        <w:t>r</w:t>
      </w:r>
      <w:r>
        <w:rPr>
          <w:rFonts w:ascii="Times New Roman" w:hAnsi="Times New Roman" w:eastAsia="Times New Roman"/>
          <w:sz w:val="24"/>
        </w:rPr>
        <w:t xml:space="preserve"> = .130 was slightly above the face-to-face range of .05–.10. This estimate rests largely on Yu (2021); without that study it is .054, within the face-to-face range. Narrative evidence from studies outside the pool (Wang et al., 2023; Baruth &amp; Cohen, 2023) points in the same direction for East Asian and Israeli samples, but this does not offset the single-study dependence.</w:t>
      </w:r>
    </w:p>
    <w:p>
      <w:pPr>
        <w:spacing w:line="480" w:lineRule="auto" w:before="0" w:after="0"/>
        <w:ind w:firstLine="720"/>
      </w:pPr>
      <w:r>
        <w:rPr>
          <w:rFonts w:ascii="Times New Roman" w:hAnsi="Times New Roman" w:eastAsia="Times New Roman"/>
          <w:sz w:val="24"/>
        </w:rPr>
        <w:t xml:space="preserve">Mapping Prior 4 (Neuroticism negative, more so in fully online courses) was not supported: </w:t>
      </w:r>
      <w:r>
        <w:rPr>
          <w:rFonts w:ascii="Times New Roman" w:hAnsi="Times New Roman" w:eastAsia="Times New Roman"/>
          <w:i/>
          <w:sz w:val="24"/>
        </w:rPr>
        <w:t>r</w:t>
      </w:r>
      <w:r>
        <w:rPr>
          <w:rFonts w:ascii="Times New Roman" w:hAnsi="Times New Roman" w:eastAsia="Times New Roman"/>
          <w:sz w:val="24"/>
        </w:rPr>
        <w:t xml:space="preserve"> = .017. Without the two converted estimates the pooled </w:t>
      </w:r>
      <w:r>
        <w:rPr>
          <w:rFonts w:ascii="Times New Roman" w:hAnsi="Times New Roman" w:eastAsia="Times New Roman"/>
          <w:i/>
          <w:sz w:val="24"/>
        </w:rPr>
        <w:t>r</w:t>
      </w:r>
      <w:r>
        <w:rPr>
          <w:rFonts w:ascii="Times New Roman" w:hAnsi="Times New Roman" w:eastAsia="Times New Roman"/>
          <w:sz w:val="24"/>
        </w:rPr>
        <w:t xml:space="preserve"> was −.040 (95% CI [−.129, .049]), negative in direction but still compatible with zero. The fully online versus blended comparison could not be made, because only one study (Alkış &amp; Taşkaya Temizel, 2018) reported a blended subsample.</w:t>
      </w:r>
    </w:p>
    <w:p>
      <w:pPr>
        <w:spacing w:line="480" w:lineRule="auto" w:before="0" w:after="0"/>
        <w:ind w:firstLine="720"/>
      </w:pPr>
      <w:r>
        <w:rPr>
          <w:rFonts w:ascii="Times New Roman" w:hAnsi="Times New Roman" w:eastAsia="Times New Roman"/>
          <w:sz w:val="24"/>
        </w:rPr>
        <w:t xml:space="preserve">Mapping Prior 5 (Extraversion null or weakly negative) was supported: </w:t>
      </w:r>
      <w:r>
        <w:rPr>
          <w:rFonts w:ascii="Times New Roman" w:hAnsi="Times New Roman" w:eastAsia="Times New Roman"/>
          <w:i/>
          <w:sz w:val="24"/>
        </w:rPr>
        <w:t>r</w:t>
      </w:r>
      <w:r>
        <w:rPr>
          <w:rFonts w:ascii="Times New Roman" w:hAnsi="Times New Roman" w:eastAsia="Times New Roman"/>
          <w:sz w:val="24"/>
        </w:rPr>
        <w:t xml:space="preserve"> = .012, [−.070, .093]. The proposed mechanism, in which a negative sociability facet cancels a positive assertiveness facet, could not be tested, because few studies report facets.</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Conscientiousness estimate is somewhat below the face-to-face benchmarks. This is consistent with an extension of the Personality-Achievement Saturation Hypothesis (PASH; Meyer et al., 2023) proposed here: if Conscientiousness reaches grades partly through behaviour that teachers observe, online courses with automated grading and less observation should weaken that channel. The extension is the author's proposal, not part of the original PASH. Trait Activation Theory (Tett &amp; Burnett, 2003) makes a different prediction: the cues that activate conscientious study — deadlines, assessments, milestones — are preserved online, so the association should be preserved too. The present data cannot tell these accounts apart. The gap from the benchmarks (Δr ≈ .01–.10, depending on the benchmark) is small, the confidence interval reaches the benchmark range, and the confidence rating is Low.</w:t>
      </w:r>
    </w:p>
    <w:p>
      <w:pPr>
        <w:spacing w:line="480" w:lineRule="auto" w:before="0" w:after="0"/>
        <w:ind w:firstLine="720"/>
      </w:pPr>
      <w:r>
        <w:rPr>
          <w:rFonts w:ascii="Times New Roman" w:hAnsi="Times New Roman" w:eastAsia="Times New Roman"/>
          <w:sz w:val="24"/>
        </w:rPr>
        <w:t>For Extraversion, the near-zero pooled estimate matches the face-to-face literature at the tertiary level (Poropat, 2009; Chen et al., 2025). The subgroup contrasts suggest that the estimate may be lower in some contexts, but they rest on two Asian studies and two self-rated studies, and these subgroups overlap with one another and with asynchronous delivery. Several explanations fit equally well: that extraverts are disadvantaged in collectivistic online contexts with few social channels, that self-rated performance carries an extraversion-linked self-enhancement bias (Paulhus, 1998), that asynchronous delivery removes the social cues that activate extraverted engagement (Tett &amp; Burnett, 2003), or that the difference reflects the particular samples and instruments of four studies. Testing these explanations needs primary studies that vary one factor at a time, such as studies that collect objective and self-rated outcomes from the same learners.</w:t>
      </w:r>
    </w:p>
    <w:p>
      <w:pPr>
        <w:spacing w:line="480" w:lineRule="auto" w:before="0" w:after="0"/>
        <w:ind w:firstLine="720"/>
      </w:pPr>
      <w:r>
        <w:rPr>
          <w:rFonts w:ascii="Times New Roman" w:hAnsi="Times New Roman" w:eastAsia="Times New Roman"/>
          <w:sz w:val="24"/>
        </w:rPr>
        <w:t>The Agreeableness contrast by region does not support a cultural interpretation. The two Asian studies give very different estimates (</w:t>
      </w:r>
      <w:r>
        <w:rPr>
          <w:rFonts w:ascii="Times New Roman" w:hAnsi="Times New Roman" w:eastAsia="Times New Roman"/>
          <w:i/>
          <w:sz w:val="24"/>
        </w:rPr>
        <w:t>r</w:t>
      </w:r>
      <w:r>
        <w:rPr>
          <w:rFonts w:ascii="Times New Roman" w:hAnsi="Times New Roman" w:eastAsia="Times New Roman"/>
          <w:sz w:val="24"/>
        </w:rPr>
        <w:t xml:space="preserve"> = .483 and .118), so the Asian subgroup has no meaningful pooled value. The higher Agreeableness estimates reported for Asian face-to-face samples (Mammadov, 2022; Chen et al., 2025) remain a hypothesis for online learning.</w:t>
      </w:r>
    </w:p>
    <w:p>
      <w:pPr>
        <w:spacing w:line="480" w:lineRule="auto" w:before="0" w:after="0"/>
        <w:ind w:firstLine="720"/>
      </w:pPr>
      <w:r>
        <w:rPr>
          <w:rFonts w:ascii="Times New Roman" w:hAnsi="Times New Roman" w:eastAsia="Times New Roman"/>
          <w:sz w:val="24"/>
        </w:rPr>
        <w:t>Finally, no trait differed between pre-COVID and COVID-period studies. In particular, the expectation that emergency remote teaching would increase the importance of Conscientiousness was not borne out. Post-COVID studies did not report correlations, so later updates should revisit this question.</w:t>
      </w:r>
    </w:p>
    <w:p>
      <w:pPr>
        <w:pStyle w:val="Heading2"/>
        <w:spacing w:line="480" w:lineRule="auto" w:before="0" w:after="0"/>
      </w:pPr>
      <w:r>
        <w:t>Hypotheses for Future Practical Testing</w:t>
      </w:r>
    </w:p>
    <w:p>
      <w:pPr>
        <w:spacing w:line="480" w:lineRule="auto" w:before="0" w:after="0"/>
        <w:ind w:firstLine="720"/>
      </w:pPr>
      <w:r>
        <w:rPr>
          <w:rFonts w:ascii="Times New Roman" w:hAnsi="Times New Roman" w:eastAsia="Times New Roman"/>
          <w:sz w:val="24"/>
        </w:rPr>
        <w:t>The following hypotheses follow from the map but are not recommendations. The pool is small, heterogeneity is substantial, and the subgroup contrasts rest on two studies per subgroup. Each hypothesis needs to be tested in adequately powered primary research before it informs instructional design.</w:t>
      </w:r>
    </w:p>
    <w:p>
      <w:pPr>
        <w:spacing w:line="480" w:lineRule="auto" w:before="0" w:after="0"/>
        <w:ind w:firstLine="720"/>
      </w:pPr>
      <w:r>
        <w:rPr>
          <w:rFonts w:ascii="Times New Roman" w:hAnsi="Times New Roman" w:eastAsia="Times New Roman"/>
          <w:sz w:val="24"/>
        </w:rPr>
        <w:t>HPT-1. Conscientiousness is the only trait whose confidence interval excludes zero. Online features that scaffold self-regulated learning — scheduling tools, progress tracking, deadline reminders — may therefore be most useful for learners low in Conscientiousness.</w:t>
      </w:r>
    </w:p>
    <w:p>
      <w:pPr>
        <w:spacing w:line="480" w:lineRule="auto" w:before="0" w:after="0"/>
        <w:ind w:firstLine="720"/>
      </w:pPr>
      <w:r>
        <w:rPr>
          <w:rFonts w:ascii="Times New Roman" w:hAnsi="Times New Roman" w:eastAsia="Times New Roman"/>
          <w:sz w:val="24"/>
        </w:rPr>
        <w:t>HPT-2. If the Extraversion contrasts reflect missing social channels, adding synchronous elements to asynchronous courses should help extraverted learners. If they reflect self-enhancement, self-rated performance should be checked against objective indicators. A study that varies delivery mode and collects both outcome types in the same learners could test both.</w:t>
      </w:r>
    </w:p>
    <w:p>
      <w:pPr>
        <w:spacing w:line="480" w:lineRule="auto" w:before="0" w:after="0"/>
        <w:ind w:firstLine="720"/>
      </w:pPr>
      <w:r>
        <w:rPr>
          <w:rFonts w:ascii="Times New Roman" w:hAnsi="Times New Roman" w:eastAsia="Times New Roman"/>
          <w:sz w:val="24"/>
        </w:rPr>
        <w:t>HPT-3. The Openness estimate is small. Exploration-oriented features of institutional learning platforms (supplementary multimedia, flexible navigation) may not translate into achievement for high-Openness learners under standardised online assessment.</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 xml:space="preserve">The positive Conscientiousness association is the most robust result: </w:t>
      </w:r>
      <w:r>
        <w:rPr>
          <w:rFonts w:ascii="Times New Roman" w:hAnsi="Times New Roman" w:eastAsia="Times New Roman"/>
          <w:i/>
          <w:sz w:val="24"/>
        </w:rPr>
        <w:t>r</w:t>
      </w:r>
      <w:r>
        <w:rPr>
          <w:rFonts w:ascii="Times New Roman" w:hAnsi="Times New Roman" w:eastAsia="Times New Roman"/>
          <w:sz w:val="24"/>
        </w:rPr>
        <w:t xml:space="preserve"> = .185, with a confidence interval that excludes zero. It ranged from .168 to .202 when each study was removed in turn, stayed positive without the converted estimates (.206) and after trim-and-fill (.151), and matches the direction of all eight face-to-face meta-analyses. Its prediction interval also excludes zero ([.007, .351]), but only just.</w:t>
      </w:r>
    </w:p>
    <w:p>
      <w:pPr>
        <w:spacing w:line="480" w:lineRule="auto" w:before="0" w:after="0"/>
        <w:ind w:firstLine="720"/>
      </w:pPr>
      <w:r>
        <w:rPr>
          <w:rFonts w:ascii="Times New Roman" w:hAnsi="Times New Roman" w:eastAsia="Times New Roman"/>
          <w:sz w:val="24"/>
        </w:rPr>
        <w:t>Everything else is fragile: (i) the Agreeableness and Openness estimates, which depend on Yu (2021) and change by more than .05 without the converted studies; (ii) the Neuroticism estimate, which changes sign without the converted studies; (iii) the Extraversion region and outcome-type contrasts, which rest on two studies per subgroup and overlap with each other and with modality; and (iv) the Agreeableness region contrast, which is not interpretable. The hypotheses above that depend on these results should be weighted accordingly.</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This is, to the author's knowledge, the first attempt to map the Big Five–achievement evidence specifically for online learning. None of the prior face-to-face meta-analyses examined learning modality (Chen et al., 2025; Mammadov, 2022; McAbee &amp; Oswald, 2013; Meyer et al., 2023; Poropat, 2009; Stajkovic et al., 2018; Vedel, 2014; Zell &amp; Lesick, 2022), and the closest review of online studies did not pool effect sizes (Hunter et al., 2025). The protocol was pre-registered, and every deviation from it is reported. The extraction file, analysis code, and outputs are public, the key estimators were checked against an independent implementation, and the robustness of each estimate was examined with seven sensitivity analyses.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First, the quantitative pool is small (</w:t>
      </w:r>
      <w:r>
        <w:rPr>
          <w:rFonts w:ascii="Times New Roman" w:hAnsi="Times New Roman" w:eastAsia="Times New Roman"/>
          <w:i/>
          <w:sz w:val="24"/>
        </w:rPr>
        <w:t>k</w:t>
      </w:r>
      <w:r>
        <w:rPr>
          <w:rFonts w:ascii="Times New Roman" w:hAnsi="Times New Roman" w:eastAsia="Times New Roman"/>
          <w:sz w:val="24"/>
        </w:rPr>
        <w:t xml:space="preserve"> = 9: 7 studies with direct correlations and 2 converted from </w:t>
      </w:r>
      <w:r>
        <w:rPr>
          <w:rFonts w:ascii="Times New Roman" w:hAnsi="Times New Roman" w:eastAsia="Times New Roman"/>
          <w:i/>
          <w:sz w:val="24"/>
        </w:rPr>
        <w:t>β</w:t>
      </w:r>
      <w:r>
        <w:rPr>
          <w:rFonts w:ascii="Times New Roman" w:hAnsi="Times New Roman" w:eastAsia="Times New Roman"/>
          <w:sz w:val="24"/>
        </w:rPr>
        <w:t>). With so few studies the pooled estimates are unstable, heterogeneity is poorly estimated, and every moderator contrast has two studies in its smaller subgroup. Second, the search did not cover the pre-registered bibliographic databases. A web search engine, ERIC's web interface, open-access repositories, and citation snowballing cannot be assumed to find every eligible study, so the map is not an exhaustive census. The record counts at the identification and screening stages were not logged, so the flow diagram is approximate before the full-text stage.</w:t>
      </w:r>
    </w:p>
    <w:p>
      <w:pPr>
        <w:spacing w:line="480" w:lineRule="auto" w:before="0" w:after="0"/>
        <w:ind w:firstLine="720"/>
      </w:pPr>
      <w:r>
        <w:rPr>
          <w:rFonts w:ascii="Times New Roman" w:hAnsi="Times New Roman" w:eastAsia="Times New Roman"/>
          <w:sz w:val="24"/>
        </w:rPr>
        <w:t xml:space="preserve">Third, one reviewer did all screening, extraction, and risk-of-bias rating, with assistance from a large language model, and the pre-registered intra-rater reliability checks were not carried out. Single-reviewer work is vulnerable to inclusion and coding errors that a second reviewer would catch. Analysis errors were also found during revision: an incorrect β-to-r conversion and an inappropriate subgroup test in earlier versions were corrected for this version. Fourth, two effect sizes are converted from </w:t>
      </w:r>
      <w:r>
        <w:rPr>
          <w:rFonts w:ascii="Times New Roman" w:hAnsi="Times New Roman" w:eastAsia="Times New Roman"/>
          <w:i/>
          <w:sz w:val="24"/>
        </w:rPr>
        <w:t>β</w:t>
      </w:r>
      <w:r>
        <w:rPr>
          <w:rFonts w:ascii="Times New Roman" w:hAnsi="Times New Roman" w:eastAsia="Times New Roman"/>
          <w:sz w:val="24"/>
        </w:rPr>
        <w:t xml:space="preserve">, and one study (A-37 Zheng &amp; Zheng, 2023) was moved to the narrative map during revision, after the pooled results were known, because most of its cohorts were taught face to face and its correlations were reported only as |r| &lt; .10. Adding it back with </w:t>
      </w:r>
      <w:r>
        <w:rPr>
          <w:rFonts w:ascii="Times New Roman" w:hAnsi="Times New Roman" w:eastAsia="Times New Roman"/>
          <w:i/>
          <w:sz w:val="24"/>
        </w:rPr>
        <w:t>r</w:t>
      </w:r>
      <w:r>
        <w:rPr>
          <w:rFonts w:ascii="Times New Roman" w:hAnsi="Times New Roman" w:eastAsia="Times New Roman"/>
          <w:sz w:val="24"/>
        </w:rPr>
        <w:t xml:space="preserve"> = 0 changes the estimates by at most .016 (Table 4).</w:t>
      </w:r>
    </w:p>
    <w:p>
      <w:pPr>
        <w:spacing w:line="480" w:lineRule="auto" w:before="0" w:after="0"/>
        <w:ind w:firstLine="720"/>
      </w:pPr>
      <w:r>
        <w:rPr>
          <w:rFonts w:ascii="Times New Roman" w:hAnsi="Times New Roman" w:eastAsia="Times New Roman"/>
          <w:sz w:val="24"/>
        </w:rPr>
        <w:t>Fifth, the English-language restriction excluded potentially relevant Chinese-, Japanese-, Korean-, and Spanish-language studies, which matters most for the regional contrasts. Sixth, outcomes ranged from objective grades and exam scores to self-rated performance, which adds heterogeneity. Seventh, the author's own primary study (Tokiwa, 2025) was among the retained studies; it contributed no correlation to the pool, and excluding it changed nothing. Eighth, facet-level analysis was not possible because few studies report facets.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The most useful next step is a replication search of the pre-registered bibliographic databases (including PsycINFO, Scopus, and Web of Science) with record-level logging and a second reviewer, which would allow a systematic review proper. Primary studies are needed that (a) compare the same learners in asynchronous and synchronous conditions, (b) collect objective and self-rated outcomes together, (c) report facet-level correlations with hierarchical inventories such as the BFI-2 or NEO-PI-R, (d) sample K-12 and Asian online learners, and (e) report zero-order correlations for all five traits, including non-significant ones. Mediators such as self-efficacy, self-regulated learning, and platform engagement would clarify the pathways (Stajkovic et al., 2018). Longitudinal designs across the pre-, during-, and post-COVID periods, such as Zheng and Zheng (2023), would help separate period effects from sampling.</w:t>
      </w:r>
    </w:p>
    <w:p>
      <w:pPr>
        <w:spacing w:line="480" w:lineRule="auto" w:before="0" w:after="0"/>
        <w:ind w:firstLine="720"/>
      </w:pPr>
      <w:r>
        <w:rPr>
          <w:rFonts w:ascii="Times New Roman" w:hAnsi="Times New Roman" w:eastAsia="Times New Roman"/>
          <w:sz w:val="24"/>
        </w:rPr>
        <w:t>Discipline is a further candidate moderator. The retained studies span psychology, education, computing, health sciences, business, and general education, with only one to three studies per discipline in the quantitative pool. Future syntheses should record discipline as a categorical extraction field and test whether the Conscientiousness and Extraversion associations differ between more and less structured disciplines and between formats with more or less peer interaction.</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This scoping review found a small but robust positive association between Conscientiousness and academic achievement in online learning (</w:t>
      </w:r>
      <w:r>
        <w:rPr>
          <w:rFonts w:ascii="Times New Roman" w:hAnsi="Times New Roman" w:eastAsia="Times New Roman"/>
          <w:i/>
          <w:sz w:val="24"/>
        </w:rPr>
        <w:t>r</w:t>
      </w:r>
      <w:r>
        <w:rPr>
          <w:rFonts w:ascii="Times New Roman" w:hAnsi="Times New Roman" w:eastAsia="Times New Roman"/>
          <w:sz w:val="24"/>
        </w:rPr>
        <w:t xml:space="preserve"> = .185, 95% CI [.112, .255]), somewhat below face-to-face benchmarks. Associations for the other four traits were small and imprecise, and two of them depended on a single study. The Extraversion subgroup differences by region and outcome type are hypotheses for primary research: they rest on two studies per subgroup and cannot be separated from each other or from delivery mode. The evidence base is small and the search was not exhaustive, so the review's main contribution is a map of what is known and a list of the studies that are missing, not a settled effect size.</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Higgins, J. P. T., Thompson, S. G., &amp; Spiegelhalter, D. J. (2009). A re-evaluation of random-effects meta-analysis. </w:t>
      </w:r>
      <w:r>
        <w:rPr>
          <w:rFonts w:ascii="Times New Roman" w:hAnsi="Times New Roman" w:eastAsia="Times New Roman"/>
          <w:i/>
          <w:sz w:val="24"/>
        </w:rPr>
        <w:t>Journal of the Royal Statistical Society: Series A (Statistics in Society), 172</w:t>
      </w:r>
      <w:r>
        <w:rPr>
          <w:rFonts w:ascii="Times New Roman" w:hAnsi="Times New Roman" w:eastAsia="Times New Roman"/>
          <w:sz w:val="24"/>
        </w:rPr>
        <w:t>(1), 137–159. https://doi.org/10.1111/j.1467-985X.2008.00552.x</w:t>
      </w:r>
    </w:p>
    <w:p>
      <w:pPr>
        <w:spacing w:line="480" w:lineRule="auto" w:before="0" w:after="0"/>
        <w:ind w:left="720" w:hanging="720"/>
      </w:pPr>
      <w:r>
        <w:rPr>
          <w:rFonts w:ascii="Times New Roman" w:hAnsi="Times New Roman" w:eastAsia="Times New Roman"/>
          <w:sz w:val="24"/>
        </w:rPr>
        <w:t xml:space="preserve">Holm, S. (1979). A simple sequentially rejective multiple test procedure. </w:t>
      </w:r>
      <w:r>
        <w:rPr>
          <w:rFonts w:ascii="Times New Roman" w:hAnsi="Times New Roman" w:eastAsia="Times New Roman"/>
          <w:i/>
          <w:sz w:val="24"/>
        </w:rPr>
        <w:t>Scandinavian Journal of Statistics, 6</w:t>
      </w:r>
      <w:r>
        <w:rPr>
          <w:rFonts w:ascii="Times New Roman" w:hAnsi="Times New Roman" w:eastAsia="Times New Roman"/>
          <w:sz w:val="24"/>
        </w:rPr>
        <w:t>(2), 65–70.</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Knapp, G., &amp; Hartung, J. (2003). Improved tests for a random effects meta-regression with a single covariate. </w:t>
      </w:r>
      <w:r>
        <w:rPr>
          <w:rFonts w:ascii="Times New Roman" w:hAnsi="Times New Roman" w:eastAsia="Times New Roman"/>
          <w:i/>
          <w:sz w:val="24"/>
        </w:rPr>
        <w:t>Statistics in Medicine, 22</w:t>
      </w:r>
      <w:r>
        <w:rPr>
          <w:rFonts w:ascii="Times New Roman" w:hAnsi="Times New Roman" w:eastAsia="Times New Roman"/>
          <w:sz w:val="24"/>
        </w:rPr>
        <w:t>(17), 2693–2710. https://doi.org/10.1002/sim.1482</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Sterne, J. A. C., Sutton, A. J., Ioannidis, J. P. A., Terrin, </w:t>
      </w:r>
      <w:r>
        <w:rPr>
          <w:rFonts w:ascii="Times New Roman" w:hAnsi="Times New Roman" w:eastAsia="Times New Roman"/>
          <w:i/>
          <w:sz w:val="24"/>
        </w:rPr>
        <w:t>N</w:t>
      </w:r>
      <w:r>
        <w:rPr>
          <w:rFonts w:ascii="Times New Roman" w:hAnsi="Times New Roman" w:eastAsia="Times New Roman"/>
          <w:sz w:val="24"/>
        </w:rPr>
        <w:t xml:space="preserve">., Jones, D. R., Lau, J., Carpenter, J., Rücker, G., Harbord, R. </w:t>
      </w:r>
      <w:r>
        <w:rPr>
          <w:rFonts w:ascii="Times New Roman" w:hAnsi="Times New Roman" w:eastAsia="Times New Roman"/>
          <w:i/>
          <w:sz w:val="24"/>
        </w:rPr>
        <w:t>M</w:t>
      </w:r>
      <w:r>
        <w:rPr>
          <w:rFonts w:ascii="Times New Roman" w:hAnsi="Times New Roman" w:eastAsia="Times New Roman"/>
          <w:sz w:val="24"/>
        </w:rPr>
        <w:t>., Schmid, C. H., Tetzlaff, J., Deeks, J. J., Peters, J., Macaskill, P., Schwarzer, G., Duval, S., Altman, D. G., Moher, D., &amp; Higgins, J. P. T. (2011). Recommendations for examining and interpreting funnel plot asymmetry in meta-analyses of randomised controlled trials. BMJ, 343, d4002. https://doi.org/10.1136/bmj.d4002</w:t>
      </w:r>
    </w:p>
    <w:p>
      <w:pPr>
        <w:spacing w:line="480" w:lineRule="auto" w:before="0" w:after="0"/>
        <w:ind w:left="720" w:hanging="720"/>
      </w:pPr>
      <w:r>
        <w:rPr>
          <w:rFonts w:ascii="Times New Roman" w:hAnsi="Times New Roman" w:eastAsia="Times New Roman"/>
          <w:sz w:val="24"/>
        </w:rPr>
        <w:t xml:space="preserve">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López-López, J. A., Sánchez-Meca, J., &amp; Marín-Martínez, </w:t>
      </w:r>
      <w:r>
        <w:rPr>
          <w:rFonts w:ascii="Times New Roman" w:hAnsi="Times New Roman" w:eastAsia="Times New Roman"/>
          <w:i/>
          <w:sz w:val="24"/>
        </w:rPr>
        <w:t>F</w:t>
      </w:r>
      <w:r>
        <w:rPr>
          <w:rFonts w:ascii="Times New Roman" w:hAnsi="Times New Roman" w:eastAsia="Times New Roman"/>
          <w:sz w:val="24"/>
        </w:rPr>
        <w:t>. (2015). A comparison of procedures to test for moderators in mixed-effects meta-regression models. Psychological Methods, 20(3), 360–374. https://doi.org/10.1037/met0000023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Catalogued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 (overlap)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 (FtF)</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 (no ES)</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Map only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Not retrieved</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Pool (β→r)</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Pool (β→r)</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24"/>
              </w:rPr>
              <w:t>Pool (</w:t>
            </w:r>
            <w:r>
              <w:rPr>
                <w:rFonts w:ascii="Times New Roman" w:hAnsi="Times New Roman" w:eastAsia="Times New Roman"/>
                <w:i/>
                <w:sz w:val="24"/>
              </w:rPr>
              <w:t>r</w:t>
            </w:r>
            <w:r>
              <w:rPr>
                <w:rFonts w:ascii="Times New Roman" w:hAnsi="Times New Roman" w:eastAsia="Times New Roman"/>
                <w:sz w:val="24"/>
              </w:rPr>
              <w:t>)</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FtF/Online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Map only†</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used throughout the review. </w:t>
      </w:r>
      <w:r>
        <w:rPr>
          <w:rFonts w:ascii="Times New Roman" w:hAnsi="Times New Roman" w:eastAsia="Times New Roman"/>
          <w:i/>
          <w:sz w:val="24"/>
        </w:rPr>
        <w:t>N</w:t>
      </w:r>
      <w:r>
        <w:rPr>
          <w:rFonts w:ascii="Times New Roman" w:hAnsi="Times New Roman" w:eastAsia="Times New Roman"/>
          <w:sz w:val="24"/>
        </w:rPr>
        <w:t xml:space="preserve"> = analytic sample size. Mode: Online = fully online; FtF = face-to-face; Mixed = blended or mode-comparing design; Online* = engagement scale not specific to online learning. Level: UG = undergraduate; Grad = graduate; UG/Grad = mixed; K-12 = elementary through high school; Sec/Post = mixed secondary and post-secondary. Era: pre-COVID ≤ 2019; COVID = 2020–2022; post-COVID ≥ 2023. Status: Pool (</w:t>
      </w:r>
      <w:r>
        <w:rPr>
          <w:rFonts w:ascii="Times New Roman" w:hAnsi="Times New Roman" w:eastAsia="Times New Roman"/>
          <w:i/>
          <w:sz w:val="24"/>
        </w:rPr>
        <w:t>r</w:t>
      </w:r>
      <w:r>
        <w:rPr>
          <w:rFonts w:ascii="Times New Roman" w:hAnsi="Times New Roman" w:eastAsia="Times New Roman"/>
          <w:sz w:val="24"/>
        </w:rPr>
        <w:t xml:space="preserve">) = contributed direct correlations to the quantitative pool; Pool (β→r) = contributed correlations converted from </w:t>
      </w:r>
      <w:r>
        <w:rPr>
          <w:rFonts w:ascii="Times New Roman" w:hAnsi="Times New Roman" w:eastAsia="Times New Roman"/>
          <w:i/>
          <w:sz w:val="24"/>
        </w:rPr>
        <w:t>β</w:t>
      </w:r>
      <w:r>
        <w:rPr>
          <w:rFonts w:ascii="Times New Roman" w:hAnsi="Times New Roman" w:eastAsia="Times New Roman"/>
          <w:sz w:val="24"/>
        </w:rPr>
        <w:t xml:space="preserve"> (Peterson &amp; Brown, 2005); Map only = retained for the narrative map (secondary outcomes or no extractable trait–achievement correlation); † = A-37, left out of the pool because its graduate cohorts were taught face to face before and after the pandemic and online only during it, and its correlations were reported only as |r| &lt; .10; COI = the author's own study; Exc = excluded at full text (FtF = face-to-face only; no ES = no extractable effect size; overlap = sample overlap with A-04); Not retrieved = full text unavailable. RoB = Joanna Briggs Institute 8-item score (0–8; higher = lower risk of bias). The table lists 31 of the 37 reports sought; A-14 Eilam et al. (2009; face-to-face) and five reports without a Big Five measure were excluded at full text and are documented in the reading notes in the project repository, which also record corrections to bibliographic details (A-06, A-07, A-08, A-12, A-13, A-16, A-18, A-20).</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3,102</w:t>
            </w:r>
          </w:p>
        </w:tc>
        <w:tc>
          <w:tcPr>
            <w:tcW w:type="dxa" w:w="1040"/>
          </w:tcPr>
          <w:p>
            <w:pPr>
              <w:spacing w:before="0" w:after="0" w:line="276" w:lineRule="auto"/>
            </w:pPr>
            <w:r>
              <w:rPr>
                <w:rFonts w:ascii="Times New Roman" w:hAnsi="Times New Roman" w:eastAsia="Times New Roman"/>
                <w:sz w:val="20"/>
              </w:rPr>
              <w:t>.185</w:t>
            </w:r>
          </w:p>
        </w:tc>
        <w:tc>
          <w:tcPr>
            <w:tcW w:type="dxa" w:w="1040"/>
          </w:tcPr>
          <w:p>
            <w:pPr>
              <w:spacing w:before="0" w:after="0" w:line="276" w:lineRule="auto"/>
            </w:pPr>
            <w:r>
              <w:rPr>
                <w:rFonts w:ascii="Times New Roman" w:hAnsi="Times New Roman" w:eastAsia="Times New Roman"/>
                <w:sz w:val="20"/>
              </w:rPr>
              <w:t>[.112, .255]</w:t>
            </w:r>
          </w:p>
        </w:tc>
        <w:tc>
          <w:tcPr>
            <w:tcW w:type="dxa" w:w="1040"/>
          </w:tcPr>
          <w:p>
            <w:pPr>
              <w:spacing w:before="0" w:after="0" w:line="276" w:lineRule="auto"/>
            </w:pPr>
            <w:r>
              <w:rPr>
                <w:rFonts w:ascii="Times New Roman" w:hAnsi="Times New Roman" w:eastAsia="Times New Roman"/>
                <w:sz w:val="20"/>
              </w:rPr>
              <w:t>[.007, .351]</w:t>
            </w:r>
          </w:p>
        </w:tc>
        <w:tc>
          <w:tcPr>
            <w:tcW w:type="dxa" w:w="1040"/>
          </w:tcPr>
          <w:p>
            <w:pPr>
              <w:spacing w:before="0" w:after="0" w:line="276" w:lineRule="auto"/>
            </w:pPr>
            <w:r>
              <w:rPr>
                <w:rFonts w:ascii="Times New Roman" w:hAnsi="Times New Roman" w:eastAsia="Times New Roman"/>
                <w:sz w:val="20"/>
              </w:rPr>
              <w:t>59.0%</w:t>
            </w:r>
          </w:p>
        </w:tc>
        <w:tc>
          <w:tcPr>
            <w:tcW w:type="dxa" w:w="1040"/>
          </w:tcPr>
          <w:p>
            <w:pPr>
              <w:spacing w:before="0" w:after="0" w:line="276" w:lineRule="auto"/>
            </w:pPr>
            <w:r>
              <w:rPr>
                <w:rFonts w:ascii="Times New Roman" w:hAnsi="Times New Roman" w:eastAsia="Times New Roman"/>
                <w:sz w:val="20"/>
              </w:rPr>
              <w:t>.005</w:t>
            </w:r>
          </w:p>
        </w:tc>
        <w:tc>
          <w:tcPr>
            <w:tcW w:type="dxa" w:w="1040"/>
          </w:tcPr>
          <w:p>
            <w:pPr>
              <w:spacing w:before="0" w:after="0" w:line="276" w:lineRule="auto"/>
            </w:pPr>
            <w:r>
              <w:rPr>
                <w:rFonts w:ascii="Times New Roman" w:hAnsi="Times New Roman" w:eastAsia="Times New Roman"/>
                <w:sz w:val="20"/>
              </w:rPr>
              <w:t>19.49(8), .012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8</w:t>
            </w:r>
          </w:p>
        </w:tc>
        <w:tc>
          <w:tcPr>
            <w:tcW w:type="dxa" w:w="1040"/>
          </w:tcPr>
          <w:p>
            <w:pPr>
              <w:spacing w:before="0" w:after="0" w:line="276" w:lineRule="auto"/>
            </w:pPr>
            <w:r>
              <w:rPr>
                <w:rFonts w:ascii="Times New Roman" w:hAnsi="Times New Roman" w:eastAsia="Times New Roman"/>
                <w:sz w:val="20"/>
              </w:rPr>
              <w:t>3,081</w:t>
            </w:r>
          </w:p>
        </w:tc>
        <w:tc>
          <w:tcPr>
            <w:tcW w:type="dxa" w:w="1040"/>
          </w:tcPr>
          <w:p>
            <w:pPr>
              <w:spacing w:before="0" w:after="0" w:line="276" w:lineRule="auto"/>
            </w:pPr>
            <w:r>
              <w:rPr>
                <w:rFonts w:ascii="Times New Roman" w:hAnsi="Times New Roman" w:eastAsia="Times New Roman"/>
                <w:sz w:val="20"/>
              </w:rPr>
              <w:t>.130</w:t>
            </w:r>
          </w:p>
        </w:tc>
        <w:tc>
          <w:tcPr>
            <w:tcW w:type="dxa" w:w="1040"/>
          </w:tcPr>
          <w:p>
            <w:pPr>
              <w:spacing w:before="0" w:after="0" w:line="276" w:lineRule="auto"/>
            </w:pPr>
            <w:r>
              <w:rPr>
                <w:rFonts w:ascii="Times New Roman" w:hAnsi="Times New Roman" w:eastAsia="Times New Roman"/>
                <w:sz w:val="20"/>
              </w:rPr>
              <w:t>[−.022, .277]</w:t>
            </w:r>
          </w:p>
        </w:tc>
        <w:tc>
          <w:tcPr>
            <w:tcW w:type="dxa" w:w="1040"/>
          </w:tcPr>
          <w:p>
            <w:pPr>
              <w:spacing w:before="0" w:after="0" w:line="276" w:lineRule="auto"/>
            </w:pPr>
            <w:r>
              <w:rPr>
                <w:rFonts w:ascii="Times New Roman" w:hAnsi="Times New Roman" w:eastAsia="Times New Roman"/>
                <w:sz w:val="20"/>
              </w:rPr>
              <w:t>[−.327, .538]</w:t>
            </w:r>
          </w:p>
        </w:tc>
        <w:tc>
          <w:tcPr>
            <w:tcW w:type="dxa" w:w="1040"/>
          </w:tcPr>
          <w:p>
            <w:pPr>
              <w:spacing w:before="0" w:after="0" w:line="276" w:lineRule="auto"/>
            </w:pPr>
            <w:r>
              <w:rPr>
                <w:rFonts w:ascii="Times New Roman" w:hAnsi="Times New Roman" w:eastAsia="Times New Roman"/>
                <w:sz w:val="20"/>
              </w:rPr>
              <w:t>96.0%</w:t>
            </w:r>
          </w:p>
        </w:tc>
        <w:tc>
          <w:tcPr>
            <w:tcW w:type="dxa" w:w="1040"/>
          </w:tcPr>
          <w:p>
            <w:pPr>
              <w:spacing w:before="0" w:after="0" w:line="276" w:lineRule="auto"/>
            </w:pPr>
            <w:r>
              <w:rPr>
                <w:rFonts w:ascii="Times New Roman" w:hAnsi="Times New Roman" w:eastAsia="Times New Roman"/>
                <w:sz w:val="20"/>
              </w:rPr>
              <w:t>.032</w:t>
            </w:r>
          </w:p>
        </w:tc>
        <w:tc>
          <w:tcPr>
            <w:tcW w:type="dxa" w:w="1040"/>
          </w:tcPr>
          <w:p>
            <w:pPr>
              <w:spacing w:before="0" w:after="0" w:line="276" w:lineRule="auto"/>
            </w:pPr>
            <w:r>
              <w:rPr>
                <w:rFonts w:ascii="Times New Roman" w:hAnsi="Times New Roman" w:eastAsia="Times New Roman"/>
                <w:sz w:val="20"/>
              </w:rPr>
              <w:t>176.86(7), &lt; .001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8</w:t>
            </w:r>
          </w:p>
        </w:tc>
        <w:tc>
          <w:tcPr>
            <w:tcW w:type="dxa" w:w="1040"/>
          </w:tcPr>
          <w:p>
            <w:pPr>
              <w:spacing w:before="0" w:after="0" w:line="276" w:lineRule="auto"/>
            </w:pPr>
            <w:r>
              <w:rPr>
                <w:rFonts w:ascii="Times New Roman" w:hAnsi="Times New Roman" w:eastAsia="Times New Roman"/>
                <w:sz w:val="20"/>
              </w:rPr>
              <w:t>3,081</w:t>
            </w:r>
          </w:p>
        </w:tc>
        <w:tc>
          <w:tcPr>
            <w:tcW w:type="dxa" w:w="1040"/>
          </w:tcPr>
          <w:p>
            <w:pPr>
              <w:spacing w:before="0" w:after="0" w:line="276" w:lineRule="auto"/>
            </w:pPr>
            <w:r>
              <w:rPr>
                <w:rFonts w:ascii="Times New Roman" w:hAnsi="Times New Roman" w:eastAsia="Times New Roman"/>
                <w:sz w:val="20"/>
              </w:rPr>
              <w:t>.096</w:t>
            </w:r>
          </w:p>
        </w:tc>
        <w:tc>
          <w:tcPr>
            <w:tcW w:type="dxa" w:w="1040"/>
          </w:tcPr>
          <w:p>
            <w:pPr>
              <w:spacing w:before="0" w:after="0" w:line="276" w:lineRule="auto"/>
            </w:pPr>
            <w:r>
              <w:rPr>
                <w:rFonts w:ascii="Times New Roman" w:hAnsi="Times New Roman" w:eastAsia="Times New Roman"/>
                <w:sz w:val="20"/>
              </w:rPr>
              <w:t>[−.052, .239]</w:t>
            </w:r>
          </w:p>
        </w:tc>
        <w:tc>
          <w:tcPr>
            <w:tcW w:type="dxa" w:w="1040"/>
          </w:tcPr>
          <w:p>
            <w:pPr>
              <w:spacing w:before="0" w:after="0" w:line="276" w:lineRule="auto"/>
            </w:pPr>
            <w:r>
              <w:rPr>
                <w:rFonts w:ascii="Times New Roman" w:hAnsi="Times New Roman" w:eastAsia="Times New Roman"/>
                <w:sz w:val="20"/>
              </w:rPr>
              <w:t>[−.319, .480]</w:t>
            </w:r>
          </w:p>
        </w:tc>
        <w:tc>
          <w:tcPr>
            <w:tcW w:type="dxa" w:w="1040"/>
          </w:tcPr>
          <w:p>
            <w:pPr>
              <w:spacing w:before="0" w:after="0" w:line="276" w:lineRule="auto"/>
            </w:pPr>
            <w:r>
              <w:rPr>
                <w:rFonts w:ascii="Times New Roman" w:hAnsi="Times New Roman" w:eastAsia="Times New Roman"/>
                <w:sz w:val="20"/>
              </w:rPr>
              <w:t>92.2%</w:t>
            </w:r>
          </w:p>
        </w:tc>
        <w:tc>
          <w:tcPr>
            <w:tcW w:type="dxa" w:w="1040"/>
          </w:tcPr>
          <w:p>
            <w:pPr>
              <w:spacing w:before="0" w:after="0" w:line="276" w:lineRule="auto"/>
            </w:pPr>
            <w:r>
              <w:rPr>
                <w:rFonts w:ascii="Times New Roman" w:hAnsi="Times New Roman" w:eastAsia="Times New Roman"/>
                <w:sz w:val="20"/>
              </w:rPr>
              <w:t>.027</w:t>
            </w:r>
          </w:p>
        </w:tc>
        <w:tc>
          <w:tcPr>
            <w:tcW w:type="dxa" w:w="1040"/>
          </w:tcPr>
          <w:p>
            <w:pPr>
              <w:spacing w:before="0" w:after="0" w:line="276" w:lineRule="auto"/>
            </w:pPr>
            <w:r>
              <w:rPr>
                <w:rFonts w:ascii="Times New Roman" w:hAnsi="Times New Roman" w:eastAsia="Times New Roman"/>
                <w:sz w:val="20"/>
              </w:rPr>
              <w:t>89.58(7), &lt; .001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3,102</w:t>
            </w:r>
          </w:p>
        </w:tc>
        <w:tc>
          <w:tcPr>
            <w:tcW w:type="dxa" w:w="1040"/>
          </w:tcPr>
          <w:p>
            <w:pPr>
              <w:spacing w:before="0" w:after="0" w:line="276" w:lineRule="auto"/>
            </w:pPr>
            <w:r>
              <w:rPr>
                <w:rFonts w:ascii="Times New Roman" w:hAnsi="Times New Roman" w:eastAsia="Times New Roman"/>
                <w:sz w:val="20"/>
              </w:rPr>
              <w:t>.017</w:t>
            </w:r>
          </w:p>
        </w:tc>
        <w:tc>
          <w:tcPr>
            <w:tcW w:type="dxa" w:w="1040"/>
          </w:tcPr>
          <w:p>
            <w:pPr>
              <w:spacing w:before="0" w:after="0" w:line="276" w:lineRule="auto"/>
            </w:pPr>
            <w:r>
              <w:rPr>
                <w:rFonts w:ascii="Times New Roman" w:hAnsi="Times New Roman" w:eastAsia="Times New Roman"/>
                <w:sz w:val="20"/>
              </w:rPr>
              <w:t>[−.095, .128]</w:t>
            </w:r>
          </w:p>
        </w:tc>
        <w:tc>
          <w:tcPr>
            <w:tcW w:type="dxa" w:w="1040"/>
          </w:tcPr>
          <w:p>
            <w:pPr>
              <w:spacing w:before="0" w:after="0" w:line="276" w:lineRule="auto"/>
            </w:pPr>
            <w:r>
              <w:rPr>
                <w:rFonts w:ascii="Times New Roman" w:hAnsi="Times New Roman" w:eastAsia="Times New Roman"/>
                <w:sz w:val="20"/>
              </w:rPr>
              <w:t>[−.275, .305]</w:t>
            </w:r>
          </w:p>
        </w:tc>
        <w:tc>
          <w:tcPr>
            <w:tcW w:type="dxa" w:w="1040"/>
          </w:tcPr>
          <w:p>
            <w:pPr>
              <w:spacing w:before="0" w:after="0" w:line="276" w:lineRule="auto"/>
            </w:pPr>
            <w:r>
              <w:rPr>
                <w:rFonts w:ascii="Times New Roman" w:hAnsi="Times New Roman" w:eastAsia="Times New Roman"/>
                <w:sz w:val="20"/>
              </w:rPr>
              <w:t>80.7%</w:t>
            </w:r>
          </w:p>
        </w:tc>
        <w:tc>
          <w:tcPr>
            <w:tcW w:type="dxa" w:w="1040"/>
          </w:tcPr>
          <w:p>
            <w:pPr>
              <w:spacing w:before="0" w:after="0" w:line="276" w:lineRule="auto"/>
            </w:pPr>
            <w:r>
              <w:rPr>
                <w:rFonts w:ascii="Times New Roman" w:hAnsi="Times New Roman" w:eastAsia="Times New Roman"/>
                <w:sz w:val="20"/>
              </w:rPr>
              <w:t>.014</w:t>
            </w:r>
          </w:p>
        </w:tc>
        <w:tc>
          <w:tcPr>
            <w:tcW w:type="dxa" w:w="1040"/>
          </w:tcPr>
          <w:p>
            <w:pPr>
              <w:spacing w:before="0" w:after="0" w:line="276" w:lineRule="auto"/>
            </w:pPr>
            <w:r>
              <w:rPr>
                <w:rFonts w:ascii="Times New Roman" w:hAnsi="Times New Roman" w:eastAsia="Times New Roman"/>
                <w:sz w:val="20"/>
              </w:rPr>
              <w:t>41.45(8), &lt; .001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8</w:t>
            </w:r>
          </w:p>
        </w:tc>
        <w:tc>
          <w:tcPr>
            <w:tcW w:type="dxa" w:w="1040"/>
          </w:tcPr>
          <w:p>
            <w:pPr>
              <w:spacing w:before="0" w:after="0" w:line="276" w:lineRule="auto"/>
            </w:pPr>
            <w:r>
              <w:rPr>
                <w:rFonts w:ascii="Times New Roman" w:hAnsi="Times New Roman" w:eastAsia="Times New Roman"/>
                <w:sz w:val="20"/>
              </w:rPr>
              <w:t>3,081</w:t>
            </w:r>
          </w:p>
        </w:tc>
        <w:tc>
          <w:tcPr>
            <w:tcW w:type="dxa" w:w="1040"/>
          </w:tcPr>
          <w:p>
            <w:pPr>
              <w:spacing w:before="0" w:after="0" w:line="276" w:lineRule="auto"/>
            </w:pPr>
            <w:r>
              <w:rPr>
                <w:rFonts w:ascii="Times New Roman" w:hAnsi="Times New Roman" w:eastAsia="Times New Roman"/>
                <w:sz w:val="20"/>
              </w:rPr>
              <w:t>.012</w:t>
            </w:r>
          </w:p>
        </w:tc>
        <w:tc>
          <w:tcPr>
            <w:tcW w:type="dxa" w:w="1040"/>
          </w:tcPr>
          <w:p>
            <w:pPr>
              <w:spacing w:before="0" w:after="0" w:line="276" w:lineRule="auto"/>
            </w:pPr>
            <w:r>
              <w:rPr>
                <w:rFonts w:ascii="Times New Roman" w:hAnsi="Times New Roman" w:eastAsia="Times New Roman"/>
                <w:sz w:val="20"/>
              </w:rPr>
              <w:t>[−.070, .093]</w:t>
            </w:r>
          </w:p>
        </w:tc>
        <w:tc>
          <w:tcPr>
            <w:tcW w:type="dxa" w:w="1040"/>
          </w:tcPr>
          <w:p>
            <w:pPr>
              <w:spacing w:before="0" w:after="0" w:line="276" w:lineRule="auto"/>
            </w:pPr>
            <w:r>
              <w:rPr>
                <w:rFonts w:ascii="Times New Roman" w:hAnsi="Times New Roman" w:eastAsia="Times New Roman"/>
                <w:sz w:val="20"/>
              </w:rPr>
              <w:t>[−.191, .213]</w:t>
            </w:r>
          </w:p>
        </w:tc>
        <w:tc>
          <w:tcPr>
            <w:tcW w:type="dxa" w:w="1040"/>
          </w:tcPr>
          <w:p>
            <w:pPr>
              <w:spacing w:before="0" w:after="0" w:line="276" w:lineRule="auto"/>
            </w:pPr>
            <w:r>
              <w:rPr>
                <w:rFonts w:ascii="Times New Roman" w:hAnsi="Times New Roman" w:eastAsia="Times New Roman"/>
                <w:sz w:val="20"/>
              </w:rPr>
              <w:t>68.0%</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21.90(7), .003</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a correlation (direct, or converted from </w:t>
      </w:r>
      <w:r>
        <w:rPr>
          <w:rFonts w:ascii="Times New Roman" w:hAnsi="Times New Roman" w:eastAsia="Times New Roman"/>
          <w:i/>
          <w:sz w:val="24"/>
        </w:rPr>
        <w:t>β</w:t>
      </w:r>
      <w:r>
        <w:rPr>
          <w:rFonts w:ascii="Times New Roman" w:hAnsi="Times New Roman" w:eastAsia="Times New Roman"/>
          <w:sz w:val="24"/>
        </w:rPr>
        <w:t xml:space="preserve"> with Peterson and Brown's rule) to the trait pool. </w:t>
      </w:r>
      <w:r>
        <w:rPr>
          <w:rFonts w:ascii="Times New Roman" w:hAnsi="Times New Roman" w:eastAsia="Times New Roman"/>
          <w:i/>
          <w:sz w:val="24"/>
        </w:rPr>
        <w:t>N</w:t>
      </w:r>
      <w:r>
        <w:rPr>
          <w:rFonts w:ascii="Times New Roman" w:hAnsi="Times New Roman" w:eastAsia="Times New Roman"/>
          <w:sz w:val="24"/>
        </w:rPr>
        <w:t xml:space="preserve"> = total sample size. </w:t>
      </w:r>
      <w:r>
        <w:rPr>
          <w:rFonts w:ascii="Times New Roman" w:hAnsi="Times New Roman" w:eastAsia="Times New Roman"/>
          <w:i/>
          <w:sz w:val="24"/>
        </w:rPr>
        <w:t>r</w:t>
      </w:r>
      <w:r>
        <w:rPr>
          <w:rFonts w:ascii="Times New Roman" w:hAnsi="Times New Roman" w:eastAsia="Times New Roman"/>
          <w:sz w:val="24"/>
        </w:rPr>
        <w:t xml:space="preserve"> = random-effects pooled correlation (REML </w:t>
      </w:r>
      <w:r>
        <w:rPr>
          <w:rFonts w:ascii="Times New Roman" w:hAnsi="Times New Roman" w:eastAsia="Times New Roman"/>
          <w:i/>
          <w:sz w:val="24"/>
        </w:rPr>
        <w:t>τ²</w:t>
      </w:r>
      <w:r>
        <w:rPr>
          <w:rFonts w:ascii="Times New Roman" w:hAnsi="Times New Roman" w:eastAsia="Times New Roman"/>
          <w:sz w:val="24"/>
        </w:rPr>
        <w:t xml:space="preserve">, Fisher </w:t>
      </w:r>
      <w:r>
        <w:rPr>
          <w:rFonts w:ascii="Times New Roman" w:hAnsi="Times New Roman" w:eastAsia="Times New Roman"/>
          <w:i/>
          <w:sz w:val="24"/>
        </w:rPr>
        <w:t>z</w:t>
      </w:r>
      <w:r>
        <w:rPr>
          <w:rFonts w:ascii="Times New Roman" w:hAnsi="Times New Roman" w:eastAsia="Times New Roman"/>
          <w:sz w:val="24"/>
        </w:rPr>
        <w:t xml:space="preserve"> scale, back-transformed). 95% CI = Hartung-Knapp-Sidik-Jonkman confidence interval. 95% PI = prediction interval for the true correlation in a new study. </w:t>
      </w:r>
      <w:r>
        <w:rPr>
          <w:rFonts w:ascii="Times New Roman" w:hAnsi="Times New Roman" w:eastAsia="Times New Roman"/>
          <w:i/>
          <w:sz w:val="24"/>
        </w:rPr>
        <w:t>Q</w:t>
      </w:r>
      <w:r>
        <w:rPr>
          <w:rFonts w:ascii="Times New Roman" w:hAnsi="Times New Roman" w:eastAsia="Times New Roman"/>
          <w:sz w:val="24"/>
        </w:rPr>
        <w:t xml:space="preserve"> = Cochran's heterogeneity statistic. Traits are sorted by pooled </w:t>
      </w:r>
      <w:r>
        <w:rPr>
          <w:rFonts w:ascii="Times New Roman" w:hAnsi="Times New Roman" w:eastAsia="Times New Roman"/>
          <w:i/>
          <w:sz w:val="24"/>
        </w:rPr>
        <w:t>r</w:t>
      </w:r>
      <w:r>
        <w:rPr>
          <w:rFonts w:ascii="Times New Roman" w:hAnsi="Times New Roman" w:eastAsia="Times New Roman"/>
          <w:sz w:val="24"/>
        </w:rPr>
        <w:t>.</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F(</w:t>
            </w:r>
            <w:r>
              <w:rPr>
                <w:rFonts w:ascii="Times New Roman" w:hAnsi="Times New Roman" w:eastAsia="Times New Roman"/>
                <w:i/>
                <w:sz w:val="24"/>
              </w:rPr>
              <w:t>df</w:t>
            </w:r>
            <w:r>
              <w:rPr>
                <w:rFonts w:ascii="Times New Roman" w:hAnsi="Times New Roman" w:eastAsia="Times New Roman"/>
                <w:sz w:val="24"/>
              </w:rPr>
              <w:t xml:space="preserve">), p; Holm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.211 [.118, .300]</w:t>
            </w:r>
          </w:p>
        </w:tc>
        <w:tc>
          <w:tcPr>
            <w:tcW w:type="dxa" w:w="1872"/>
          </w:tcPr>
          <w:p>
            <w:pPr>
              <w:spacing w:before="0" w:after="0" w:line="276" w:lineRule="auto"/>
            </w:pPr>
            <w:r>
              <w:rPr>
                <w:rFonts w:ascii="Times New Roman" w:hAnsi="Times New Roman" w:eastAsia="Times New Roman"/>
                <w:sz w:val="20"/>
              </w:rPr>
              <w:t>1.83(1, 7), .219; .656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.110 [−.045,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.066 [−.082, .211]</w:t>
            </w:r>
          </w:p>
        </w:tc>
        <w:tc>
          <w:tcPr>
            <w:tcW w:type="dxa" w:w="1872"/>
          </w:tcPr>
          <w:p>
            <w:pPr>
              <w:spacing w:before="0" w:after="0" w:line="276" w:lineRule="auto"/>
            </w:pPr>
            <w:r>
              <w:rPr>
                <w:rFonts w:ascii="Times New Roman" w:hAnsi="Times New Roman" w:eastAsia="Times New Roman"/>
                <w:sz w:val="20"/>
              </w:rPr>
              <w:t>0.43(1, 6), .536;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.155 [−.988,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.058 [−.004, .120]</w:t>
            </w:r>
          </w:p>
        </w:tc>
        <w:tc>
          <w:tcPr>
            <w:tcW w:type="dxa" w:w="1872"/>
          </w:tcPr>
          <w:p>
            <w:pPr>
              <w:spacing w:before="0" w:after="0" w:line="276" w:lineRule="auto"/>
            </w:pPr>
            <w:r>
              <w:rPr>
                <w:rFonts w:ascii="Times New Roman" w:hAnsi="Times New Roman" w:eastAsia="Times New Roman"/>
                <w:sz w:val="20"/>
              </w:rPr>
              <w:t>12.96(1, 6), .011; .034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−.095 [−.541, .393]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.047 [−.036, .128]</w:t>
            </w:r>
          </w:p>
        </w:tc>
        <w:tc>
          <w:tcPr>
            <w:tcW w:type="dxa" w:w="1872"/>
          </w:tcPr>
          <w:p>
            <w:pPr>
              <w:spacing w:before="0" w:after="0" w:line="276" w:lineRule="auto"/>
            </w:pPr>
            <w:r>
              <w:rPr>
                <w:rFonts w:ascii="Times New Roman" w:hAnsi="Times New Roman" w:eastAsia="Times New Roman"/>
                <w:sz w:val="20"/>
              </w:rPr>
              <w:t>6.98(1, 6), .038; .115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.319 [−.979,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−.013 [−.163, .138]</w:t>
            </w:r>
          </w:p>
        </w:tc>
        <w:tc>
          <w:tcPr>
            <w:tcW w:type="dxa" w:w="1872"/>
          </w:tcPr>
          <w:p>
            <w:pPr>
              <w:spacing w:before="0" w:after="0" w:line="276" w:lineRule="auto"/>
            </w:pPr>
            <w:r>
              <w:rPr>
                <w:rFonts w:ascii="Times New Roman" w:hAnsi="Times New Roman" w:eastAsia="Times New Roman"/>
                <w:sz w:val="20"/>
              </w:rPr>
              <w:t>0.87(1, 7), .381; .692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[.005, .171]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.221 [−.033, .448]</w:t>
            </w:r>
          </w:p>
        </w:tc>
        <w:tc>
          <w:tcPr>
            <w:tcW w:type="dxa" w:w="1872"/>
          </w:tcPr>
          <w:p>
            <w:pPr>
              <w:spacing w:before="0" w:after="0" w:line="276" w:lineRule="auto"/>
            </w:pPr>
            <w:r>
              <w:rPr>
                <w:rFonts w:ascii="Times New Roman" w:hAnsi="Times New Roman" w:eastAsia="Times New Roman"/>
                <w:sz w:val="20"/>
              </w:rPr>
              <w:t>0.02(1, 7), .889; .889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.180 [.097, .261]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.104 [−.427, .581]</w:t>
            </w:r>
          </w:p>
        </w:tc>
        <w:tc>
          <w:tcPr>
            <w:tcW w:type="dxa" w:w="1872"/>
          </w:tcPr>
          <w:p>
            <w:pPr>
              <w:spacing w:before="0" w:after="0" w:line="276" w:lineRule="auto"/>
            </w:pPr>
            <w:r>
              <w:rPr>
                <w:rFonts w:ascii="Times New Roman" w:hAnsi="Times New Roman" w:eastAsia="Times New Roman"/>
                <w:sz w:val="20"/>
              </w:rPr>
              <w:t>0.00(1, 6), .954;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.094 [−.122, .300]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0.22(1, 6), .659; .659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−.002 [−.155, .152]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.052 [−.159, .259]</w:t>
            </w:r>
          </w:p>
        </w:tc>
        <w:tc>
          <w:tcPr>
            <w:tcW w:type="dxa" w:w="1872"/>
          </w:tcPr>
          <w:p>
            <w:pPr>
              <w:spacing w:before="0" w:after="0" w:line="276" w:lineRule="auto"/>
            </w:pPr>
            <w:r>
              <w:rPr>
                <w:rFonts w:ascii="Times New Roman" w:hAnsi="Times New Roman" w:eastAsia="Times New Roman"/>
                <w:sz w:val="20"/>
              </w:rPr>
              <w:t>0.39(1, 6), .554;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.160 [−.115, .412]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1.38(1, 7), .279; .692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.058 [−.124, .237]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.172 [.072, .268]</w:t>
            </w:r>
          </w:p>
        </w:tc>
        <w:tc>
          <w:tcPr>
            <w:tcW w:type="dxa" w:w="1872"/>
          </w:tcPr>
          <w:p>
            <w:pPr>
              <w:spacing w:before="0" w:after="0" w:line="276" w:lineRule="auto"/>
            </w:pPr>
            <w:r>
              <w:rPr>
                <w:rFonts w:ascii="Times New Roman" w:hAnsi="Times New Roman" w:eastAsia="Times New Roman"/>
                <w:sz w:val="20"/>
              </w:rPr>
              <w:t>0.72(1, 7), .425; .850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.224 [−.187, .568]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.106 [−.109, .312]</w:t>
            </w:r>
          </w:p>
        </w:tc>
        <w:tc>
          <w:tcPr>
            <w:tcW w:type="dxa" w:w="1872"/>
          </w:tcPr>
          <w:p>
            <w:pPr>
              <w:spacing w:before="0" w:after="0" w:line="276" w:lineRule="auto"/>
            </w:pPr>
            <w:r>
              <w:rPr>
                <w:rFonts w:ascii="Times New Roman" w:hAnsi="Times New Roman" w:eastAsia="Times New Roman"/>
                <w:sz w:val="20"/>
              </w:rPr>
              <w:t>0.07(1, 6), .797;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.068 [−.636, .710]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[−.108, .047]</w:t>
            </w:r>
          </w:p>
        </w:tc>
        <w:tc>
          <w:tcPr>
            <w:tcW w:type="dxa" w:w="1872"/>
          </w:tcPr>
          <w:p>
            <w:pPr>
              <w:spacing w:before="0" w:after="0" w:line="276" w:lineRule="auto"/>
            </w:pPr>
            <w:r>
              <w:rPr>
                <w:rFonts w:ascii="Times New Roman" w:hAnsi="Times New Roman" w:eastAsia="Times New Roman"/>
                <w:sz w:val="20"/>
              </w:rPr>
              <w:t>7.96(1, 6), .030; .061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.116 [−.143, .361]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.151 [−.064, .352]</w:t>
            </w:r>
          </w:p>
        </w:tc>
        <w:tc>
          <w:tcPr>
            <w:tcW w:type="dxa" w:w="1872"/>
          </w:tcPr>
          <w:p>
            <w:pPr>
              <w:spacing w:before="0" w:after="0" w:line="276" w:lineRule="auto"/>
            </w:pPr>
            <w:r>
              <w:rPr>
                <w:rFonts w:ascii="Times New Roman" w:hAnsi="Times New Roman" w:eastAsia="Times New Roman"/>
                <w:sz w:val="20"/>
              </w:rPr>
              <w:t>0.28(1, 6), .616; 1.000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.068 [−.742, .797]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−.014 [−.124, .097]</w:t>
            </w:r>
          </w:p>
        </w:tc>
        <w:tc>
          <w:tcPr>
            <w:tcW w:type="dxa" w:w="1872"/>
          </w:tcPr>
          <w:p>
            <w:pPr>
              <w:spacing w:before="0" w:after="0" w:line="276" w:lineRule="auto"/>
            </w:pPr>
            <w:r>
              <w:rPr>
                <w:rFonts w:ascii="Times New Roman" w:hAnsi="Times New Roman" w:eastAsia="Times New Roman"/>
                <w:sz w:val="20"/>
              </w:rPr>
              <w:t>1.72(1, 7), .231; .692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[−.922, .951]</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in the subgroup. </w:t>
      </w:r>
      <w:r>
        <w:rPr>
          <w:rFonts w:ascii="Times New Roman" w:hAnsi="Times New Roman" w:eastAsia="Times New Roman"/>
          <w:i/>
          <w:sz w:val="24"/>
        </w:rPr>
        <w:t>F</w:t>
      </w:r>
      <w:r>
        <w:rPr>
          <w:rFonts w:ascii="Times New Roman" w:hAnsi="Times New Roman" w:eastAsia="Times New Roman"/>
          <w:sz w:val="24"/>
        </w:rPr>
        <w:t xml:space="preserve"> = Knapp–Hartung test from a mixed-effects meta-regression on the subgroup indicator (REML residual </w:t>
      </w:r>
      <w:r>
        <w:rPr>
          <w:rFonts w:ascii="Times New Roman" w:hAnsi="Times New Roman" w:eastAsia="Times New Roman"/>
          <w:i/>
          <w:sz w:val="24"/>
        </w:rPr>
        <w:t>τ²</w:t>
      </w:r>
      <w:r>
        <w:rPr>
          <w:rFonts w:ascii="Times New Roman" w:hAnsi="Times New Roman" w:eastAsia="Times New Roman"/>
          <w:sz w:val="24"/>
        </w:rPr>
        <w:t xml:space="preserve">). Holm </w:t>
      </w:r>
      <w:r>
        <w:rPr>
          <w:rFonts w:ascii="Times New Roman" w:hAnsi="Times New Roman" w:eastAsia="Times New Roman"/>
          <w:i/>
          <w:sz w:val="24"/>
        </w:rPr>
        <w:t>p</w:t>
      </w:r>
      <w:r>
        <w:rPr>
          <w:rFonts w:ascii="Times New Roman" w:hAnsi="Times New Roman" w:eastAsia="Times New Roman"/>
          <w:sz w:val="24"/>
        </w:rPr>
        <w:t xml:space="preserve"> = Holm-adjusted </w:t>
      </w:r>
      <w:r>
        <w:rPr>
          <w:rFonts w:ascii="Times New Roman" w:hAnsi="Times New Roman" w:eastAsia="Times New Roman"/>
          <w:i/>
          <w:sz w:val="24"/>
        </w:rPr>
        <w:t>p</w:t>
      </w:r>
      <w:r>
        <w:rPr>
          <w:rFonts w:ascii="Times New Roman" w:hAnsi="Times New Roman" w:eastAsia="Times New Roman"/>
          <w:sz w:val="24"/>
        </w:rPr>
        <w:t xml:space="preserve"> within each trait across the three moderators. Asia = East Asian or Middle Eastern samples; within the quantitative pool only A-28 (China) and A-31 (Japan) are Asian. Era: pre-COVID = data collected up to 2019; COVID = 2020–2022; no post-COVID study contributed a correlation. Outcome: objective = GPA, course grade, examination, or MOOC platform composite; self-rated = self-reported performance (A-22, A-30). Both Asian studies used objective outcomes and asynchronous delivery, so the region and outcome contrasts overlap.</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Sensitivity Analyses and Small-Study Diagnostics for the Pooled Correlations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.185 [.112,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.185 [.112, .255]</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.206 [.107, .301]</w:t>
            </w:r>
          </w:p>
        </w:tc>
        <w:tc>
          <w:tcPr>
            <w:tcW w:type="dxa" w:w="1872"/>
          </w:tcPr>
          <w:p>
            <w:pPr>
              <w:spacing w:before="0" w:after="0" w:line="276" w:lineRule="auto"/>
            </w:pPr>
            <w:r>
              <w:rPr>
                <w:rFonts w:ascii="Times New Roman" w:hAnsi="Times New Roman" w:eastAsia="Times New Roman"/>
                <w:sz w:val="20"/>
              </w:rPr>
              <w:t>+.022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.185 [.112, .255]</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.180 [.105, .253]</w:t>
            </w:r>
          </w:p>
        </w:tc>
        <w:tc>
          <w:tcPr>
            <w:tcW w:type="dxa" w:w="1872"/>
          </w:tcPr>
          <w:p>
            <w:pPr>
              <w:spacing w:before="0" w:after="0" w:line="276" w:lineRule="auto"/>
            </w:pPr>
            <w:r>
              <w:rPr>
                <w:rFonts w:ascii="Times New Roman" w:hAnsi="Times New Roman" w:eastAsia="Times New Roman"/>
                <w:sz w:val="20"/>
              </w:rPr>
              <w:t>−.005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.184 [.112, .255]</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.168 [.090, .245]</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.168 to .202</w:t>
            </w:r>
          </w:p>
        </w:tc>
        <w:tc>
          <w:tcPr>
            <w:tcW w:type="dxa" w:w="1872"/>
          </w:tcPr>
          <w:p>
            <w:pPr>
              <w:spacing w:before="0" w:after="0" w:line="276" w:lineRule="auto"/>
            </w:pPr>
            <w:r>
              <w:rPr>
                <w:rFonts w:ascii="Times New Roman" w:hAnsi="Times New Roman" w:eastAsia="Times New Roman"/>
                <w:sz w:val="20"/>
              </w:rPr>
              <w:t>max +.017</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4"/>
              </w:rPr>
              <w:t xml:space="preserve">intercept = 2.46, </w:t>
            </w:r>
            <w:r>
              <w:rPr>
                <w:rFonts w:ascii="Times New Roman" w:hAnsi="Times New Roman" w:eastAsia="Times New Roman"/>
                <w:i/>
                <w:sz w:val="24"/>
              </w:rPr>
              <w:t>p</w:t>
            </w:r>
            <w:r>
              <w:rPr>
                <w:rFonts w:ascii="Times New Roman" w:hAnsi="Times New Roman" w:eastAsia="Times New Roman"/>
                <w:sz w:val="24"/>
              </w:rPr>
              <w:t xml:space="preserve"> = .026</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(3 imputed, left)</w:t>
            </w:r>
          </w:p>
        </w:tc>
        <w:tc>
          <w:tcPr>
            <w:tcW w:type="dxa" w:w="1872"/>
          </w:tcPr>
          <w:p>
            <w:pPr>
              <w:spacing w:before="0" w:after="0" w:line="276" w:lineRule="auto"/>
            </w:pPr>
            <w:r>
              <w:rPr>
                <w:rFonts w:ascii="Times New Roman" w:hAnsi="Times New Roman" w:eastAsia="Times New Roman"/>
                <w:sz w:val="20"/>
              </w:rPr>
              <w:t>12</w:t>
            </w:r>
          </w:p>
        </w:tc>
        <w:tc>
          <w:tcPr>
            <w:tcW w:type="dxa" w:w="1872"/>
          </w:tcPr>
          <w:p>
            <w:pPr>
              <w:spacing w:before="0" w:after="0" w:line="276" w:lineRule="auto"/>
            </w:pPr>
            <w:r>
              <w:rPr>
                <w:rFonts w:ascii="Times New Roman" w:hAnsi="Times New Roman" w:eastAsia="Times New Roman"/>
                <w:sz w:val="20"/>
              </w:rPr>
              <w:t>.151 [.069, .230]</w:t>
            </w:r>
          </w:p>
        </w:tc>
        <w:tc>
          <w:tcPr>
            <w:tcW w:type="dxa" w:w="1872"/>
          </w:tcPr>
          <w:p>
            <w:pPr>
              <w:spacing w:before="0" w:after="0" w:line="276" w:lineRule="auto"/>
            </w:pPr>
            <w:r>
              <w:rPr>
                <w:rFonts w:ascii="Times New Roman" w:hAnsi="Times New Roman" w:eastAsia="Times New Roman"/>
                <w:sz w:val="20"/>
              </w:rPr>
              <w:t>−.034</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.034 [−.121, .188]</w:t>
            </w:r>
          </w:p>
        </w:tc>
        <w:tc>
          <w:tcPr>
            <w:tcW w:type="dxa" w:w="1872"/>
          </w:tcPr>
          <w:p>
            <w:pPr>
              <w:spacing w:before="0" w:after="0" w:line="276" w:lineRule="auto"/>
            </w:pPr>
            <w:r>
              <w:rPr>
                <w:rFonts w:ascii="Times New Roman" w:hAnsi="Times New Roman" w:eastAsia="Times New Roman"/>
                <w:sz w:val="20"/>
              </w:rPr>
              <w:t>−.062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.085 [−.044, .211]</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.049 to .121</w:t>
            </w:r>
          </w:p>
        </w:tc>
        <w:tc>
          <w:tcPr>
            <w:tcW w:type="dxa" w:w="1872"/>
          </w:tcPr>
          <w:p>
            <w:pPr>
              <w:spacing w:before="0" w:after="0" w:line="276" w:lineRule="auto"/>
            </w:pPr>
            <w:r>
              <w:rPr>
                <w:rFonts w:ascii="Times New Roman" w:hAnsi="Times New Roman" w:eastAsia="Times New Roman"/>
                <w:sz w:val="20"/>
              </w:rPr>
              <w:t>max −.047</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4"/>
              </w:rPr>
              <w:t xml:space="preserve">intercept = −6.01, </w:t>
            </w:r>
            <w:r>
              <w:rPr>
                <w:rFonts w:ascii="Times New Roman" w:hAnsi="Times New Roman" w:eastAsia="Times New Roman"/>
                <w:i/>
                <w:sz w:val="24"/>
              </w:rPr>
              <w:t>p</w:t>
            </w:r>
            <w:r>
              <w:rPr>
                <w:rFonts w:ascii="Times New Roman" w:hAnsi="Times New Roman" w:eastAsia="Times New Roman"/>
                <w:sz w:val="24"/>
              </w:rPr>
              <w:t xml:space="preserve"> = .075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(0 imputed, right)</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.096 [−.052, .239]</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.016 [−.090, .122]</w:t>
            </w:r>
          </w:p>
        </w:tc>
        <w:tc>
          <w:tcPr>
            <w:tcW w:type="dxa" w:w="1872"/>
          </w:tcPr>
          <w:p>
            <w:pPr>
              <w:spacing w:before="0" w:after="0" w:line="276" w:lineRule="auto"/>
            </w:pPr>
            <w:r>
              <w:rPr>
                <w:rFonts w:ascii="Times New Roman" w:hAnsi="Times New Roman" w:eastAsia="Times New Roman"/>
                <w:sz w:val="20"/>
              </w:rPr>
              <w:t>+.004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.010 [−.059, .080]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−.008 to .032</w:t>
            </w:r>
          </w:p>
        </w:tc>
        <w:tc>
          <w:tcPr>
            <w:tcW w:type="dxa" w:w="1872"/>
          </w:tcPr>
          <w:p>
            <w:pPr>
              <w:spacing w:before="0" w:after="0" w:line="276" w:lineRule="auto"/>
            </w:pPr>
            <w:r>
              <w:rPr>
                <w:rFonts w:ascii="Times New Roman" w:hAnsi="Times New Roman" w:eastAsia="Times New Roman"/>
                <w:sz w:val="20"/>
              </w:rPr>
              <w:t>max +.020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4"/>
              </w:rPr>
              <w:t xml:space="preserve">intercept = 1.31, </w:t>
            </w:r>
            <w:r>
              <w:rPr>
                <w:rFonts w:ascii="Times New Roman" w:hAnsi="Times New Roman" w:eastAsia="Times New Roman"/>
                <w:i/>
                <w:sz w:val="24"/>
              </w:rPr>
              <w:t>p</w:t>
            </w:r>
            <w:r>
              <w:rPr>
                <w:rFonts w:ascii="Times New Roman" w:hAnsi="Times New Roman" w:eastAsia="Times New Roman"/>
                <w:sz w:val="24"/>
              </w:rPr>
              <w:t xml:space="preserve"> = .485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(0 imputed, right)</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.012 [−.070, .093]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.069 [−.012, .150]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.130 [−.022, .277]</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.129 [−.021, .273]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.116 [−.020, .248]</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.054 to .152</w:t>
            </w:r>
          </w:p>
        </w:tc>
        <w:tc>
          <w:tcPr>
            <w:tcW w:type="dxa" w:w="1872"/>
          </w:tcPr>
          <w:p>
            <w:pPr>
              <w:spacing w:before="0" w:after="0" w:line="276" w:lineRule="auto"/>
            </w:pPr>
            <w:r>
              <w:rPr>
                <w:rFonts w:ascii="Times New Roman" w:hAnsi="Times New Roman" w:eastAsia="Times New Roman"/>
                <w:sz w:val="20"/>
              </w:rPr>
              <w:t>max −.077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4"/>
              </w:rPr>
              <w:t xml:space="preserve">intercept = −7.93, </w:t>
            </w:r>
            <w:r>
              <w:rPr>
                <w:rFonts w:ascii="Times New Roman" w:hAnsi="Times New Roman" w:eastAsia="Times New Roman"/>
                <w:i/>
                <w:sz w:val="24"/>
              </w:rPr>
              <w:t>p</w:t>
            </w:r>
            <w:r>
              <w:rPr>
                <w:rFonts w:ascii="Times New Roman" w:hAnsi="Times New Roman" w:eastAsia="Times New Roman"/>
                <w:sz w:val="24"/>
              </w:rPr>
              <w:t xml:space="preserve"> = .101</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(3 imputed, right)</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.216 [.076, .347]</w:t>
            </w:r>
          </w:p>
        </w:tc>
        <w:tc>
          <w:tcPr>
            <w:tcW w:type="dxa" w:w="1872"/>
          </w:tcPr>
          <w:p>
            <w:pPr>
              <w:spacing w:before="0" w:after="0" w:line="276" w:lineRule="auto"/>
            </w:pPr>
            <w:r>
              <w:rPr>
                <w:rFonts w:ascii="Times New Roman" w:hAnsi="Times New Roman" w:eastAsia="Times New Roman"/>
                <w:sz w:val="20"/>
              </w:rPr>
              <w:t>+.085</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(2025;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 (A-28, A-30)</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−.040 [−.129, .049]</w:t>
            </w:r>
          </w:p>
        </w:tc>
        <w:tc>
          <w:tcPr>
            <w:tcW w:type="dxa" w:w="1872"/>
          </w:tcPr>
          <w:p>
            <w:pPr>
              <w:spacing w:before="0" w:after="0" w:line="276" w:lineRule="auto"/>
            </w:pPr>
            <w:r>
              <w:rPr>
                <w:rFonts w:ascii="Times New Roman" w:hAnsi="Times New Roman" w:eastAsia="Times New Roman"/>
                <w:sz w:val="20"/>
              </w:rPr>
              <w:t>−.057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 (none in pool)</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Exclude </w:t>
            </w:r>
            <w:r>
              <w:rPr>
                <w:rFonts w:ascii="Times New Roman" w:hAnsi="Times New Roman" w:eastAsia="Times New Roman"/>
                <w:i/>
                <w:sz w:val="24"/>
              </w:rPr>
              <w:t>N</w:t>
            </w:r>
            <w:r>
              <w:rPr>
                <w:rFonts w:ascii="Times New Roman" w:hAnsi="Times New Roman" w:eastAsia="Times New Roman"/>
                <w:sz w:val="24"/>
              </w:rPr>
              <w:t xml:space="preserve"> &lt; 50 (A-15)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.030 [−.074, .134]</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DerSimonian–Laird </w:t>
            </w:r>
            <w:r>
              <w:rPr>
                <w:rFonts w:ascii="Times New Roman" w:hAnsi="Times New Roman" w:eastAsia="Times New Roman"/>
                <w:i/>
                <w:sz w:val="24"/>
              </w:rPr>
              <w:t>τ²</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.017 [−.095, .128]</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Include A-37 (</w:t>
            </w:r>
            <w:r>
              <w:rPr>
                <w:rFonts w:ascii="Times New Roman" w:hAnsi="Times New Roman" w:eastAsia="Times New Roman"/>
                <w:i/>
                <w:sz w:val="24"/>
              </w:rPr>
              <w:t>r</w:t>
            </w:r>
            <w:r>
              <w:rPr>
                <w:rFonts w:ascii="Times New Roman" w:hAnsi="Times New Roman" w:eastAsia="Times New Roman"/>
                <w:sz w:val="24"/>
              </w:rPr>
              <w:t xml:space="preserve"> = 0)</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.016 [−.080, .112]</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4"/>
              </w:rPr>
              <w:t xml:space="preserve">Leave-one-out (range of </w:t>
            </w:r>
            <w:r>
              <w:rPr>
                <w:rFonts w:ascii="Times New Roman" w:hAnsi="Times New Roman" w:eastAsia="Times New Roman"/>
                <w:i/>
                <w:sz w:val="24"/>
              </w:rPr>
              <w:t>r</w:t>
            </w:r>
            <w:r>
              <w:rPr>
                <w:rFonts w:ascii="Times New Roman" w:hAnsi="Times New Roman" w:eastAsia="Times New Roman"/>
                <w:sz w:val="24"/>
              </w:rPr>
              <w:t>)</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0"/>
              </w:rPr>
              <w:t>−.013 to .041</w:t>
            </w:r>
          </w:p>
        </w:tc>
        <w:tc>
          <w:tcPr>
            <w:tcW w:type="dxa" w:w="1872"/>
          </w:tcPr>
          <w:p>
            <w:pPr>
              <w:spacing w:before="0" w:after="0" w:line="276" w:lineRule="auto"/>
            </w:pPr>
            <w:r>
              <w:rPr>
                <w:rFonts w:ascii="Times New Roman" w:hAnsi="Times New Roman" w:eastAsia="Times New Roman"/>
                <w:sz w:val="20"/>
              </w:rPr>
              <w:t>max −.030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4"/>
              </w:rPr>
              <w:t xml:space="preserve">intercept = −1.74, </w:t>
            </w:r>
            <w:r>
              <w:rPr>
                <w:rFonts w:ascii="Times New Roman" w:hAnsi="Times New Roman" w:eastAsia="Times New Roman"/>
                <w:i/>
                <w:sz w:val="24"/>
              </w:rPr>
              <w:t>p</w:t>
            </w:r>
            <w:r>
              <w:rPr>
                <w:rFonts w:ascii="Times New Roman" w:hAnsi="Times New Roman" w:eastAsia="Times New Roman"/>
                <w:sz w:val="24"/>
              </w:rPr>
              <w:t xml:space="preserve"> = .350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(1 imputed, right)</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.030 [−.087, .147]</w:t>
            </w:r>
          </w:p>
        </w:tc>
        <w:tc>
          <w:tcPr>
            <w:tcW w:type="dxa" w:w="1872"/>
          </w:tcPr>
          <w:p>
            <w:pPr>
              <w:spacing w:before="0" w:after="0" w:line="276" w:lineRule="auto"/>
            </w:pPr>
            <w:r>
              <w:rPr>
                <w:rFonts w:ascii="Times New Roman" w:hAnsi="Times New Roman" w:eastAsia="Times New Roman"/>
                <w:sz w:val="20"/>
              </w:rPr>
              <w:t>+.013</w:t>
            </w:r>
          </w:p>
        </w:tc>
      </w:tr>
    </w:tbl>
    <w:p>
      <w:pPr>
        <w:spacing w:line="480" w:lineRule="auto" w:before="0" w:after="0"/>
      </w:pPr>
      <w:r>
        <w:rPr>
          <w:rFonts w:ascii="Times New Roman" w:hAnsi="Times New Roman" w:eastAsia="Times New Roman"/>
          <w:sz w:val="24"/>
        </w:rPr>
        <w:t xml:space="preserve">Note. Δr = change from the primary pooled correlation; ‡ marks |Δr| &gt; .05. No study in the pool scored below 5 on risk of bias, so that analysis repeats the primary one. A-37, which is left out of the primary pool, is added with its correlations entered as </w:t>
      </w:r>
      <w:r>
        <w:rPr>
          <w:rFonts w:ascii="Times New Roman" w:hAnsi="Times New Roman" w:eastAsia="Times New Roman"/>
          <w:i/>
          <w:sz w:val="24"/>
        </w:rPr>
        <w:t>r</w:t>
      </w:r>
      <w:r>
        <w:rPr>
          <w:rFonts w:ascii="Times New Roman" w:hAnsi="Times New Roman" w:eastAsia="Times New Roman"/>
          <w:sz w:val="24"/>
        </w:rPr>
        <w:t xml:space="preserve"> = 0. Leave-one-out gives the range of pooled </w:t>
      </w:r>
      <w:r>
        <w:rPr>
          <w:rFonts w:ascii="Times New Roman" w:hAnsi="Times New Roman" w:eastAsia="Times New Roman"/>
          <w:i/>
          <w:sz w:val="24"/>
        </w:rPr>
        <w:t>r</w:t>
      </w:r>
      <w:r>
        <w:rPr>
          <w:rFonts w:ascii="Times New Roman" w:hAnsi="Times New Roman" w:eastAsia="Times New Roman"/>
          <w:sz w:val="24"/>
        </w:rPr>
        <w:t xml:space="preserve"> when each study is removed in turn and the largest change. Trim-and-fill uses the L0 estimator; the side is that on which studies were imputed. Egger and trim-and-fill results are descriptive: both have little power at </w:t>
      </w:r>
      <w:r>
        <w:rPr>
          <w:rFonts w:ascii="Times New Roman" w:hAnsi="Times New Roman" w:eastAsia="Times New Roman"/>
          <w:i/>
          <w:sz w:val="24"/>
        </w:rPr>
        <w:t>k</w:t>
      </w:r>
      <w:r>
        <w:rPr>
          <w:rFonts w:ascii="Times New Roman" w:hAnsi="Times New Roman" w:eastAsia="Times New Roman"/>
          <w:sz w:val="24"/>
        </w:rPr>
        <w:t xml:space="preserve"> = 8–9.</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Completeness-of-Evidence Summary for the Pooled Associations Between Big Five Traits and Academic Achievement in Online Learning</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r</w:t>
            </w:r>
          </w:p>
        </w:tc>
        <w:tc>
          <w:tcPr>
            <w:tcW w:type="dxa" w:w="1170"/>
          </w:tcPr>
          <w:p>
            <w:pPr>
              <w:spacing w:before="0" w:after="0" w:line="276" w:lineRule="auto"/>
            </w:pPr>
            <w:r>
              <w:rPr>
                <w:rFonts w:ascii="Times New Roman" w:hAnsi="Times New Roman" w:eastAsia="Times New Roman"/>
                <w:b/>
                <w:sz w:val="20"/>
              </w:rPr>
              <w:t>Rating</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 xml:space="preserve"> = 59.0%)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[.112, .255])</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.026)</w:t>
            </w:r>
          </w:p>
        </w:tc>
        <w:tc>
          <w:tcPr>
            <w:tcW w:type="dxa" w:w="1170"/>
          </w:tcPr>
          <w:p>
            <w:pPr>
              <w:spacing w:before="0" w:after="0" w:line="276" w:lineRule="auto"/>
            </w:pPr>
            <w:r>
              <w:rPr>
                <w:rFonts w:ascii="Times New Roman" w:hAnsi="Times New Roman" w:eastAsia="Times New Roman"/>
                <w:sz w:val="20"/>
              </w:rPr>
              <w:t>.185</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92.2%)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[−.052, .239])</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.075)</w:t>
            </w:r>
          </w:p>
        </w:tc>
        <w:tc>
          <w:tcPr>
            <w:tcW w:type="dxa" w:w="1170"/>
          </w:tcPr>
          <w:p>
            <w:pPr>
              <w:spacing w:before="0" w:after="0" w:line="276" w:lineRule="auto"/>
            </w:pPr>
            <w:r>
              <w:rPr>
                <w:rFonts w:ascii="Times New Roman" w:hAnsi="Times New Roman" w:eastAsia="Times New Roman"/>
                <w:sz w:val="20"/>
              </w:rPr>
              <w:t>.096</w:t>
            </w:r>
          </w:p>
        </w:tc>
        <w:tc>
          <w:tcPr>
            <w:tcW w:type="dxa" w:w="1170"/>
          </w:tcPr>
          <w:p>
            <w:pPr>
              <w:spacing w:before="0" w:after="0" w:line="276" w:lineRule="auto"/>
            </w:pPr>
            <w:r>
              <w:rPr>
                <w:rFonts w:ascii="Times New Roman" w:hAnsi="Times New Roman" w:eastAsia="Times New Roman"/>
                <w:sz w:val="20"/>
              </w:rPr>
              <w:t>Very 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 xml:space="preserve"> = 68.0%)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[−.070, .093])</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.485)</w:t>
            </w:r>
          </w:p>
        </w:tc>
        <w:tc>
          <w:tcPr>
            <w:tcW w:type="dxa" w:w="1170"/>
          </w:tcPr>
          <w:p>
            <w:pPr>
              <w:spacing w:before="0" w:after="0" w:line="276" w:lineRule="auto"/>
            </w:pPr>
            <w:r>
              <w:rPr>
                <w:rFonts w:ascii="Times New Roman" w:hAnsi="Times New Roman" w:eastAsia="Times New Roman"/>
                <w:sz w:val="20"/>
              </w:rPr>
              <w:t>.012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 = 8, </w:t>
            </w:r>
            <w:r>
              <w:rPr>
                <w:rFonts w:ascii="Times New Roman" w:hAnsi="Times New Roman" w:eastAsia="Times New Roman"/>
                <w:i/>
                <w:sz w:val="24"/>
              </w:rPr>
              <w:t>N</w:t>
            </w:r>
            <w:r>
              <w:rPr>
                <w:rFonts w:ascii="Times New Roman" w:hAnsi="Times New Roman" w:eastAsia="Times New Roman"/>
                <w:sz w:val="24"/>
              </w:rPr>
              <w:t xml:space="preserve"> = 3,081)</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96.0%)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[−.022, .277])</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.101)</w:t>
            </w:r>
          </w:p>
        </w:tc>
        <w:tc>
          <w:tcPr>
            <w:tcW w:type="dxa" w:w="1170"/>
          </w:tcPr>
          <w:p>
            <w:pPr>
              <w:spacing w:before="0" w:after="0" w:line="276" w:lineRule="auto"/>
            </w:pPr>
            <w:r>
              <w:rPr>
                <w:rFonts w:ascii="Times New Roman" w:hAnsi="Times New Roman" w:eastAsia="Times New Roman"/>
                <w:sz w:val="20"/>
              </w:rPr>
              <w:t>.130</w:t>
            </w:r>
          </w:p>
        </w:tc>
        <w:tc>
          <w:tcPr>
            <w:tcW w:type="dxa" w:w="1170"/>
          </w:tcPr>
          <w:p>
            <w:pPr>
              <w:spacing w:before="0" w:after="0" w:line="276" w:lineRule="auto"/>
            </w:pPr>
            <w:r>
              <w:rPr>
                <w:rFonts w:ascii="Times New Roman" w:hAnsi="Times New Roman" w:eastAsia="Times New Roman"/>
                <w:sz w:val="20"/>
              </w:rPr>
              <w:t>Very 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 = 9, </w:t>
            </w:r>
            <w:r>
              <w:rPr>
                <w:rFonts w:ascii="Times New Roman" w:hAnsi="Times New Roman" w:eastAsia="Times New Roman"/>
                <w:i/>
                <w:sz w:val="24"/>
              </w:rPr>
              <w:t>N</w:t>
            </w:r>
            <w:r>
              <w:rPr>
                <w:rFonts w:ascii="Times New Roman" w:hAnsi="Times New Roman" w:eastAsia="Times New Roman"/>
                <w:sz w:val="24"/>
              </w:rPr>
              <w:t xml:space="preserve"> = 3,102)</w:t>
            </w:r>
          </w:p>
        </w:tc>
        <w:tc>
          <w:tcPr>
            <w:tcW w:type="dxa" w:w="1170"/>
          </w:tcPr>
          <w:p>
            <w:pPr>
              <w:spacing w:before="0" w:after="0" w:line="276" w:lineRule="auto"/>
            </w:pPr>
            <w:r>
              <w:rPr>
                <w:rFonts w:ascii="Times New Roman" w:hAnsi="Times New Roman" w:eastAsia="Times New Roman"/>
                <w:sz w:val="20"/>
              </w:rPr>
              <w:t>Not serious</w:t>
              <w:br/>
              <w:t>(mean JBI = 6.00)</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 xml:space="preserve"> = 80.7%)</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[−.095, .128])</w:t>
            </w:r>
          </w:p>
        </w:tc>
        <w:tc>
          <w:tcPr>
            <w:tcW w:type="dxa" w:w="1170"/>
          </w:tcPr>
          <w:p>
            <w:pPr>
              <w:spacing w:before="0" w:after="0" w:line="276" w:lineRule="auto"/>
            </w:pPr>
            <w:r>
              <w:rPr>
                <w:rFonts w:ascii="Times New Roman" w:hAnsi="Times New Roman" w:eastAsia="Times New Roman"/>
                <w:sz w:val="24"/>
              </w:rPr>
              <w:t>Serious</w:t>
              <w:br/>
              <w:t xml:space="preserve">(search not comprehensive; Egger </w:t>
            </w:r>
            <w:r>
              <w:rPr>
                <w:rFonts w:ascii="Times New Roman" w:hAnsi="Times New Roman" w:eastAsia="Times New Roman"/>
                <w:i/>
                <w:sz w:val="24"/>
              </w:rPr>
              <w:t>p</w:t>
            </w:r>
            <w:r>
              <w:rPr>
                <w:rFonts w:ascii="Times New Roman" w:hAnsi="Times New Roman" w:eastAsia="Times New Roman"/>
                <w:sz w:val="24"/>
              </w:rPr>
              <w:t xml:space="preserve"> = .350)</w:t>
            </w:r>
          </w:p>
        </w:tc>
        <w:tc>
          <w:tcPr>
            <w:tcW w:type="dxa" w:w="1170"/>
          </w:tcPr>
          <w:p>
            <w:pPr>
              <w:spacing w:before="0" w:after="0" w:line="276" w:lineRule="auto"/>
            </w:pPr>
            <w:r>
              <w:rPr>
                <w:rFonts w:ascii="Times New Roman" w:hAnsi="Times New Roman" w:eastAsia="Times New Roman"/>
                <w:sz w:val="20"/>
              </w:rPr>
              <w:t>.017</w:t>
            </w:r>
          </w:p>
        </w:tc>
        <w:tc>
          <w:tcPr>
            <w:tcW w:type="dxa" w:w="1170"/>
          </w:tcPr>
          <w:p>
            <w:pPr>
              <w:spacing w:before="0" w:after="0" w:line="276" w:lineRule="auto"/>
            </w:pPr>
            <w:r>
              <w:rPr>
                <w:rFonts w:ascii="Times New Roman" w:hAnsi="Times New Roman" w:eastAsia="Times New Roman"/>
                <w:sz w:val="20"/>
              </w:rPr>
              <w:t>Very Low</w:t>
            </w:r>
          </w:p>
        </w:tc>
      </w:tr>
    </w:tbl>
    <w:p>
      <w:pPr>
        <w:spacing w:line="480" w:lineRule="auto" w:before="0" w:after="0"/>
      </w:pPr>
      <w:r>
        <w:rPr>
          <w:rFonts w:ascii="Times New Roman" w:hAnsi="Times New Roman" w:eastAsia="Times New Roman"/>
          <w:sz w:val="24"/>
        </w:rPr>
        <w:t xml:space="preserve">Note. Ratings adapt GRADE (Schünemann et al., 2019) as a completeness-of-evidence map. Each trait starts at High and is lowered one level for each serious and two levels for each very serious concern. Risk of bias: serious if the mean JBI score of the contributing studies is below 5. Inconsistency: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Imprecision: serious if the 95% CI includes zero and a value of |r| ≥ .10, or is wider than .20. Publication bias is rated serious for every trait because the search could not cover the main bibliographic databases. Indirectness: two pooled studies used self-rated performance; this was judged not serious and is examined in Table 3.</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PRISMA-ScR Flow Diagram of the Study Selection Process</w:t>
      </w:r>
    </w:p>
    <w:p>
      <w:pPr>
        <w:jc w:val="center"/>
      </w:pPr>
      <w:r>
        <w:drawing>
          <wp:inline xmlns:a="http://schemas.openxmlformats.org/drawingml/2006/main" xmlns:pic="http://schemas.openxmlformats.org/drawingml/2006/picture">
            <wp:extent cx="5486400" cy="6594764"/>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6594764"/>
                    </a:xfrm>
                    <a:prstGeom prst="rect"/>
                  </pic:spPr>
                </pic:pic>
              </a:graphicData>
            </a:graphic>
          </wp:inline>
        </w:drawing>
      </w:r>
    </w:p>
    <w:p>
      <w:pPr>
        <w:spacing w:line="480" w:lineRule="auto" w:before="0" w:after="0"/>
      </w:pPr>
      <w:r>
        <w:rPr>
          <w:rFonts w:ascii="Times New Roman" w:hAnsi="Times New Roman" w:eastAsia="Times New Roman"/>
          <w:sz w:val="24"/>
        </w:rPr>
        <w:t xml:space="preserve">Note. Flow diagram following PRISMA-ScR (Tricco et al., 2018), with the layout of Page et al. (2021). Records were identified from eight web-search-engine queries (about 80 hits), 28 primary studies already known from preliminary searching, and the reference lists of five benchmark meta-analyses. The numbers of duplicates and of records excluded at title and abstract screening were not logged. From the full-text stage onward the counts are exact: of 37 reports sought, one could not be retrieved (A-27) and 36 were assessed; 11 were excluded (no Big Five measure, 5; face-to-face only, 4: A-09, A-10, A-14, A-16; sample overlap, 1: A-05; no extractable effect size, 1: A-24), leaving 25 studies. Of these, 9 contributed correlations to the quantitative pool (7 direct, 2 converted from </w:t>
      </w:r>
      <w:r>
        <w:rPr>
          <w:rFonts w:ascii="Times New Roman" w:hAnsi="Times New Roman" w:eastAsia="Times New Roman"/>
          <w:i/>
          <w:sz w:val="24"/>
        </w:rPr>
        <w:t>β</w:t>
      </w:r>
      <w:r>
        <w:rPr>
          <w:rFonts w:ascii="Times New Roman" w:hAnsi="Times New Roman" w:eastAsia="Times New Roman"/>
          <w:sz w:val="24"/>
        </w:rPr>
        <w:t>) and 16 entered the narrative map only, including A-37, which was left out of the pool. Table 1 catalogues 31 of the 37 reports.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391297"/>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391297"/>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1793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1793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1793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1793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391297"/>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391297"/>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1793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1793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13172"/>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13172"/>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2.46, </w:t>
      </w:r>
      <w:r>
        <w:rPr>
          <w:rFonts w:ascii="Times New Roman" w:hAnsi="Times New Roman" w:eastAsia="Times New Roman"/>
          <w:i/>
          <w:sz w:val="24"/>
        </w:rPr>
        <w:t>p</w:t>
      </w:r>
      <w:r>
        <w:rPr>
          <w:rFonts w:ascii="Times New Roman" w:hAnsi="Times New Roman" w:eastAsia="Times New Roman"/>
          <w:sz w:val="24"/>
        </w:rPr>
        <w:t xml:space="preserve"> = .026. See Table 4 for the other diagnostics.</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−7.93, </w:t>
      </w:r>
      <w:r>
        <w:rPr>
          <w:rFonts w:ascii="Times New Roman" w:hAnsi="Times New Roman" w:eastAsia="Times New Roman"/>
          <w:i/>
          <w:sz w:val="24"/>
        </w:rPr>
        <w:t>p</w:t>
      </w:r>
      <w:r>
        <w:rPr>
          <w:rFonts w:ascii="Times New Roman" w:hAnsi="Times New Roman" w:eastAsia="Times New Roman"/>
          <w:sz w:val="24"/>
        </w:rPr>
        <w:t xml:space="preserve"> = .101. See Table 4 for the other diagnostics.</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−6.01, </w:t>
      </w:r>
      <w:r>
        <w:rPr>
          <w:rFonts w:ascii="Times New Roman" w:hAnsi="Times New Roman" w:eastAsia="Times New Roman"/>
          <w:i/>
          <w:sz w:val="24"/>
        </w:rPr>
        <w:t>p</w:t>
      </w:r>
      <w:r>
        <w:rPr>
          <w:rFonts w:ascii="Times New Roman" w:hAnsi="Times New Roman" w:eastAsia="Times New Roman"/>
          <w:sz w:val="24"/>
        </w:rPr>
        <w:t xml:space="preserve"> = .075. See Table 4 for the other diagnostics.</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13172"/>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13172"/>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−1.74, </w:t>
      </w:r>
      <w:r>
        <w:rPr>
          <w:rFonts w:ascii="Times New Roman" w:hAnsi="Times New Roman" w:eastAsia="Times New Roman"/>
          <w:i/>
          <w:sz w:val="24"/>
        </w:rPr>
        <w:t>p</w:t>
      </w:r>
      <w:r>
        <w:rPr>
          <w:rFonts w:ascii="Times New Roman" w:hAnsi="Times New Roman" w:eastAsia="Times New Roman"/>
          <w:sz w:val="24"/>
        </w:rPr>
        <w:t xml:space="preserve"> = .350. See Table 4 for the other diagnostics.</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intercept = 1.31, </w:t>
      </w:r>
      <w:r>
        <w:rPr>
          <w:rFonts w:ascii="Times New Roman" w:hAnsi="Times New Roman" w:eastAsia="Times New Roman"/>
          <w:i/>
          <w:sz w:val="24"/>
        </w:rPr>
        <w:t>p</w:t>
      </w:r>
      <w:r>
        <w:rPr>
          <w:rFonts w:ascii="Times New Roman" w:hAnsi="Times New Roman" w:eastAsia="Times New Roman"/>
          <w:sz w:val="24"/>
        </w:rPr>
        <w:t xml:space="preserve"> = .485. See Table 4 for the other diagnostics.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