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review was pre-registered on OSF Registries (https://doi.org/10.17605/OSF.IO/E5W47), and the extraction data, analysis code, and outputs are openly available at https://github.com/etoki/paper.</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no financial or personal relationships that could inappropriately influence this work. One of the author's own primary studies (Tokiwa, 2025) met the eligibility criteria and is among the retained studies; it contributed no correlation to the quantitative pool, and a pre-specified sensitivity analysis excluding it is reported.</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scoping review synthesises previously published research and involved no data collection from human participants by the author; ethical approval for the primary studies was the responsibility of their investigators.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The protocol was pre-registered on OSF Registries (https://osf.io/e5w47/; DOI: 10.17605/OSF.IO/E5W47) on April 23, 2026. Deviations from it are listed in the Methods.</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The extraction file (data_extraction_populated.csv), the search log, the reading notes, the analysis code, and the outputs behind every table and figure are openly available at https://github.com/etoki/paper (folder metaanalysis). The completed PRISMA-ScR checklist is provided as supplementary material.</w:t>
      </w:r>
    </w:p>
    <w:p>
      <w:pPr>
        <w:spacing w:line="480" w:lineRule="auto" w:before="0" w:after="0"/>
      </w:pPr>
    </w:p>
    <w:p>
      <w:pPr>
        <w:spacing w:line="480" w:lineRule="auto" w:before="0" w:after="0"/>
      </w:pPr>
      <w:r>
        <w:rPr>
          <w:rFonts w:ascii="Times New Roman" w:hAnsi="Times New Roman" w:eastAsia="Times New Roman"/>
          <w:b/>
          <w:sz w:val="24"/>
        </w:rPr>
        <w:t>Declaration of Generative AI Use</w:t>
      </w:r>
    </w:p>
    <w:p>
      <w:pPr>
        <w:spacing w:line="480" w:lineRule="auto" w:before="0" w:after="0"/>
      </w:pPr>
      <w:r>
        <w:rPr>
          <w:rFonts w:ascii="Times New Roman" w:hAnsi="Times New Roman" w:eastAsia="Times New Roman"/>
          <w:sz w:val="24"/>
        </w:rPr>
        <w:t>The author used a large language model (Claude, Anthropic) throughout this project: to support the literature search and the summarising of candidate reports, to write and run the Python analysis code, and to draft and edit the manuscript text. All inclusion decisions and extracted values were checked by the author against the full texts, and the author takes full responsibility for the content. Two analysis errors in an earlier version (an incorrect β-to-r conversion and an inappropriate subgroup test) were introduced in AI-generated code and were corrected for this version; the corrected estimators were checked against an independent implementation (PyMARE).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ran the searches, screened and extracted the studies,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An earlier version of this work was posted on Research Square (https://doi.org/10.21203/rs.3.rs-9513298) as a systematic review and meta-analysis. That version has not been peer reviewed, and its numerical results differ from the present ones because of the corrections described in the Declaration of Generative AI Use and in the Methods.</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reporting their correlation matrices, and the developers of NumPy, SciPy, Matplotlib, PyMARE, and python-docx.</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