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PRISMA-ScR Flow Diagram of the Study Selection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94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Flow diagram following PRISMA-ScR (Tricco et al., 2018), with the layout of Page et al. (2021). Records were identified from eight web-search-engine queries (about 80 hits), 28 primary studies already known from preliminary searching, and the reference lists of five benchmark meta-analyses. The numbers of duplicates and of records excluded at title and abstract screening were not logged. From the full-text stage onward the counts are exact: of 37 reports sought, one could not be retrieved (A-27) and 36 were assessed; 11 were excluded (no Big Five measure, 5; face-to-face only, 4: A-09, A-10, A-14, A-16; sample overlap, 1: A-05; no extractable effect size, 1: A-24), leaving 25 studies. Of these, 9 contributed correlations to the quantitative pool (7 direct, 2 converted from </w:t>
      </w:r>
      <w:r>
        <w:rPr>
          <w:rFonts w:ascii="Times New Roman" w:hAnsi="Times New Roman" w:eastAsia="Times New Roman"/>
          <w:i/>
          <w:sz w:val="24"/>
        </w:rPr>
        <w:t>β</w:t>
      </w:r>
      <w:r>
        <w:rPr>
          <w:rFonts w:ascii="Times New Roman" w:hAnsi="Times New Roman" w:eastAsia="Times New Roman"/>
          <w:sz w:val="24"/>
        </w:rPr>
        <w:t>) and 16 entered the narrative map only, including A-37, which was left out of the pool. Table 1 catalogues 31 of the 37 reports.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1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Conscientiousness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Agreeableness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Openness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1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Neuroticism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6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Extraversion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7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13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Conscientiousness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test: intercept = 2.46,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.026. See Table 4 for the other diagnostics.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8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Agreeableness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test: intercept = −7.93,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.101. See Table 4 for the other diagnostics.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9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Openness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test: intercept = −6.01,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.075. See Table 4 for the other diagnostics.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10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131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Neuroticism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test: intercept = −1.74,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.350. See Table 4 for the other diagnostics.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Extraversion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test: intercept = 1.31,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.485. See Table 4 for the other diagnostics.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