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[Author identifying information removed for double-anonymous peer review]</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Author identifying details — name, ORCID, affiliation, and correspondence information — have been removed for double-anonymous peer review and will be reinstated upon acceptance. The research received no external funding. Conflict-of-interest, pre-registration, and open-science deposit information are provided in the Declarations section using anonymised wording; identifying URLs (OSF, preprint, code repository) will be supplied to the editorial office post-acceptance.</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(the author's own prior primary study)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([OSF preregistration link — provided post-acceptance]; DOI: [OSF preregistration DOI — provided post-acceptance]) on April 23, 2026, prior to formal data extraction and quantitative synthesis. The full protocol (PRISMA-P 2015 compliant) and supplementary materials are publicly available in the associated OSF project ([OSF project DOI — provided post-acceptance]).</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([OSF project DOI — provided post-acceptance]). Each component has been assigned a DOI for direct citation: 01_protocol ([OSF protocol DOI — provided post-acceptance]) — protocol, literature review, deep reading notes, and manuscript drafts; 02_search ([OSF search DOI — provided post-acceptance]) — search log and candidate studies; 03_screening ([OSF screening DOI — provided post-acceptance]) — PRISMA flow counts (forthcoming); 04_extraction ([OSF extraction DOI — provided post-acceptance]) — data extraction CSV and coding manual; 05_risk_of_bias ([OSF risk-of-bias DOI — provided post-acceptance]) — JBI risk-of-bias ratings (forthcoming); 06_analysis ([OSF analysis DOI — provided post-acceptance]) — Python analysis scripts, pooled results, moderator analyses, sensitivity analyses, and generating code for all tables and figures; and 07_pdf_index ([OSF index DOI — provided post-acceptance])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(the author)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([Preprint DOI — provided post-acceptance]).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([OSF preregistration link — provided post-acceptance]),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([OSF preregistration link — provided post-acceptance]; DOI: [OSF preregistration DOI — provided post-acceptance])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(the author)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(the author);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(the author's own prior primary study)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[OSF preregistration DOI — provided post-acceptance])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[author's own study,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([OSF project DOI — provided post-acceptance]), specifically in the 06_analysis component ([OSF analysis DOI — provided post-acceptance]).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[author's own study, 2025]; the author's own study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[author's own study],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[author's own study,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(the author's own prior primary study)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(the author),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(the author's own prior primary study) was included in the qualitative-synthesis retained set as a potentially eligible record. A pre-specified sensitivity analysis excluding this study did not alter the pooled estimates (|Δr| &lt; .001 for every trait) because the author's own prior primary study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[Author's own primary study (2025) — full reference removed for double-anonymous review; details available to the editorial office on request.]</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the author's own prior primary study</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[author's own study] (COI)" removes the present author's prior primary study (the author's own prior primary study);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