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before="0" w:after="0"/>
        <w:jc w:val="center"/>
      </w:pPr>
    </w:p>
    <w:p>
      <w:pPr>
        <w:spacing w:line="480" w:lineRule="auto" w:before="0" w:after="0"/>
        <w:jc w:val="center"/>
      </w:pPr>
    </w:p>
    <w:p>
      <w:pPr>
        <w:spacing w:line="480" w:lineRule="auto" w:before="0" w:after="0"/>
        <w:jc w:val="center"/>
      </w:pPr>
    </w:p>
    <w:p>
      <w:pPr>
        <w:spacing w:line="480" w:lineRule="auto" w:before="0" w:after="0"/>
        <w:jc w:val="center"/>
      </w:pPr>
    </w:p>
    <w:p>
      <w:pPr>
        <w:spacing w:line="480" w:lineRule="auto" w:before="0" w:after="0"/>
        <w:jc w:val="center"/>
      </w:pPr>
      <w:r>
        <w:rPr>
          <w:rFonts w:ascii="Times New Roman" w:hAnsi="Times New Roman" w:eastAsia="Times New Roman"/>
          <w:b/>
          <w:sz w:val="24"/>
        </w:rPr>
        <w:t>Big Five Personality Traits and Academic Achievement in Online Learning Environments: A Scoping Review with Exploratory Quantitative Synthesis</w:t>
      </w:r>
    </w:p>
    <w:p>
      <w:pPr>
        <w:spacing w:line="480" w:lineRule="auto" w:before="0" w:after="0"/>
        <w:jc w:val="center"/>
      </w:pPr>
    </w:p>
    <w:p>
      <w:pPr>
        <w:spacing w:line="480" w:lineRule="auto" w:before="0" w:after="0"/>
        <w:jc w:val="center"/>
      </w:pPr>
      <w:r>
        <w:rPr>
          <w:rFonts w:ascii="Times New Roman" w:hAnsi="Times New Roman" w:eastAsia="Times New Roman"/>
          <w:sz w:val="24"/>
        </w:rPr>
        <w:t>Eisuke Tokiwa</w:t>
      </w:r>
    </w:p>
    <w:p>
      <w:pPr>
        <w:spacing w:line="480" w:lineRule="auto" w:before="0" w:after="0"/>
        <w:jc w:val="center"/>
      </w:pPr>
      <w:r>
        <w:rPr>
          <w:rFonts w:ascii="Times New Roman" w:hAnsi="Times New Roman" w:eastAsia="Times New Roman"/>
          <w:sz w:val="24"/>
        </w:rPr>
        <w:t>SUNBLAZE Co., Ltd., Tokyo, Japan</w:t>
      </w:r>
    </w:p>
    <w:p>
      <w:pPr>
        <w:spacing w:line="480" w:lineRule="auto" w:before="0" w:after="0"/>
        <w:jc w:val="center"/>
      </w:pPr>
    </w:p>
    <w:p>
      <w:pPr>
        <w:spacing w:line="480" w:lineRule="auto" w:before="0" w:after="0"/>
        <w:jc w:val="center"/>
      </w:pPr>
    </w:p>
    <w:p>
      <w:pPr>
        <w:spacing w:line="480" w:lineRule="auto" w:before="0" w:after="0"/>
        <w:jc w:val="center"/>
      </w:pPr>
      <w:r>
        <w:rPr>
          <w:rFonts w:ascii="Times New Roman" w:hAnsi="Times New Roman" w:eastAsia="Times New Roman"/>
          <w:b/>
          <w:sz w:val="24"/>
        </w:rPr>
        <w:t>Author Note</w:t>
      </w:r>
    </w:p>
    <w:p>
      <w:pPr>
        <w:spacing w:line="480" w:lineRule="auto" w:before="0" w:after="0"/>
        <w:ind w:firstLine="720"/>
      </w:pPr>
      <w:r>
        <w:rPr>
          <w:rFonts w:ascii="Times New Roman" w:hAnsi="Times New Roman" w:eastAsia="Times New Roman"/>
          <w:sz w:val="24"/>
        </w:rPr>
        <w:t>Eisuke Tokiwa https://orcid.org/0009-0009-7124-6669</w:t>
      </w:r>
    </w:p>
    <w:p>
      <w:pPr>
        <w:spacing w:line="480" w:lineRule="auto" w:before="0" w:after="0"/>
        <w:ind w:firstLine="720"/>
      </w:pPr>
      <w:r>
        <w:rPr>
          <w:rFonts w:ascii="Times New Roman" w:hAnsi="Times New Roman" w:eastAsia="Times New Roman"/>
          <w:sz w:val="24"/>
        </w:rPr>
        <w:t>The author has no known conflict of interest to disclose beyond that stated in the Declarations section, where a pre-specified sensitivity analysis addresses the author's own potentially eligible primary study. This research received no external funding. The review was pre-registered on OSF Registries (https://doi.org/10.17605/OSF.IO/E5W47), and the extraction data, analysis code, and outputs are openly available at https://github.com/etoki/paper.</w:t>
      </w:r>
    </w:p>
    <w:p>
      <w:pPr>
        <w:spacing w:line="480" w:lineRule="auto" w:before="0" w:after="0"/>
        <w:ind w:firstLine="720"/>
      </w:pPr>
      <w:r>
        <w:rPr>
          <w:rFonts w:ascii="Times New Roman" w:hAnsi="Times New Roman" w:eastAsia="Times New Roman"/>
          <w:sz w:val="24"/>
        </w:rPr>
        <w:t>Correspondence concerning this article should be addressed to Eisuke Tokiwa, SUNBLAZE Co., Ltd., Tokyo, Japan. Email: eisuke.tokiwa@sunblaze.jp</w:t>
      </w:r>
    </w:p>
    <w:p>
      <w:r>
        <w:br w:type="page"/>
      </w:r>
    </w:p>
    <w:p>
      <w:pPr>
        <w:spacing w:line="480" w:lineRule="auto" w:before="0" w:after="0"/>
      </w:pPr>
    </w:p>
    <w:p>
      <w:pPr>
        <w:spacing w:line="480" w:lineRule="auto" w:before="0" w:after="0"/>
      </w:pPr>
      <w:r>
        <w:rPr>
          <w:rFonts w:ascii="Times New Roman" w:hAnsi="Times New Roman" w:eastAsia="Times New Roman"/>
          <w:b/>
          <w:sz w:val="24"/>
        </w:rPr>
        <w:t>Declarations</w:t>
      </w:r>
    </w:p>
    <w:p>
      <w:pPr>
        <w:spacing w:line="480" w:lineRule="auto" w:before="0" w:after="0"/>
      </w:pPr>
      <w:r>
        <w:rPr>
          <w:rFonts w:ascii="Times New Roman" w:hAnsi="Times New Roman" w:eastAsia="Times New Roman"/>
          <w:b/>
          <w:sz w:val="24"/>
        </w:rPr>
        <w:t>Conflict of Interest</w:t>
      </w:r>
    </w:p>
    <w:p>
      <w:pPr>
        <w:spacing w:line="480" w:lineRule="auto" w:before="0" w:after="0"/>
      </w:pPr>
      <w:r>
        <w:rPr>
          <w:rFonts w:ascii="Times New Roman" w:hAnsi="Times New Roman" w:eastAsia="Times New Roman"/>
          <w:sz w:val="24"/>
        </w:rPr>
        <w:t>The author declares no financial or personal relationships that could inappropriately influence this work. One of the author's own primary studies (Tokiwa, 2025) met the eligibility criteria and is among the retained studies; it contributed no correlation to the quantitative pool, and a pre-specified sensitivity analysis excluding it is reported.</w:t>
      </w:r>
    </w:p>
    <w:p>
      <w:pPr>
        <w:spacing w:line="480" w:lineRule="auto" w:before="0" w:after="0"/>
      </w:pPr>
    </w:p>
    <w:p>
      <w:pPr>
        <w:spacing w:line="480" w:lineRule="auto" w:before="0" w:after="0"/>
      </w:pPr>
      <w:r>
        <w:rPr>
          <w:rFonts w:ascii="Times New Roman" w:hAnsi="Times New Roman" w:eastAsia="Times New Roman"/>
          <w:b/>
          <w:sz w:val="24"/>
        </w:rPr>
        <w:t>Funding</w:t>
      </w:r>
    </w:p>
    <w:p>
      <w:pPr>
        <w:spacing w:line="480" w:lineRule="auto" w:before="0" w:after="0"/>
      </w:pPr>
      <w:r>
        <w:rPr>
          <w:rFonts w:ascii="Times New Roman" w:hAnsi="Times New Roman" w:eastAsia="Times New Roman"/>
          <w:sz w:val="24"/>
        </w:rPr>
        <w:t>This research did not receive any specific grant from funding agencies in the public, commercial, or not-for-profit sectors.</w:t>
      </w:r>
    </w:p>
    <w:p>
      <w:pPr>
        <w:spacing w:line="480" w:lineRule="auto" w:before="0" w:after="0"/>
      </w:pPr>
    </w:p>
    <w:p>
      <w:pPr>
        <w:spacing w:line="480" w:lineRule="auto" w:before="0" w:after="0"/>
      </w:pPr>
      <w:r>
        <w:rPr>
          <w:rFonts w:ascii="Times New Roman" w:hAnsi="Times New Roman" w:eastAsia="Times New Roman"/>
          <w:b/>
          <w:sz w:val="24"/>
        </w:rPr>
        <w:t>Ethics Approval</w:t>
      </w:r>
    </w:p>
    <w:p>
      <w:pPr>
        <w:spacing w:line="480" w:lineRule="auto" w:before="0" w:after="0"/>
      </w:pPr>
      <w:r>
        <w:rPr>
          <w:rFonts w:ascii="Times New Roman" w:hAnsi="Times New Roman" w:eastAsia="Times New Roman"/>
          <w:sz w:val="24"/>
        </w:rPr>
        <w:t>Not applicable. This scoping review synthesises previously published research and involved no data collection from human participants by the author; ethical approval for the primary studies was the responsibility of their investigators.</w:t>
      </w:r>
    </w:p>
    <w:p>
      <w:pPr>
        <w:spacing w:line="480" w:lineRule="auto" w:before="0" w:after="0"/>
      </w:pPr>
    </w:p>
    <w:p>
      <w:pPr>
        <w:spacing w:line="480" w:lineRule="auto" w:before="0" w:after="0"/>
      </w:pPr>
      <w:r>
        <w:rPr>
          <w:rFonts w:ascii="Times New Roman" w:hAnsi="Times New Roman" w:eastAsia="Times New Roman"/>
          <w:b/>
          <w:sz w:val="24"/>
        </w:rPr>
        <w:t>Consent to Participate</w:t>
      </w:r>
    </w:p>
    <w:p>
      <w:pPr>
        <w:spacing w:line="480" w:lineRule="auto" w:before="0" w:after="0"/>
      </w:pPr>
      <w:r>
        <w:rPr>
          <w:rFonts w:ascii="Times New Roman" w:hAnsi="Times New Roman" w:eastAsia="Times New Roman"/>
          <w:sz w:val="24"/>
        </w:rPr>
        <w:t>Not applicable.</w:t>
      </w:r>
    </w:p>
    <w:p>
      <w:pPr>
        <w:spacing w:line="480" w:lineRule="auto" w:before="0" w:after="0"/>
      </w:pPr>
    </w:p>
    <w:p>
      <w:pPr>
        <w:spacing w:line="480" w:lineRule="auto" w:before="0" w:after="0"/>
      </w:pPr>
      <w:r>
        <w:rPr>
          <w:rFonts w:ascii="Times New Roman" w:hAnsi="Times New Roman" w:eastAsia="Times New Roman"/>
          <w:b/>
          <w:sz w:val="24"/>
        </w:rPr>
        <w:t>Consent for Publication</w:t>
      </w:r>
    </w:p>
    <w:p>
      <w:pPr>
        <w:spacing w:line="480" w:lineRule="auto" w:before="0" w:after="0"/>
      </w:pPr>
      <w:r>
        <w:rPr>
          <w:rFonts w:ascii="Times New Roman" w:hAnsi="Times New Roman" w:eastAsia="Times New Roman"/>
          <w:sz w:val="24"/>
        </w:rPr>
        <w:t>Not applicable. This manuscript does not contain any individual person's data in any form (including individual details, images, or videos).</w:t>
      </w:r>
    </w:p>
    <w:p>
      <w:pPr>
        <w:spacing w:line="480" w:lineRule="auto" w:before="0" w:after="0"/>
      </w:pPr>
    </w:p>
    <w:p>
      <w:pPr>
        <w:spacing w:line="480" w:lineRule="auto" w:before="0" w:after="0"/>
      </w:pPr>
      <w:r>
        <w:rPr>
          <w:rFonts w:ascii="Times New Roman" w:hAnsi="Times New Roman" w:eastAsia="Times New Roman"/>
          <w:b/>
          <w:sz w:val="24"/>
        </w:rPr>
        <w:t>Pre-registration</w:t>
      </w:r>
    </w:p>
    <w:p>
      <w:pPr>
        <w:spacing w:line="480" w:lineRule="auto" w:before="0" w:after="0"/>
      </w:pPr>
      <w:r>
        <w:rPr>
          <w:rFonts w:ascii="Times New Roman" w:hAnsi="Times New Roman" w:eastAsia="Times New Roman"/>
          <w:sz w:val="24"/>
        </w:rPr>
        <w:t>The protocol was pre-registered on OSF Registries (https://osf.io/e5w47/; DOI: 10.17605/OSF.IO/E5W47) on April 23, 2026. Deviations from it are listed in the Methods.</w:t>
      </w:r>
    </w:p>
    <w:p>
      <w:pPr>
        <w:spacing w:line="480" w:lineRule="auto" w:before="0" w:after="0"/>
      </w:pPr>
    </w:p>
    <w:p>
      <w:pPr>
        <w:spacing w:line="480" w:lineRule="auto" w:before="0" w:after="0"/>
      </w:pPr>
      <w:r>
        <w:rPr>
          <w:rFonts w:ascii="Times New Roman" w:hAnsi="Times New Roman" w:eastAsia="Times New Roman"/>
          <w:b/>
          <w:sz w:val="24"/>
        </w:rPr>
        <w:t>Data Availability Statement</w:t>
      </w:r>
    </w:p>
    <w:p>
      <w:pPr>
        <w:spacing w:line="480" w:lineRule="auto" w:before="0" w:after="0"/>
      </w:pPr>
      <w:r>
        <w:rPr>
          <w:rFonts w:ascii="Times New Roman" w:hAnsi="Times New Roman" w:eastAsia="Times New Roman"/>
          <w:sz w:val="24"/>
        </w:rPr>
        <w:t>The extraction file (data_extraction_populated.csv), the search log, the reading notes, the analysis code, and the outputs behind every table and figure are openly available at https://github.com/etoki/paper (folder metaanalysis). The completed PRISMA-ScR checklist is provided as supplementary material.</w:t>
      </w:r>
    </w:p>
    <w:p>
      <w:pPr>
        <w:spacing w:line="480" w:lineRule="auto" w:before="0" w:after="0"/>
      </w:pPr>
    </w:p>
    <w:p>
      <w:pPr>
        <w:spacing w:line="480" w:lineRule="auto" w:before="0" w:after="0"/>
      </w:pPr>
      <w:r>
        <w:rPr>
          <w:rFonts w:ascii="Times New Roman" w:hAnsi="Times New Roman" w:eastAsia="Times New Roman"/>
          <w:b/>
          <w:sz w:val="24"/>
        </w:rPr>
        <w:t>Declaration of Generative AI Use</w:t>
      </w:r>
    </w:p>
    <w:p>
      <w:pPr>
        <w:spacing w:line="480" w:lineRule="auto" w:before="0" w:after="0"/>
      </w:pPr>
      <w:r>
        <w:rPr>
          <w:rFonts w:ascii="Times New Roman" w:hAnsi="Times New Roman" w:eastAsia="Times New Roman"/>
          <w:sz w:val="24"/>
        </w:rPr>
        <w:t>The author used a large language model (Claude, Anthropic) throughout this project: to support the literature search and the summarising of candidate reports, to write and run the Python analysis code, and to draft and edit the manuscript text. All inclusion decisions and extracted values were checked by the author against the full texts, and the author takes full responsibility for the content. Two analysis errors in an earlier version (an incorrect β-to-r conversion and an inappropriate subgroup test) were introduced in AI-generated code and were corrected for this version; the corrected estimators were checked against an independent implementation (PyMARE).</w:t>
      </w:r>
    </w:p>
    <w:p>
      <w:pPr>
        <w:spacing w:line="480" w:lineRule="auto" w:before="0" w:after="0"/>
      </w:pPr>
    </w:p>
    <w:p>
      <w:pPr>
        <w:spacing w:line="480" w:lineRule="auto" w:before="0" w:after="0"/>
      </w:pPr>
      <w:r>
        <w:rPr>
          <w:rFonts w:ascii="Times New Roman" w:hAnsi="Times New Roman" w:eastAsia="Times New Roman"/>
          <w:b/>
          <w:sz w:val="24"/>
        </w:rPr>
        <w:t>Authors' contributions</w:t>
      </w:r>
    </w:p>
    <w:p>
      <w:pPr>
        <w:spacing w:line="480" w:lineRule="auto" w:before="0" w:after="0"/>
      </w:pPr>
      <w:r>
        <w:rPr>
          <w:rFonts w:ascii="Times New Roman" w:hAnsi="Times New Roman" w:eastAsia="Times New Roman"/>
          <w:sz w:val="24"/>
        </w:rPr>
        <w:t>The author (ET) conceived and designed the review, developed the search strategy and eligibility criteria, ran the searches, screened and extracted the studies, performed the statistical analyses, and drafted and revised the manuscript. The author approves the final version.</w:t>
      </w:r>
    </w:p>
    <w:p>
      <w:pPr>
        <w:spacing w:line="480" w:lineRule="auto" w:before="0" w:after="0"/>
      </w:pPr>
    </w:p>
    <w:p>
      <w:pPr>
        <w:spacing w:line="480" w:lineRule="auto" w:before="0" w:after="0"/>
      </w:pPr>
      <w:r>
        <w:rPr>
          <w:rFonts w:ascii="Times New Roman" w:hAnsi="Times New Roman" w:eastAsia="Times New Roman"/>
          <w:b/>
          <w:sz w:val="24"/>
        </w:rPr>
        <w:t>Preprint Statement</w:t>
      </w:r>
    </w:p>
    <w:p>
      <w:pPr>
        <w:spacing w:line="480" w:lineRule="auto" w:before="0" w:after="0"/>
      </w:pPr>
      <w:r>
        <w:rPr>
          <w:rFonts w:ascii="Times New Roman" w:hAnsi="Times New Roman" w:eastAsia="Times New Roman"/>
          <w:sz w:val="24"/>
        </w:rPr>
        <w:t>An earlier version of this work was posted on Research Square (https://doi.org/10.21203/rs.3.rs-9513298) as a systematic review and meta-analysis. That version has not been peer reviewed, and its numerical results differ from the present ones because of the corrections described in the Declaration of Generative AI Use and in the Methods.</w:t>
      </w:r>
    </w:p>
    <w:p>
      <w:pPr>
        <w:spacing w:line="480" w:lineRule="auto" w:before="0" w:after="0"/>
      </w:pPr>
    </w:p>
    <w:p>
      <w:pPr>
        <w:spacing w:line="480" w:lineRule="auto" w:before="0" w:after="0"/>
      </w:pPr>
      <w:r>
        <w:rPr>
          <w:rFonts w:ascii="Times New Roman" w:hAnsi="Times New Roman" w:eastAsia="Times New Roman"/>
          <w:b/>
          <w:sz w:val="24"/>
        </w:rPr>
        <w:t>Acknowledgments</w:t>
      </w:r>
    </w:p>
    <w:p>
      <w:pPr>
        <w:spacing w:line="480" w:lineRule="auto" w:before="0" w:after="0"/>
      </w:pPr>
      <w:r>
        <w:rPr>
          <w:rFonts w:ascii="Times New Roman" w:hAnsi="Times New Roman" w:eastAsia="Times New Roman"/>
          <w:sz w:val="24"/>
        </w:rPr>
        <w:t>The author thanks the investigators of the included primary studies for reporting their correlation matrices, and the developers of NumPy, SciPy, Matplotlib, PyMARE, and python-docx.</w:t>
      </w:r>
    </w:p>
    <w:p>
      <w:pPr>
        <w:spacing w:line="480" w:lineRule="auto" w:before="0" w:after="0"/>
      </w:pP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pPr>
    <w:r>
      <w:rPr>
        <w:rFonts w:ascii="Times New Roman" w:hAnsi="Times New Roman" w:eastAsia="Times New Roman"/>
        <w:sz w:val="24"/>
      </w:rPr>
      <w:t>BIG FIVE AND ONLINE LEARNING</w:t>
      <w:tab/>
      <w:tab/>
    </w:r>
    <w:r>
      <w:rPr>
        <w:rFonts w:ascii="Times New Roman" w:hAnsi="Times New Roman"/>
        <w:sz w:val="24"/>
      </w:rP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jc w:val="center"/>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