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1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Characteristics of the 31 Catalogued Studies and Their Contributions to the Quantitative Synthesis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Author (Year)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Country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Mode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Level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Era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Region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Instrument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Outcome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Inclusion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RoB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Abe (2020)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92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course_grade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Pool 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Alkis (2018)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189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Turkey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course_grade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Pool 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Ashouri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183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Iran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Map only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Audet (2021)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350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Canada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Map only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Audet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678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Canada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 (overlap)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A-06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Sahinidis (2021)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555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Greece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Custom 30-item Big Five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Map only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Cohen (2017)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Israel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 Hebrew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Map only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Keller (2013)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250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IPIP-50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perception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Map only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Bhattacharjee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384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India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FtF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GPA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 (FtF)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Boonyapison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203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Thailand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FtF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K-12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GPA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 (FtF)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Cheng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746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Taiwan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Sec/Post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BFI_C_only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procrastination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Map only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Baruth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108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Israel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 Hebrew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Map only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Dang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235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NEO-FFI_Chinese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Map only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Elvers (2003)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NEO-FFI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procrastination_exam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Pool 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A-16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Hidalgo-Fuentes (2024)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457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Honduras+Spain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FtF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BFI-2-S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procrastination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 (FtF)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Kara (2024)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437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Turkey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Map only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Bhagat (2019)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208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Taiwan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Mini-IPIP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perception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Map only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MacLean (2022)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465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Canada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HEXACO-PI-R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preference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Map only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Mustafa (2022)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718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Chinese Big Five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Map only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Nakayama (2014)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Japan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IPIP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test_score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Map only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Quigley (2022)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301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UK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engagement_performance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Pool 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Rodrigues (2024)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260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Germany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GPA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Pool 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Tlili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Tunisia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Other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navigational_behavior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 (no ES)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Tokiwa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103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Japan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K-12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BFI-2-J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test_completion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Map only (COI)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A-26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Wang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1625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K-12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Chinese Big Five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achievement_self_report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Map only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Wu_Yu (2024)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1004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e_learning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—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—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Big Five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Not retrieved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—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Yu (2021)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1152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Big Five Scale (McCrae)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MOOC_composite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Pool (β→r)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Bahcekapili (2020)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525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Turkey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 Turkish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GPA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Pool 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A-30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Kaspar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413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Germany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BFI-S German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performance_self_rated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Pool (β→r)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A-31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Rivers (2021)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149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Japan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TIPI-J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course_grade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Pool 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A-37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Zheng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282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FtF/Online†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Mixed_3era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TIPI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course_grade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Pool 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 xml:space="preserve"> = 0)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ID = study identifier used throughout the review. 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analytic sample size. Mode: Online = fully online; FtF = face-to-face; Mixed = blended or mode-comparing design; Online* = engagement scale not specific to online learning; † = A-37 pooled graduate cohorts taught face to face before and after the pandemic and online during it. Level: UG = undergraduate; Grad = graduate; UG/Grad = mixed; K-12 = elementary through high school; Sec/Post = mixed secondary and post-secondary. Era: pre-COVID ≤ 2019; COVID = 2020–2022; post-COVID ≥ 2023. Status: Pool (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) = contributed direct correlations to the quantitative pool; Pool (β→r) = contributed correlations converted from </w:t>
      </w:r>
      <w:r>
        <w:rPr>
          <w:rFonts w:ascii="Times New Roman" w:hAnsi="Times New Roman" w:eastAsia="Times New Roman"/>
          <w:i/>
          <w:sz w:val="24"/>
        </w:rPr>
        <w:t>β</w:t>
      </w:r>
      <w:r>
        <w:rPr>
          <w:rFonts w:ascii="Times New Roman" w:hAnsi="Times New Roman" w:eastAsia="Times New Roman"/>
          <w:sz w:val="24"/>
        </w:rPr>
        <w:t xml:space="preserve"> (Peterson &amp; Brown, 2005); Pool (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= 0) = reported only |r| &lt; .10, entered as 0; Map only = retained for the narrative map (secondary outcomes or no extractable trait–achievement correlation); COI = the author's own study; Exc = excluded at full text (FtF = face-to-face only; no ES = no extractable effect size; overlap = sample overlap with A-04); Not retrieved = full text unavailable. RoB = Joanna Briggs Institute 8-item score (0–8; higher = lower risk of bias). The table lists 31 of the 37 reports sought; A-14 Eilam et al. (2009; face-to-face) and five reports without a Big Five measure were excluded at full text and are documented in the reading notes in the project repository, which also record corrections to bibliographic details (A-06, A-07, A-08, A-12, A-13, A-16, A-18, A-20).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2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Random-Effects Pooled Correlations Between Big Five Personality Traits and Academic Achievement in Online Learning Environments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Trait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k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N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95% CI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95% PI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I²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τ²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Q(</w:t>
            </w:r>
            <w:r>
              <w:rPr>
                <w:rFonts w:ascii="Times New Roman" w:hAnsi="Times New Roman" w:eastAsia="Times New Roman"/>
                <w:i/>
                <w:sz w:val="24"/>
              </w:rPr>
              <w:t>df</w:t>
            </w:r>
            <w:r>
              <w:rPr>
                <w:rFonts w:ascii="Times New Roman" w:hAnsi="Times New Roman" w:eastAsia="Times New Roman"/>
                <w:sz w:val="24"/>
              </w:rPr>
              <w:t xml:space="preserve">),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Conscientiousness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3,384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.168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[.090, .245]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[−.039, .362]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65.0%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.007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25.74(9), .002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Agreeableness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3,363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.116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[−.020, .248]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[−.309, .502]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95.8%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.030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189.85(8), &lt; .001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Openness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3,363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.085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[−.044, .211]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[−.293, .440]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91.7%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.024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96.80(8), &lt; .001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Neuroticism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3,384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.016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[−.080, .112]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[−.246, .276]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78.5%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.012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41.93(9), &lt; .001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Extraversion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3,363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.010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[−.059, .080]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[−.165, .185]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63.5%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.005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21.90(8), .005</w:t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= number of studies contributing a correlation (direct, or converted from </w:t>
      </w:r>
      <w:r>
        <w:rPr>
          <w:rFonts w:ascii="Times New Roman" w:hAnsi="Times New Roman" w:eastAsia="Times New Roman"/>
          <w:i/>
          <w:sz w:val="24"/>
        </w:rPr>
        <w:t>β</w:t>
      </w:r>
      <w:r>
        <w:rPr>
          <w:rFonts w:ascii="Times New Roman" w:hAnsi="Times New Roman" w:eastAsia="Times New Roman"/>
          <w:sz w:val="24"/>
        </w:rPr>
        <w:t xml:space="preserve"> with Peterson and Brown's rule) to the trait pool. 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total sample size.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= random-effects pooled correlation (REML </w:t>
      </w:r>
      <w:r>
        <w:rPr>
          <w:rFonts w:ascii="Times New Roman" w:hAnsi="Times New Roman" w:eastAsia="Times New Roman"/>
          <w:i/>
          <w:sz w:val="24"/>
        </w:rPr>
        <w:t>τ²</w:t>
      </w:r>
      <w:r>
        <w:rPr>
          <w:rFonts w:ascii="Times New Roman" w:hAnsi="Times New Roman" w:eastAsia="Times New Roman"/>
          <w:sz w:val="24"/>
        </w:rPr>
        <w:t xml:space="preserve">, Fisher </w:t>
      </w:r>
      <w:r>
        <w:rPr>
          <w:rFonts w:ascii="Times New Roman" w:hAnsi="Times New Roman" w:eastAsia="Times New Roman"/>
          <w:i/>
          <w:sz w:val="24"/>
        </w:rPr>
        <w:t>z</w:t>
      </w:r>
      <w:r>
        <w:rPr>
          <w:rFonts w:ascii="Times New Roman" w:hAnsi="Times New Roman" w:eastAsia="Times New Roman"/>
          <w:sz w:val="24"/>
        </w:rPr>
        <w:t xml:space="preserve"> scale, back-transformed). 95% CI = Hartung-Knapp-Sidik-Jonkman confidence interval. 95% PI = prediction interval for the true correlation in a new study. </w:t>
      </w:r>
      <w:r>
        <w:rPr>
          <w:rFonts w:ascii="Times New Roman" w:hAnsi="Times New Roman" w:eastAsia="Times New Roman"/>
          <w:i/>
          <w:sz w:val="24"/>
        </w:rPr>
        <w:t>Q</w:t>
      </w:r>
      <w:r>
        <w:rPr>
          <w:rFonts w:ascii="Times New Roman" w:hAnsi="Times New Roman" w:eastAsia="Times New Roman"/>
          <w:sz w:val="24"/>
        </w:rPr>
        <w:t xml:space="preserve"> = Cochran's heterogeneity statistic. Traits are sorted by pooled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>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3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Moderator Analyses: Region, Era, and Outcome Type per Big Five Trait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Moderator / Trait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Level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k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 [95% CI]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F(</w:t>
            </w:r>
            <w:r>
              <w:rPr>
                <w:rFonts w:ascii="Times New Roman" w:hAnsi="Times New Roman" w:eastAsia="Times New Roman"/>
                <w:i/>
                <w:sz w:val="24"/>
              </w:rPr>
              <w:t>df</w:t>
            </w:r>
            <w:r>
              <w:rPr>
                <w:rFonts w:ascii="Times New Roman" w:hAnsi="Times New Roman" w:eastAsia="Times New Roman"/>
                <w:sz w:val="24"/>
              </w:rPr>
              <w:t xml:space="preserve">), p; Holm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Conscientiousness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.187 [.083, .287]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0.58(1, 8), .470; 1.000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.110 [−.045, .260]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Openness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.054 [−.063, .170]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0.69(1, 7), .435; 1.000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.155 [−.988, .994]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Extraversion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.050 [−.004, .104]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12.94(1, 7), .009; .026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−.095 [−.541, .393]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Agreeableness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.038 [−.029, .105]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9.13(1, 7), .019; .058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.319 [−.979, .994]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Neuroticism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−.009 [−.132, .115]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0.99(1, 8), .348; .582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.089 [.005, .171]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Conscientiousness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4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.221 [−.033, .448]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0.02(1, 7), .889; 1.000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.180 [.097, .261]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Openness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.104 [−.427, .581]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0.00(1, 6), .954; 1.000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.094 [−.122, .300]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Extraversion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.033 [.002, .063]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0.22(1, 6), .659; .659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−.002 [−.155, .152]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Agreeableness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.052 [−.159, .259]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0.39(1, 6), .554; 1.000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.160 [−.115, .412]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Neuroticism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4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−.050 [−.173, .074]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1.38(1, 7), .279; .582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.058 [−.124, .237]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Conscientiousness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.151 [.050, .250]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1.00(1, 8), .347; 1.000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.224 [−.187, .568]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Openness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.091 [−.086, .262]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0.03(1, 7), .862; 1.000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.068 [−.636, .710]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Extraversion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−.028 [−.090, .035]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9.01(1, 7), .020; .040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.116 [−.143, .361]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Agreeableness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.129 [−.052, .302]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0.17(1, 7), .695; 1.000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.068 [−.742, .797]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Neuroticism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−.010 [−.100, .079]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2.01(1, 8), .194; .582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.117 [−.922, .951]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= number of studies in the subgroup. </w:t>
      </w:r>
      <w:r>
        <w:rPr>
          <w:rFonts w:ascii="Times New Roman" w:hAnsi="Times New Roman" w:eastAsia="Times New Roman"/>
          <w:i/>
          <w:sz w:val="24"/>
        </w:rPr>
        <w:t>F</w:t>
      </w:r>
      <w:r>
        <w:rPr>
          <w:rFonts w:ascii="Times New Roman" w:hAnsi="Times New Roman" w:eastAsia="Times New Roman"/>
          <w:sz w:val="24"/>
        </w:rPr>
        <w:t xml:space="preserve"> = Knapp–Hartung test from a mixed-effects meta-regression on the subgroup indicator (REML residual </w:t>
      </w:r>
      <w:r>
        <w:rPr>
          <w:rFonts w:ascii="Times New Roman" w:hAnsi="Times New Roman" w:eastAsia="Times New Roman"/>
          <w:i/>
          <w:sz w:val="24"/>
        </w:rPr>
        <w:t>τ²</w:t>
      </w:r>
      <w:r>
        <w:rPr>
          <w:rFonts w:ascii="Times New Roman" w:hAnsi="Times New Roman" w:eastAsia="Times New Roman"/>
          <w:sz w:val="24"/>
        </w:rPr>
        <w:t xml:space="preserve">). Holm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Holm-adjusted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within each trait across the three moderators. Asia = East Asian or Middle Eastern samples; within the quantitative pool only A-28 (China) and A-31 (Japan) are Asian. Era: pre-COVID = data collected up to 2019; COVID = 2020–2022; no post-COVID study contributed a correlation, and the one mixed-period study (A-37) is not assigned to an era level. Outcome: objective = GPA, course grade, examination, or MOOC platform composite; self-rated = self-reported performance (A-22, A-30). Both Asian studies used objective outcomes and asynchronous delivery, so the region and outcome contrasts overlap.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4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Sensitivity Analyses and Small-Study Diagnostics for the Pooled Correlations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Trait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Analysis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k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 [95% CI]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Δr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Conscientiousness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.168 [.090, .245]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(2025; 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.168 [.090, .245]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 (A-28, A-30)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.181 [.073, .284]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+.012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Exclude RoB &lt; 5 / 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 xml:space="preserve"> = 0 entry (A-37)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.185 [.112, .255]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+.016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Exclude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 xml:space="preserve"> &lt; 50 (A-15)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.163 [.082, .242]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−.005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DerSimonian–Laird </w:t>
            </w:r>
            <w:r>
              <w:rPr>
                <w:rFonts w:ascii="Times New Roman" w:hAnsi="Times New Roman" w:eastAsia="Times New Roman"/>
                <w:i/>
                <w:sz w:val="24"/>
              </w:rPr>
              <w:t>τ²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.167 [.089, .243]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−.001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Leave-one-out (range of 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.152 to .185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max −.017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2.16,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.091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(2 imputed, left)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.149 [.064, .231]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−.020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Openness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.085 [−.044, .211]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(2025; 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.085 [−.044, .211]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 (A-28, A-30)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.026 [−.093, .145]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−.059 ‡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Exclude RoB &lt; 5 / 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 xml:space="preserve"> = 0 entry (A-37)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.096 [−.052, .239]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Exclude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 xml:space="preserve"> &lt; 50 (A-15)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.085 [−.044, .211]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DerSimonian–Laird </w:t>
            </w:r>
            <w:r>
              <w:rPr>
                <w:rFonts w:ascii="Times New Roman" w:hAnsi="Times New Roman" w:eastAsia="Times New Roman"/>
                <w:i/>
                <w:sz w:val="24"/>
              </w:rPr>
              <w:t>τ²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.085 [−.045, .212]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Leave-one-out (range of 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.042 to .106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max −.044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−6.27,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.046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(1 imputed, right)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.106 [−.017, .226]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+.021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Extraversion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.010 [−.059, .080]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(2025; 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.010 [−.059, .080]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 (A-28, A-30)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.015 [−.069, .098]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+.005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Exclude RoB &lt; 5 / 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 xml:space="preserve"> = 0 entry (A-37)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.012 [−.070, .093]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+.001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Exclude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 xml:space="preserve"> &lt; 50 (A-15)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.010 [−.059, .080]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DerSimonian–Laird </w:t>
            </w:r>
            <w:r>
              <w:rPr>
                <w:rFonts w:ascii="Times New Roman" w:hAnsi="Times New Roman" w:eastAsia="Times New Roman"/>
                <w:i/>
                <w:sz w:val="24"/>
              </w:rPr>
              <w:t>τ²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.010 [−.059, .080]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Leave-one-out (range of 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−.007 to .029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max +.019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1.27,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.454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(0 imputed, right)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.010 [−.059, .080]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Agreeableness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.116 [−.020, .248]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(2025; 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.116 [−.020, .248]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 (A-28, A-30)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.057 [−.013, .126]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−.059 ‡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Exclude RoB &lt; 5 / 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 xml:space="preserve"> = 0 entry (A-37)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.130 [−.022, .277]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+.014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Exclude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 xml:space="preserve"> &lt; 50 (A-15)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.116 [−.020, .248]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DerSimonian–Laird </w:t>
            </w:r>
            <w:r>
              <w:rPr>
                <w:rFonts w:ascii="Times New Roman" w:hAnsi="Times New Roman" w:eastAsia="Times New Roman"/>
                <w:i/>
                <w:sz w:val="24"/>
              </w:rPr>
              <w:t>τ²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.115 [−.018, .244]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−.001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Leave-one-out (range of 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.045 to .133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max −.071 ‡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−8.29,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.066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(3 imputed, right)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.180 [.061, .294]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+.064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Neuroticism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.016 [−.080, .112]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(2025; 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.016 [−.080, .112]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 (A-28, A-30)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−.035 [−.107, .037]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−.051 ‡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Exclude RoB &lt; 5 / 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 xml:space="preserve"> = 0 entry (A-37)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.017 [−.095, .128]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Exclude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 xml:space="preserve"> &lt; 50 (A-15)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.027 [−.063, .117]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DerSimonian–Laird </w:t>
            </w:r>
            <w:r>
              <w:rPr>
                <w:rFonts w:ascii="Times New Roman" w:hAnsi="Times New Roman" w:eastAsia="Times New Roman"/>
                <w:i/>
                <w:sz w:val="24"/>
              </w:rPr>
              <w:t>τ²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.016 [−.081, .112]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Leave-one-out (range of 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−.010 to .037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max −.026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−1.78,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.302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(1 imputed, right)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11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.027 [−.075, .128]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+.011</w:t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Δr = change from the primary pooled correlation; ‡ marks |Δr| &gt; .05. Excluding A-37 removes both the only study with a risk-of-bias score below 5 and the study whose correlations were entered as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= 0, so the two analyses coincide. Leave-one-out gives the range of pooled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when each study is removed in turn and the largest change. Trim-and-fill uses the L0 estimator; the side is that on which studies were imputed. Egger and trim-and-fill results are descriptive: both have little power at 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= 9–10.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5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Completeness-of-Evidence Summary for the Pooled Associations Between Big Five Traits and Academic Achievement in Online Learning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Trait 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Risk of bias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Inconsistency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Indirectness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Imprecision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Publication bias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Rating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Conscientiousness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 = 10,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 xml:space="preserve"> = 3,384)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 = 5.80)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 xml:space="preserve"> = 65.0%)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(CI [.090, .245])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 xml:space="preserve">(search not comprehensive; 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.091)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.168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Low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Openness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 = 9,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 xml:space="preserve"> = 3,363)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 = 5.78)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Very 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 xml:space="preserve"> = 91.7%)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Serious</w:t>
              <w:br/>
              <w:t>(CI [−.044, .211])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 xml:space="preserve">(search not comprehensive; 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.046)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.085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Very Low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Extraversion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 = 9,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 xml:space="preserve"> = 3,363)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 = 5.78)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 xml:space="preserve"> = 63.5%)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(CI [−.059, .080])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 xml:space="preserve">(search not comprehensive; 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.454)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.010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Low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Agreeableness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 = 9,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 xml:space="preserve"> = 3,363)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 = 5.78)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Very 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 xml:space="preserve"> = 95.8%)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Serious</w:t>
              <w:br/>
              <w:t>(CI [−.020, .248])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 xml:space="preserve">(search not comprehensive; 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.066)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.116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Very Low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Neuroticism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 = 10,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 xml:space="preserve"> = 3,384)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 = 5.80)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Very 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 xml:space="preserve"> = 78.5%)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Serious</w:t>
              <w:br/>
              <w:t>(CI [−.080, .112])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 xml:space="preserve">(search not comprehensive; 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.302)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.016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Very Low</w:t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Ratings adapt GRADE (Schünemann et al., 2019) as a completeness-of-evidence map. Each trait starts at High and is lowered one level for each serious and two levels for each very serious concern. Risk of bias: serious if the mean JBI score of the contributing studies is below 5. Inconsistency: serious if </w:t>
      </w:r>
      <w:r>
        <w:rPr>
          <w:rFonts w:ascii="Times New Roman" w:hAnsi="Times New Roman" w:eastAsia="Times New Roman"/>
          <w:i/>
          <w:sz w:val="24"/>
        </w:rPr>
        <w:t>I²</w:t>
      </w:r>
      <w:r>
        <w:rPr>
          <w:rFonts w:ascii="Times New Roman" w:hAnsi="Times New Roman" w:eastAsia="Times New Roman"/>
          <w:sz w:val="24"/>
        </w:rPr>
        <w:t xml:space="preserve"> &gt; 50%, very serious if </w:t>
      </w:r>
      <w:r>
        <w:rPr>
          <w:rFonts w:ascii="Times New Roman" w:hAnsi="Times New Roman" w:eastAsia="Times New Roman"/>
          <w:i/>
          <w:sz w:val="24"/>
        </w:rPr>
        <w:t>I²</w:t>
      </w:r>
      <w:r>
        <w:rPr>
          <w:rFonts w:ascii="Times New Roman" w:hAnsi="Times New Roman" w:eastAsia="Times New Roman"/>
          <w:sz w:val="24"/>
        </w:rPr>
        <w:t xml:space="preserve"> &gt; 75%. Imprecision: serious if the 95% CI includes zero and a value of |r| ≥ .10, or is wider than .20. Publication bias is rated serious for every trait because the search could not cover the main bibliographic databases. Indirectness: two pooled studies used self-rated performance and one (A-37) pooled face-to-face and online cohorts; these were judged not serious and are examined in Tables 3 and 4.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</w:pPr>
    <w:r>
      <w:rPr>
        <w:rFonts w:ascii="Times New Roman" w:hAnsi="Times New Roman" w:eastAsia="Times New Roman"/>
        <w:sz w:val="24"/>
      </w:rPr>
      <w:t>BIG FIVE AND ONLINE LEARNING</w:t>
      <w:tab/>
      <w:tab/>
    </w: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