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PRISMA-ScR Flow Diagram of the Study Selection Process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594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9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Flow diagram following PRISMA-ScR (Tricco et al., 2018), with the layout of Page et al. (2021). Records were identified from eight web-search-engine queries (about 80 hits), 28 primary studies already known from preliminary searching, and the reference lists of five benchmark meta-analyses. The numbers of duplicates and of records excluded at title and abstract screening were not logged. From the full-text stage onward the counts are exact: of 37 reports sought, one could not be retrieved (A-27) and 36 were assessed; 11 were excluded (no Big Five measure, 5; face-to-face only, 4: A-09, A-10, A-14, A-16; sample overlap, 1: A-05; no extractable effect size, 1: A-24), leaving 25 studies. Of these, 10 contributed correlations to the quantitative pool (8 direct, one of them entered as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0; 2 converted from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>) and 15 entered the narrative map only. Table 1 catalogues 31 of the 37 reports.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07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7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Conscientiousness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12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Agreeableness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12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Openness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073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7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Neuroticism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6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12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Extraversion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7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131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1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Conscientiousness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test: intercept = 2.16,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.091. See Table 4 for the other diagnostics.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8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Agreeableness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test: intercept = −8.29,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.066. See Table 4 for the other diagnostics.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9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Openness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test: intercept = −6.27,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.046. See Table 4 for the other diagnostics.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10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131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1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Neuroticism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test: intercept = −1.78,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.302. See Table 4 for the other diagnostics.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Extraversion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test: intercept = 1.27,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.454. See Table 4 for the other diagnostics.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