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present manuscript is publicly available at SocArXiv (DOI 10.31235/osf.io/p2d8w_v1; https://osf.io/preprints/socarxiv/p2d8w_v1). The underlying N = 354 dataset and its descriptive analyses are available as a separate preprint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pPr>
        <w:spacing w:line="480" w:lineRule="auto" w:before="0" w:after="0"/>
      </w:pPr>
    </w:p>
    <w:p>
      <w:pPr>
        <w:spacing w:line="480" w:lineRule="auto" w:before="0" w:after="0"/>
      </w:pPr>
      <w:r>
        <w:rPr>
          <w:rFonts w:ascii="Times New Roman" w:hAnsi="Times New Roman" w:eastAsia="Times New Roman"/>
          <w:sz w:val="24"/>
        </w:rPr>
        <w:t>Note (journal submission): This manuscript is being submitted as a Stage 2 Registered Report. Conditional acceptance based on Stage 1 review of the v2.0 protocol document (https://osf.io/3y54u) is acknowledged in the accompanying cover letter.</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and reports the deposit locations and access conditions for code and data.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w:t>
      </w:r>
    </w:p>
    <w:p>
      <w:r>
        <w:br w:type="page"/>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Labour Force Survey 2022 marginals. Bootstrap 95% CIs use B = 10,000 cell-stratified resamples per the pre-registered headline-bootstrap rule. Tier classification follows the pre-registered four-tier hierarchy.</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follows the pre-registered specification.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pre-registered priority cascade: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the pre-registered priority-1 condition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(per the pre-registered positivity rule):</w:t>
      </w:r>
      <w:r>
        <w:rPr>
          <w:rFonts w:ascii="Times New Roman" w:hAnsi="Times New Roman" w:eastAsia="Times New Roman"/>
          <w:sz w:val="24"/>
        </w:rPr>
        <w:t xml:space="preserve"> Counterfactual A and C trivially preserve positivity. Counterfactual B's flagged-weight share = 44.5%; the pre-registered downgrade rule is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follows the pre-registered specification (the four-tier hierarchy for H1 and the IUT priority cascade for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The 14-cell vs 28-cell sensitivity (28-cell adds × 2 roles, not a re-split of gender) is reported as a robustness check on role-stratification stability rather than as a re-test of gender invariance.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 = 354 individual data; Tokiwa, 2026, 7-cluster centroids; Statistics Bureau (MIC) Labour Force Survey 2022) flowing through Stages 0–8 with their HDF5 outputs.</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pre-registered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bootstrap CIs computed under the pre-registered cascade.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Illustrative schematic; the underlying values come from the pre-registered specification.</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