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pPr>
    </w:p>
    <w:p>
      <w:pPr>
        <w:spacing w:line="480" w:lineRule="auto" w:before="0" w:after="0"/>
      </w:pPr>
    </w:p>
    <w:p>
      <w:pPr>
        <w:spacing w:line="480" w:lineRule="auto" w:before="0" w:after="0"/>
        <w:jc w:val="center"/>
      </w:pPr>
      <w:r>
        <w:rPr>
          <w:rFonts w:ascii="Times New Roman" w:hAnsi="Times New Roman" w:eastAsia="Times New Roman"/>
          <w:b/>
          <w:sz w:val="24"/>
        </w:rPr>
        <w:t>Person-Level versus System-Level Anti-Harassment Interventions: A HEXACO 7-Typology Counterfactual Microsimulation in Japanese Workplaces</w:t>
      </w:r>
    </w:p>
    <w:p>
      <w:pPr>
        <w:spacing w:line="480" w:lineRule="auto" w:before="0" w:after="0"/>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SUNBLAZE Co., Ltd., Tokyo, Japan</w:t>
      </w:r>
    </w:p>
    <w:p>
      <w:pPr>
        <w:spacing w:line="480" w:lineRule="auto" w:before="0" w:after="0"/>
      </w:pPr>
    </w:p>
    <w:p>
      <w:pPr>
        <w:spacing w:line="480" w:lineRule="auto" w:before="0" w:after="0"/>
      </w:pPr>
    </w:p>
    <w:p>
      <w:pPr>
        <w:spacing w:line="480" w:lineRule="auto" w:before="0" w:after="0"/>
        <w:jc w:val="center"/>
      </w:pPr>
      <w:r>
        <w:rPr>
          <w:rFonts w:ascii="Times New Roman" w:hAnsi="Times New Roman" w:eastAsia="Times New Roman"/>
          <w:b/>
          <w:sz w:val="24"/>
        </w:rPr>
        <w:t>Author Note</w:t>
      </w:r>
    </w:p>
    <w:p>
      <w:pPr>
        <w:spacing w:line="480" w:lineRule="auto" w:before="0" w:after="0"/>
      </w:pPr>
      <w:r>
        <w:rPr>
          <w:rFonts w:ascii="Times New Roman" w:hAnsi="Times New Roman" w:eastAsia="Times New Roman"/>
          <w:sz w:val="24"/>
        </w:rPr>
        <w:t>Eisuke Tokiwa  https://orcid.org/0009-0009-7124-6669</w:t>
      </w:r>
    </w:p>
    <w:p>
      <w:pPr>
        <w:spacing w:line="480" w:lineRule="auto" w:before="0" w:after="0"/>
      </w:pPr>
      <w:r>
        <w:rPr>
          <w:rFonts w:ascii="Times New Roman" w:hAnsi="Times New Roman" w:eastAsia="Times New Roman"/>
          <w:sz w:val="24"/>
        </w:rPr>
        <w:t>The author discloses a potential competing interest as detailed in the Declarations below.</w:t>
      </w:r>
    </w:p>
    <w:p>
      <w:pPr>
        <w:spacing w:line="480" w:lineRule="auto" w:before="0" w:after="0"/>
      </w:pPr>
      <w:r>
        <w:rPr>
          <w:rFonts w:ascii="Times New Roman" w:hAnsi="Times New Roman" w:eastAsia="Times New Roman"/>
          <w:sz w:val="24"/>
        </w:rPr>
        <w:t>Correspondence concerning this article should be addressed to Eisuke Tokiwa, SUNBLAZE Co., Ltd., Tokyo, Japan. Email: eisuke.tokiwa@sunblaze.jp</w:t>
      </w:r>
    </w:p>
    <w:p>
      <w:pPr>
        <w:spacing w:line="480" w:lineRule="auto" w:before="0" w:after="0"/>
      </w:pP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p>
    <w:p>
      <w:pPr>
        <w:spacing w:line="480" w:lineRule="auto" w:before="0" w:after="0"/>
      </w:pPr>
      <w:r>
        <w:rPr>
          <w:rFonts w:ascii="Times New Roman" w:hAnsi="Times New Roman" w:eastAsia="Times New Roman"/>
          <w:b/>
          <w:sz w:val="24"/>
        </w:rPr>
        <w:t>Competing Interests</w:t>
      </w:r>
    </w:p>
    <w:p>
      <w:pPr>
        <w:spacing w:line="480" w:lineRule="auto" w:before="0" w:after="0"/>
      </w:pPr>
      <w:r>
        <w:rPr>
          <w:rFonts w:ascii="Times New Roman" w:hAnsi="Times New Roman" w:eastAsia="Times New Roman"/>
          <w:sz w:val="24"/>
        </w:rPr>
        <w:t>The author discloses the following potential competing interest: the author is the representative of SUNBLAZE Co., Ltd. (Tokyo, Japan), which provides HEXACO-JP, a proprietary Japanese-language HEXACO-based personality assessment service. Three points qualify the disclosure. (i) The present study does not use HEXACO-JP. The HEXACO instrument used here is the HEXACO-PI-R Japanese 60-item adaptation published by Wakabayashi (2014), a separately validated and openly cited instrument that predates and is independent of HEXACO-JP. (ii) The present manuscript does not reference, evaluate, market, recommend, or otherwise promote HEXACO-JP or any other SUNBLAZE product or service, and SUNBLAZE Co., Ltd. did not commission, sponsor, or direct the research. (iii) The headline empirical findings (a null personality-intervention contrast, a positive structural-intervention contrast, and the reframing of HEXACO 7-typology as a stratification variable rather than an intervention or screening target) do not differentially favor commercial HEXACO-based assessment products.</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No funding was received for this research. SUNBLAZE Co., Ltd. did not provide any funding, equipment, or compensation, and no external grant funding from public, commercial, or not-for-profit agencies was received. The author conducted the research as an independent academic project at no monetary cost, using publicly available analytical software and previously collected data.</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The N = 354 individual-level harassment data re-analyzed in this study were originally collected under an IRB-approved protocol described in Tokiwa (2025, Research Square preprint, DOI 10.21203/rs.3.rs-7756124/v1). The present study is a secondary analysis of these de-identified data and does not introduce any new contact with participants; consistent with standard practice for secondary analysis of de-identified data covered by the original IRB approval, no additional ethics review was sought.</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All N = 354 participants in the original survey provided informed consent for research use of their de-identified responses (per Tokiwa, 2025). The present secondary analysis introduces no new participant contact.</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Stage 2 Registered Report implements, without deviation, the analysis plan pre-registered as v2.0 at the Open Science Framework (DOI 10.17605/OSF.IO/3Y54U; https://osf.io/3y54u; registered 2026-04-30). The Section 6.5 Level 1 Methods Clarifications Log accompanying the v2.0 registration documents 16 minor specification clarifications applied prior to Stage 0 implementation.</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Public-tier supplementary artifacts (Stage 0–8 HDF5, Figures 1–6 in PNG/PDF/SVG, canonical numerical record, SHA-256 reference hashes) are openly available at the v2.0 OSF working project (osf.io/3hxz6, v2.0/v2.0_supplementary.tar.gz). The N = 354 individual-level dataset is governed by the IRB-approved data-sharing protocol and hosted in a Private OSF component with a documented Request-Access mechanism (parent project Wiki at osf.io/3hxz6/wiki/home/ lists access criteria, IRB requirements, and data-use terms). All analysis code is publicly archived under MIT license at https://github.com/etoki/paper (directory: simulation/).</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sole author (Eisuke Tokiwa) was responsible for conceptualization, methodology, software, formal analysis, investigation, data curation, writing — original draft, and writing — review &amp; editing.</w:t>
      </w:r>
    </w:p>
    <w:p>
      <w:pPr>
        <w:spacing w:line="480" w:lineRule="auto" w:before="0" w:after="0"/>
      </w:pPr>
    </w:p>
    <w:p>
      <w:pPr>
        <w:spacing w:line="480" w:lineRule="auto" w:before="0" w:after="0"/>
      </w:pPr>
      <w:r>
        <w:rPr>
          <w:rFonts w:ascii="Times New Roman" w:hAnsi="Times New Roman" w:eastAsia="Times New Roman"/>
          <w:b/>
          <w:sz w:val="24"/>
        </w:rPr>
        <w:t>Preprint Statement</w:t>
      </w:r>
    </w:p>
    <w:p>
      <w:pPr>
        <w:spacing w:line="480" w:lineRule="auto" w:before="0" w:after="0"/>
      </w:pPr>
      <w:r>
        <w:rPr>
          <w:rFonts w:ascii="Times New Roman" w:hAnsi="Times New Roman" w:eastAsia="Times New Roman"/>
          <w:sz w:val="24"/>
        </w:rPr>
        <w:t>A preprint of the present manuscript is publicly available at SocArXiv (DOI 10.31235/osf.io/p2d8w_v1; https://osf.io/preprints/socarxiv/p2d8w_v1). The underlying N = 354 dataset and its descriptive analyses are available as a separate preprint at Research Square (DOI 10.21203/rs.3.rs-7756124/v1; Tokiwa, 2025). The seven HEXACO cluster centroids used as fixed parameters in this study are from the companion paper Tokiwa (2026, IEEE Access, DOI 10.1109/ACCESS.2026.3651324).</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anonymous external methodologist (mode B; mathematical biology background) whose review memo led to the Section 6.5 Level 1 Methods Clarifications Log, and the N = 354 survey respondents whose anonymized data made this analysis possible.</w:t>
      </w:r>
    </w:p>
    <w:p>
      <w:r>
        <w:br w:type="page"/>
      </w:r>
    </w:p>
    <w:p>
      <w:pPr>
        <w:spacing w:line="480" w:lineRule="auto" w:before="0" w:after="0"/>
        <w:jc w:val="center"/>
      </w:pPr>
      <w:r>
        <w:rPr>
          <w:rFonts w:ascii="Times New Roman" w:hAnsi="Times New Roman" w:eastAsia="Times New Roman"/>
          <w:b/>
          <w:sz w:val="24"/>
        </w:rPr>
        <w:t>Abstract</w:t>
      </w:r>
    </w:p>
    <w:p>
      <w:pPr>
        <w:spacing w:line="480" w:lineRule="auto" w:before="0" w:after="0"/>
        <w:ind w:firstLine="720"/>
      </w:pPr>
      <w:r>
        <w:rPr>
          <w:rFonts w:ascii="Times New Roman" w:hAnsi="Times New Roman" w:eastAsia="Times New Roman"/>
          <w:sz w:val="24"/>
        </w:rPr>
        <w:t>Workplace harassment imposes mental-health and labor-supply costs in Japan, where Ministry of Health, Labour and Welfare (MHLW) surveys document past-three-year power-harassment victimization declining from 32.5% (FY2016) to 19.3% (FY2023) across the enforcement period of the 2020 Power Harassment Prevention Law. The relative population-level magnitudes of plausible person-level and system-level interventions in this setting have not been compared in a pre-registered counterfactual framework. We pre-registered a HEXACO 7-typology microsimulation emulating a target trial of three interventions: (A) +0.3 SD on Honesty-Humility, Agreeableness, and Emotionality; (B) +0.40 SD on Honesty-Humility restricted to three low-prevalence typologies; and (C) a 20% cell-level propensity reduction, calibrated against three meta-analyses of organizational anti-harassment interventions and the −13.2-percentage-point MHLW FY2016–FY2023 decline. Using N = 354 observations partitioned into 14 cells (7 typologies × 2 genders) with cell-stratified bootstrap (B = 10,000), Beta-Binomial empirical Bayes shrinkage, and a BCa confidence-interval cascade, the personality contrasts are null (ΔP_A = −0.0061, 95% CI [−0.0207, +0.0062]; ΔP_B = −0.0059, 95% CI [−0.0207, +0.0066]), whereas the structural contrast is positive (ΔP_C = +0.0349, 95% CI [+0.0264, +0.0435]). The pre-registered intersection-union test classifies this as REVERSAL: in absolute magnitude, |ΔP_C|/|ΔP_A| ≈ 5.7. The classification is robust across four cultural-attenuation factors and nine pre-registered analytic choices. The findings are consistent with treating HEXACO 7-typology as a stratification variable rather than a personality-modification target, and we caution against reading HEXACO–harassment associations as endorsing person-focused remediation.</w:t>
      </w:r>
    </w:p>
    <w:p>
      <w:pPr>
        <w:spacing w:line="480" w:lineRule="auto" w:before="0" w:after="0"/>
        <w:ind w:firstLine="720"/>
      </w:pPr>
      <w:r>
        <w:rPr>
          <w:rFonts w:ascii="Times New Roman" w:hAnsi="Times New Roman" w:eastAsia="Times New Roman"/>
          <w:b/>
          <w:sz w:val="24"/>
        </w:rPr>
        <w:t>Keywords</w:t>
      </w:r>
      <w:r>
        <w:rPr>
          <w:rFonts w:ascii="Times New Roman" w:hAnsi="Times New Roman" w:eastAsia="Times New Roman"/>
          <w:sz w:val="24"/>
        </w:rPr>
        <w:t>: workplace harassment; HEXACO; counterfactual simulation; target trial emulation; Japan; pre-registration; structural intervention; personality intervention; 2020 Power Harassment Prevention Law</w:t>
      </w:r>
    </w:p>
    <w:p>
      <w:pPr>
        <w:spacing w:line="480" w:lineRule="auto" w:before="0" w:after="0"/>
        <w:jc w:val="center"/>
      </w:pPr>
      <w:r>
        <w:rPr>
          <w:rFonts w:ascii="Times New Roman" w:hAnsi="Times New Roman" w:eastAsia="Times New Roman"/>
          <w:b/>
          <w:sz w:val="24"/>
        </w:rPr>
        <w:t>Introduction</w:t>
      </w:r>
    </w:p>
    <w:p>
      <w:pPr>
        <w:spacing w:line="480" w:lineRule="auto" w:before="0" w:after="0"/>
        <w:jc w:val="left"/>
      </w:pPr>
      <w:r>
        <w:rPr>
          <w:rFonts w:ascii="Times New Roman" w:hAnsi="Times New Roman" w:eastAsia="Times New Roman"/>
          <w:b/>
          <w:sz w:val="24"/>
        </w:rPr>
        <w:t>Workplace harassment as a public-health and policy problem</w:t>
      </w:r>
    </w:p>
    <w:p>
      <w:pPr>
        <w:spacing w:line="480" w:lineRule="auto" w:before="0" w:after="0"/>
        <w:ind w:firstLine="720"/>
      </w:pPr>
      <w:r>
        <w:rPr>
          <w:rFonts w:ascii="Times New Roman" w:hAnsi="Times New Roman" w:eastAsia="Times New Roman"/>
          <w:sz w:val="24"/>
        </w:rPr>
        <w:t>Workplace harassment has been associated with elevated risk of psychiatric morbidity, voluntary turnover, and reduced labor productivity in industrialized economies (Hershcovis &amp; Barling, 2010; Salin, 2003). In Japan, the Ministry of Health, Labour and Welfare (MHLW) has documented past-three-year power-harassment victimization rates of 32.5% in FY2016, 31.4% in FY2020, and 19.3% in FY2023 (MHLW, 2017, 2021, 2024). The 13.2 percentage-point decline between FY2016 and FY2023 coincides with the staged enforcement of the 2020 Power Harassment Prevention Law, which mandated formal anti-harassment policies, employee-accessible reporting channels, and prohibited retaliation against complainants — first for large enterprises in June 2020, and subsequently extended to small-and-medium enterprises in April 2022. This temporal coincidence has been treated in the policy literature as a natural-experiment-like setting; it provides a substantive backdrop for the present pre-registered analysis, although the present study is observational and not a formal causal inference about the law itself.</w:t>
      </w:r>
    </w:p>
    <w:p>
      <w:pPr>
        <w:spacing w:line="480" w:lineRule="auto" w:before="0" w:after="0"/>
        <w:ind w:firstLine="720"/>
      </w:pPr>
      <w:r>
        <w:rPr>
          <w:rFonts w:ascii="Times New Roman" w:hAnsi="Times New Roman" w:eastAsia="Times New Roman"/>
          <w:sz w:val="24"/>
        </w:rPr>
        <w:t>A long-standing theoretical question in workplace-psychology research concerns the relative explanatory weight of person-level factors — individual personality dispositions associated with harassment perpetration or victimization — versus system-level factors that involve organizational structure, accountability mechanisms, and power asymmetries (Mikkelsen et al., 2020; Salin, 2021). The former framing treats harassment as primarily driven by individual disposition; the latter treats it as primarily driven by environmental affordance. Despite extensive research linking personality traits to bullying and harassment (Nielsen et al., 2017; Pilch &amp; Turska, 2015), the relative population-level magnitude of plausible person-level and system-level intervention contrasts has not been quantitatively compared in a counterfactually formal framework calibrated against prior meta-analytic effect sizes.</w:t>
      </w:r>
    </w:p>
    <w:p>
      <w:pPr>
        <w:spacing w:line="480" w:lineRule="auto" w:before="0" w:after="0"/>
        <w:jc w:val="left"/>
      </w:pPr>
      <w:r>
        <w:rPr>
          <w:rFonts w:ascii="Times New Roman" w:hAnsi="Times New Roman" w:eastAsia="Times New Roman"/>
          <w:b/>
          <w:sz w:val="24"/>
        </w:rPr>
        <w:t>HEXACO 7-typology and its prior connection to workplace harassment</w:t>
      </w:r>
    </w:p>
    <w:p>
      <w:pPr>
        <w:spacing w:line="480" w:lineRule="auto" w:before="0" w:after="0"/>
        <w:ind w:firstLine="720"/>
      </w:pPr>
      <w:r>
        <w:rPr>
          <w:rFonts w:ascii="Times New Roman" w:hAnsi="Times New Roman" w:eastAsia="Times New Roman"/>
          <w:sz w:val="24"/>
        </w:rPr>
        <w:t>The HEXACO model of personality (Ashton &amp; Lee, 2007) extends the classical Big Five framework with an additional dimension, Honesty-Humility (HH), which captures fairness, modesty, sincerity, and resistance to exploiting others. Within the HEXACO literature, low Honesty-Humility, low Agreeableness, and high Emotionality have repeatedly been associated with workplace bullying perpetration and victimization (Glasø et al., 2007; Lee et al., 2013; Linton &amp; Power, 2013; Nielsen et al., 2017). However, the magnitude of these associations is generally modest (uncorrected r typically in the range 0.10–0.30; Nielsen et al., 2017), and recent meta-analyses suggest considerable cross-cultural heterogeneity in workplace bullying acceptability and effect sizes (Power et al., 2013, comparing six continents; Nielsen et al., 2017, reporting attenuated Asia/Oceania effects of r = .16 versus European r = .33 for Neuroticism–bullying associations).</w:t>
      </w:r>
    </w:p>
    <w:p>
      <w:pPr>
        <w:spacing w:line="480" w:lineRule="auto" w:before="0" w:after="0"/>
        <w:ind w:firstLine="720"/>
      </w:pPr>
      <w:r>
        <w:rPr>
          <w:rFonts w:ascii="Times New Roman" w:hAnsi="Times New Roman" w:eastAsia="Times New Roman"/>
          <w:sz w:val="24"/>
        </w:rPr>
        <w:t>In a companion study, the author identified seven robust HEXACO clusters in a Japanese sample of N = 13,668 (Tokiwa, 2026; herein "the centroid study"). The seven typologies — labeled here as types 0 through 6 — span the joint distribution of HEXACO domains and provide a parsimonious taxonomy for categorizing individuals according to their personality profile. The present study leverages these published centroids as fixed parameters for stratifying a smaller harassment-focused subsample (N = 354; Tokiwa, 2025).</w:t>
      </w:r>
    </w:p>
    <w:p>
      <w:pPr>
        <w:spacing w:line="480" w:lineRule="auto" w:before="0" w:after="0"/>
        <w:ind w:firstLine="720"/>
      </w:pPr>
      <w:r>
        <w:rPr>
          <w:rFonts w:ascii="Times New Roman" w:hAnsi="Times New Roman" w:eastAsia="Times New Roman"/>
          <w:b/>
          <w:sz w:val="24"/>
        </w:rPr>
        <w:t>A critical reframing.</w:t>
      </w:r>
      <w:r>
        <w:rPr>
          <w:rFonts w:ascii="Times New Roman" w:hAnsi="Times New Roman" w:eastAsia="Times New Roman"/>
          <w:sz w:val="24"/>
        </w:rPr>
        <w:t xml:space="preserve"> The role of HEXACO in this study is </w:t>
      </w:r>
      <w:r>
        <w:rPr>
          <w:rFonts w:ascii="Times New Roman" w:hAnsi="Times New Roman" w:eastAsia="Times New Roman"/>
          <w:i/>
          <w:sz w:val="24"/>
        </w:rPr>
        <w:t>not</w:t>
      </w:r>
      <w:r>
        <w:rPr>
          <w:rFonts w:ascii="Times New Roman" w:hAnsi="Times New Roman" w:eastAsia="Times New Roman"/>
          <w:sz w:val="24"/>
        </w:rPr>
        <w:t xml:space="preserve"> to identify who should be subjected to personality interventions. Rather, HEXACO 7-typology serves as a </w:t>
      </w:r>
      <w:r>
        <w:rPr>
          <w:rFonts w:ascii="Times New Roman" w:hAnsi="Times New Roman" w:eastAsia="Times New Roman"/>
          <w:i/>
          <w:sz w:val="24"/>
        </w:rPr>
        <w:t>stratification variable</w:t>
      </w:r>
      <w:r>
        <w:rPr>
          <w:rFonts w:ascii="Times New Roman" w:hAnsi="Times New Roman" w:eastAsia="Times New Roman"/>
          <w:sz w:val="24"/>
        </w:rPr>
        <w:t xml:space="preserve"> that identifies which subgroups are differentially exposed to workplace harassment. Whether this differential exposure reflects direct personality causation (low-HH individuals harass or are harassed at higher rates), selection (low-HH individuals self-select into harassment-prone industries), confounding (shared socioeconomic factors elevate both low-HH and harassment risk), or reverse causation (harassment exposure depresses HH scores via cynicism) cannot be distinguished from observational data alone. Our counterfactual analysis is designed to identify which of these mechanisms is </w:t>
      </w:r>
      <w:r>
        <w:rPr>
          <w:rFonts w:ascii="Times New Roman" w:hAnsi="Times New Roman" w:eastAsia="Times New Roman"/>
          <w:i/>
          <w:sz w:val="24"/>
        </w:rPr>
        <w:t>not</w:t>
      </w:r>
      <w:r>
        <w:rPr>
          <w:rFonts w:ascii="Times New Roman" w:hAnsi="Times New Roman" w:eastAsia="Times New Roman"/>
          <w:sz w:val="24"/>
        </w:rPr>
        <w:t xml:space="preserve"> the dominant one — namely, by testing whether shifting individuals' HEXACO scores reduces aggregate prevalence — but is not designed to adjudicate among the remaining alternatives.</w:t>
      </w:r>
    </w:p>
    <w:p>
      <w:pPr>
        <w:spacing w:line="480" w:lineRule="auto" w:before="0" w:after="0"/>
        <w:jc w:val="left"/>
      </w:pPr>
      <w:r>
        <w:rPr>
          <w:rFonts w:ascii="Times New Roman" w:hAnsi="Times New Roman" w:eastAsia="Times New Roman"/>
          <w:b/>
          <w:sz w:val="24"/>
        </w:rPr>
        <w:t>Microsimulation as a methodological bridge</w:t>
      </w:r>
    </w:p>
    <w:p>
      <w:pPr>
        <w:spacing w:line="480" w:lineRule="auto" w:before="0" w:after="0"/>
        <w:ind w:firstLine="720"/>
      </w:pPr>
      <w:r>
        <w:rPr>
          <w:rFonts w:ascii="Times New Roman" w:hAnsi="Times New Roman" w:eastAsia="Times New Roman"/>
          <w:sz w:val="24"/>
        </w:rPr>
        <w:t>Microsimulation methods, originating in demographic and economic policy analysis (Spielauer, 2011) and extended into epidemiology and public health (Rutter et al., 2011), allow researchers to project individual-level data into population-level prevalence estimates under counterfactual scenarios. The methodological strength of microsimulation lies in its ability to combine (a) detailed individual-level inputs, (b) population-level reweighting via official census or labor-force statistics, and (c) explicit counterfactual interventions with causal interpretation. In contrast to purely statistical adjustment or survey reweighting, microsimulation makes the implementation of "what-if" interventions explicit and falsifiable.</w:t>
      </w:r>
    </w:p>
    <w:p>
      <w:pPr>
        <w:spacing w:line="480" w:lineRule="auto" w:before="0" w:after="0"/>
        <w:ind w:firstLine="720"/>
      </w:pPr>
      <w:r>
        <w:rPr>
          <w:rFonts w:ascii="Times New Roman" w:hAnsi="Times New Roman" w:eastAsia="Times New Roman"/>
          <w:sz w:val="24"/>
        </w:rPr>
        <w:t xml:space="preserve">The present study adopts the framework of </w:t>
      </w:r>
      <w:r>
        <w:rPr>
          <w:rFonts w:ascii="Times New Roman" w:hAnsi="Times New Roman" w:eastAsia="Times New Roman"/>
          <w:i/>
          <w:sz w:val="24"/>
        </w:rPr>
        <w:t>target trial emulation</w:t>
      </w:r>
      <w:r>
        <w:rPr>
          <w:rFonts w:ascii="Times New Roman" w:hAnsi="Times New Roman" w:eastAsia="Times New Roman"/>
          <w:sz w:val="24"/>
        </w:rPr>
        <w:t xml:space="preserve"> (Hernán &amp; Robins, 2016, 2020) to formalize the counterfactual interventions of interest. Target trial emulation requires four identifying assumptions: (i) consistency between observed and counterfactual treatments, (ii) exchangeability conditional on measured covariates, (iii) positivity of treatment assignment, and (iv) absence of interference between units (SUTVA; Hudgens &amp; Halloran, 2008). We address each assumption explicitly in the Methods and Discussion.</w:t>
      </w:r>
    </w:p>
    <w:p>
      <w:pPr>
        <w:spacing w:line="480" w:lineRule="auto" w:before="0" w:after="0"/>
        <w:ind w:firstLine="720"/>
      </w:pPr>
      <w:r>
        <w:rPr>
          <w:rFonts w:ascii="Times New Roman" w:hAnsi="Times New Roman" w:eastAsia="Times New Roman"/>
          <w:sz w:val="24"/>
        </w:rPr>
        <w:t>Counterfactual contrasts are formulated using the Pearl (2009) do-operator. Specifically, we define three pre-registered interventions:</w:t>
      </w:r>
    </w:p>
    <w:p>
      <w:pPr>
        <w:pStyle w:val="ListBullet"/>
        <w:spacing w:line="480" w:lineRule="auto" w:before="0" w:after="0"/>
      </w:pPr>
      <w:r>
        <w:rPr>
          <w:rFonts w:ascii="Times New Roman" w:hAnsi="Times New Roman" w:eastAsia="Times New Roman"/>
          <w:sz w:val="24"/>
        </w:rPr>
        <w:t>Counterfactual A (personality intervention): do(HH ← HH + 0.3 σ_HH; A ← A + 0.3 σ_A; E ← E + 0.3 σ_E). The +0.3 SD calibration is derived from the upper bound of effect sizes reported in personality-training meta-analyses (Hudson &amp; Fraley, 2015; Roberts et al., 2017).</w:t>
      </w:r>
    </w:p>
    <w:p>
      <w:pPr>
        <w:pStyle w:val="ListBullet"/>
        <w:spacing w:line="480" w:lineRule="auto" w:before="0" w:after="0"/>
      </w:pPr>
      <w:r>
        <w:rPr>
          <w:rFonts w:ascii="Times New Roman" w:hAnsi="Times New Roman" w:eastAsia="Times New Roman"/>
          <w:sz w:val="24"/>
        </w:rPr>
        <w:t>Counterfactual B (targeted personality intervention on low-prevalence subgroup): do(HH := HH + 0.40 σ_HH) restricted to individuals whose baseline cluster is already in the pre-registered low-prevalence target set {0, 4, 6}; HEXACO scores of all other individuals are unchanged. After the targeted shift, all individuals are re-classified by nearest-centroid on the post-intervention HEXACO matrix and per-cell propensities are re-computed. This intervention represents a subgroup-targeted personality-amplification scenario rather than a forced reassignment of the full sample, and serves as a falsification benchmark for any person-level intervention focused on the lowest-prevalence typologies.</w:t>
      </w:r>
    </w:p>
    <w:p>
      <w:pPr>
        <w:pStyle w:val="ListBullet"/>
        <w:spacing w:line="480" w:lineRule="auto" w:before="0" w:after="0"/>
      </w:pPr>
      <w:r>
        <w:rPr>
          <w:rFonts w:ascii="Times New Roman" w:hAnsi="Times New Roman" w:eastAsia="Times New Roman"/>
          <w:sz w:val="24"/>
        </w:rPr>
        <w:t>Counterfactual C (structural reform): do(P_{c, x = power} ← 0.8 × P_{c, x = power}). Cell-level propensity is reduced by 20% uniformly across all cluster × gender cells, calibrated against three meta-analyses of organizational anti-harassment interventions (Escartín, 2016; Hodgins et al., 2014; Salin, 2021), as well as the empirical −13.2 percentage-point reduction observed in the MHLW survey series between FY2016 and FY2023, spanning the 2020 Power Harassment Prevention Law's staged enforcement.</w:t>
      </w:r>
    </w:p>
    <w:p>
      <w:pPr>
        <w:spacing w:line="480" w:lineRule="auto" w:before="0" w:after="0"/>
        <w:ind w:firstLine="720"/>
      </w:pPr>
      <w:r>
        <w:rPr>
          <w:rFonts w:ascii="Times New Roman" w:hAnsi="Times New Roman" w:eastAsia="Times New Roman"/>
          <w:sz w:val="24"/>
        </w:rPr>
        <w:t xml:space="preserve">The asymmetry between A/B and C — namely, that A and B intervene on personality while C intervenes on the propensity-environment pathway — operationalizes the question: </w:t>
      </w:r>
      <w:r>
        <w:rPr>
          <w:rFonts w:ascii="Times New Roman" w:hAnsi="Times New Roman" w:eastAsia="Times New Roman"/>
          <w:i/>
          <w:sz w:val="24"/>
        </w:rPr>
        <w:t>given comparable effect sizes drawn from prior literature on each intervention type, which produces a larger population-level prevalence reduction?</w:t>
      </w:r>
    </w:p>
    <w:p>
      <w:pPr>
        <w:spacing w:line="480" w:lineRule="auto" w:before="0" w:after="0"/>
        <w:jc w:val="left"/>
      </w:pPr>
      <w:r>
        <w:rPr>
          <w:rFonts w:ascii="Times New Roman" w:hAnsi="Times New Roman" w:eastAsia="Times New Roman"/>
          <w:b/>
          <w:sz w:val="24"/>
        </w:rPr>
        <w:t>Hypotheses</w:t>
      </w:r>
    </w:p>
    <w:p>
      <w:pPr>
        <w:spacing w:line="480" w:lineRule="auto" w:before="0" w:after="0"/>
        <w:ind w:firstLine="720"/>
      </w:pPr>
      <w:r>
        <w:rPr>
          <w:rFonts w:ascii="Times New Roman" w:hAnsi="Times New Roman" w:eastAsia="Times New Roman"/>
          <w:sz w:val="24"/>
        </w:rPr>
        <w:t>The pre-registration (v2.0) specifies seven primary hypotheses:</w:t>
      </w:r>
    </w:p>
    <w:p>
      <w:pPr>
        <w:pStyle w:val="ListBullet"/>
        <w:spacing w:line="480" w:lineRule="auto" w:before="0" w:after="0"/>
      </w:pPr>
      <w:r>
        <w:rPr>
          <w:rFonts w:ascii="Times New Roman" w:hAnsi="Times New Roman" w:eastAsia="Times New Roman"/>
          <w:sz w:val="24"/>
        </w:rPr>
        <w:t>H1 (latent prevalence prediction): The 14-cell HEXACO 7-typology × gender model, when re-weighted using Statistics Bureau (Ministry of Internal Affairs and Communications) Labor Force Survey 2022 marginals, predicts national past-three-year power-harassment prevalence with mean absolute percentage error (MAPE) ≤ 30% relative to MHLW survey targets across FY2016, FY2020, and FY2023 (4-tier judgment hierarchy: Strict SUCCESS, Standard SUCCESS, PARTIAL SUCCESS, FAILURE).</w:t>
      </w:r>
    </w:p>
    <w:p>
      <w:pPr>
        <w:pStyle w:val="ListBullet"/>
        <w:spacing w:line="480" w:lineRule="auto" w:before="0" w:after="0"/>
      </w:pPr>
      <w:r>
        <w:rPr>
          <w:rFonts w:ascii="Times New Roman" w:hAnsi="Times New Roman" w:eastAsia="Times New Roman"/>
          <w:sz w:val="24"/>
        </w:rPr>
        <w:t>H2 (baseline ordinal hierarchy): The progression of model sophistication from B0 (uniform = MHLW grand mean) through B4 (extended with age and age × cluster interactions) shows monotonically improving MAPE_FY2016, tested via Bonferroni-Holm pairwise inequalities and Page's L (1963) trend test.</w:t>
      </w:r>
    </w:p>
    <w:p>
      <w:pPr>
        <w:pStyle w:val="ListBullet"/>
        <w:spacing w:line="480" w:lineRule="auto" w:before="0" w:after="0"/>
      </w:pPr>
      <w:r>
        <w:rPr>
          <w:rFonts w:ascii="Times New Roman" w:hAnsi="Times New Roman" w:eastAsia="Times New Roman"/>
          <w:sz w:val="24"/>
        </w:rPr>
        <w:t>H3 (centroid concordance): The published centroids (Tokiwa, 2026) fitted in the N = 13,668 sample are reproduced within sampling error in the N = 354 subsample (Tokiwa, 2025).</w:t>
      </w:r>
    </w:p>
    <w:p>
      <w:pPr>
        <w:pStyle w:val="ListBullet"/>
        <w:spacing w:line="480" w:lineRule="auto" w:before="0" w:after="0"/>
      </w:pPr>
      <w:r>
        <w:rPr>
          <w:rFonts w:ascii="Times New Roman" w:hAnsi="Times New Roman" w:eastAsia="Times New Roman"/>
          <w:sz w:val="24"/>
        </w:rPr>
        <w:t>H4 (cell-stratified internal consistency): Per-cell propensity estimates p̂_c are stable across alternative bootstrap procedures within each cell.</w:t>
      </w:r>
    </w:p>
    <w:p>
      <w:pPr>
        <w:pStyle w:val="ListBullet"/>
        <w:spacing w:line="480" w:lineRule="auto" w:before="0" w:after="0"/>
      </w:pPr>
      <w:r>
        <w:rPr>
          <w:rFonts w:ascii="Times New Roman" w:hAnsi="Times New Roman" w:eastAsia="Times New Roman"/>
          <w:sz w:val="24"/>
        </w:rPr>
        <w:t>H5 (gender invariance): The HEXACO-harassment association is qualitatively similar across genders (verified via 14-cell vs 28-cell sensitivity).</w:t>
      </w:r>
    </w:p>
    <w:p>
      <w:pPr>
        <w:pStyle w:val="ListBullet"/>
        <w:spacing w:line="480" w:lineRule="auto" w:before="0" w:after="0"/>
      </w:pPr>
      <w:r>
        <w:rPr>
          <w:rFonts w:ascii="Times New Roman" w:hAnsi="Times New Roman" w:eastAsia="Times New Roman"/>
          <w:sz w:val="24"/>
        </w:rPr>
        <w:t>H6 (cross-domain triangulation): Power and gender harassment scales (Tou et al., 2017; Kobayashi &amp; Tanaka, 2010) yield concordant cluster-level rankings.</w:t>
      </w:r>
    </w:p>
    <w:p>
      <w:pPr>
        <w:pStyle w:val="ListBullet"/>
        <w:spacing w:line="480" w:lineRule="auto" w:before="0" w:after="0"/>
      </w:pPr>
      <w:r>
        <w:rPr>
          <w:rFonts w:ascii="Times New Roman" w:hAnsi="Times New Roman" w:eastAsia="Times New Roman"/>
          <w:sz w:val="24"/>
        </w:rPr>
        <w:t>H7 (counterfactual ordering): The pre-registered ordering Δ_BA = ΔP_B − ΔP_A and Δ_BC = ΔP_B − ΔP_C is tested via the Berger and Hsu (1996) intersection-union test (IUT) at one-sided α = .05; the configuration is classified as REVERSAL, CONFIRMED, PARTIAL, or AMBIGUOUS.</w:t>
      </w:r>
    </w:p>
    <w:p>
      <w:pPr>
        <w:spacing w:line="480" w:lineRule="auto" w:before="0" w:after="0"/>
        <w:jc w:val="left"/>
      </w:pPr>
      <w:r>
        <w:rPr>
          <w:rFonts w:ascii="Times New Roman" w:hAnsi="Times New Roman" w:eastAsia="Times New Roman"/>
          <w:b/>
          <w:sz w:val="24"/>
        </w:rPr>
        <w:t>Contribution and roadmap</w:t>
      </w:r>
    </w:p>
    <w:p>
      <w:pPr>
        <w:spacing w:line="480" w:lineRule="auto" w:before="0" w:after="0"/>
        <w:ind w:firstLine="720"/>
      </w:pPr>
      <w:r>
        <w:rPr>
          <w:rFonts w:ascii="Times New Roman" w:hAnsi="Times New Roman" w:eastAsia="Times New Roman"/>
          <w:sz w:val="24"/>
        </w:rPr>
        <w:t>This study makes four scientific contributions:</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Methodological</w:t>
      </w:r>
      <w:r>
        <w:rPr>
          <w:rFonts w:ascii="Times New Roman" w:hAnsi="Times New Roman" w:eastAsia="Times New Roman"/>
          <w:sz w:val="24"/>
        </w:rPr>
        <w:t xml:space="preserve">: It demonstrates an end-to-end pre-registered counterfactual microsimulation pipeline applicable to workplace-harassment research, with full reproducibility (HDF5 artifacts, fixed seed, Docker container, MIT-licensed code; tiered open data, with public aggregate artifacts and IRB-restricted individual-level access via a documented access-request mechanism). Underlying instruments and centroids are described, respectively, in Tokiwa (2025) and Tokiwa (2026); deposit details are provided in Methods (Data availability). 2. </w:t>
      </w:r>
      <w:r>
        <w:rPr>
          <w:rFonts w:ascii="Times New Roman" w:hAnsi="Times New Roman" w:eastAsia="Times New Roman"/>
          <w:b/>
          <w:sz w:val="24"/>
        </w:rPr>
        <w:t>Empirical</w:t>
      </w:r>
      <w:r>
        <w:rPr>
          <w:rFonts w:ascii="Times New Roman" w:hAnsi="Times New Roman" w:eastAsia="Times New Roman"/>
          <w:sz w:val="24"/>
        </w:rPr>
        <w:t xml:space="preserve">: It provides a quantitative apples-to-apples comparison of person-level and system-level intervention contrasts on Japanese workplace-harassment prevalence, with each counterfactual calibrated to effect sizes drawn from prior meta-analyses. 3. </w:t>
      </w:r>
      <w:r>
        <w:rPr>
          <w:rFonts w:ascii="Times New Roman" w:hAnsi="Times New Roman" w:eastAsia="Times New Roman"/>
          <w:b/>
          <w:sz w:val="24"/>
        </w:rPr>
        <w:t>Theoretical</w:t>
      </w:r>
      <w:r>
        <w:rPr>
          <w:rFonts w:ascii="Times New Roman" w:hAnsi="Times New Roman" w:eastAsia="Times New Roman"/>
          <w:sz w:val="24"/>
        </w:rPr>
        <w:t xml:space="preserve">: It tests the implication of treating HEXACO 7-typology as an intervention target versus as a stratification lens, and reports that the data are consistent with the latter reading. This contributes to ongoing discussions in personality and occupational-health psychology about the conditions under which trait-based prediction translates into trait-based intervention. 4. </w:t>
      </w:r>
      <w:r>
        <w:rPr>
          <w:rFonts w:ascii="Times New Roman" w:hAnsi="Times New Roman" w:eastAsia="Times New Roman"/>
          <w:b/>
          <w:sz w:val="24"/>
        </w:rPr>
        <w:t>Substantive</w:t>
      </w:r>
      <w:r>
        <w:rPr>
          <w:rFonts w:ascii="Times New Roman" w:hAnsi="Times New Roman" w:eastAsia="Times New Roman"/>
          <w:sz w:val="24"/>
        </w:rPr>
        <w:t>: It documents a quantitative ordering — the absolute magnitude of the structural-intervention contrast is approximately five-fold larger than that of the personality-intervention contrast — under realistic prior calibrations of each, and traces the robustness of that ordering across nine pre-registered analytic axes and four cultural-attenuation factors.</w:t>
      </w:r>
    </w:p>
    <w:p>
      <w:pPr>
        <w:spacing w:line="480" w:lineRule="auto" w:before="0" w:after="0"/>
        <w:ind w:firstLine="720"/>
      </w:pPr>
      <w:r>
        <w:rPr>
          <w:rFonts w:ascii="Times New Roman" w:hAnsi="Times New Roman" w:eastAsia="Times New Roman"/>
          <w:sz w:val="24"/>
        </w:rPr>
        <w:t>The remainder of this manuscript is organized as follows. Section 2 details the data sources, sample, and pre-registered analytic procedures, and reports the deposit locations and access conditions for code and data. Section 3 reports the 14-cell propensities, national prevalence aggregation, four-tier H1 classification, baseline comparison, sensitivity sweep, and counterfactual contrasts. Section 4 discusses methodological limitations (reduced-form framing, causal under-identification, heterogeneity neglect, static framing), sketches future agent-based extensions, and develops the research implications of the integrated findings.</w:t>
      </w:r>
    </w:p>
    <w:p>
      <w:r>
        <w:br w:type="page"/>
      </w:r>
    </w:p>
    <w:p>
      <w:pPr>
        <w:spacing w:line="480" w:lineRule="auto" w:before="0" w:after="0"/>
        <w:jc w:val="center"/>
      </w:pPr>
      <w:r>
        <w:rPr>
          <w:rFonts w:ascii="Times New Roman" w:hAnsi="Times New Roman" w:eastAsia="Times New Roman"/>
          <w:b/>
          <w:sz w:val="24"/>
        </w:rPr>
        <w:t>Data sources</w:t>
      </w:r>
    </w:p>
    <w:p>
      <w:pPr>
        <w:spacing w:line="480" w:lineRule="auto" w:before="0" w:after="0"/>
        <w:jc w:val="left"/>
      </w:pPr>
      <w:r>
        <w:rPr>
          <w:rFonts w:ascii="Times New Roman" w:hAnsi="Times New Roman" w:eastAsia="Times New Roman"/>
          <w:b/>
          <w:sz w:val="24"/>
        </w:rPr>
        <w:t>Individual-level harassment data (N = 354)</w:t>
      </w:r>
    </w:p>
    <w:p>
      <w:pPr>
        <w:spacing w:line="480" w:lineRule="auto" w:before="0" w:after="0"/>
        <w:ind w:firstLine="720"/>
      </w:pPr>
      <w:r>
        <w:rPr>
          <w:rFonts w:ascii="Times New Roman" w:hAnsi="Times New Roman" w:eastAsia="Times New Roman"/>
          <w:sz w:val="24"/>
        </w:rPr>
        <w:t>We use the Tokiwa harassment preprint dataset (Tokiwa, 2025; IRB-approved), comprising N = 354 Japanese workplace participants who completed the following self-report measures:</w:t>
      </w:r>
    </w:p>
    <w:p>
      <w:pPr>
        <w:pStyle w:val="ListBullet"/>
        <w:spacing w:line="480" w:lineRule="auto" w:before="0" w:after="0"/>
      </w:pPr>
      <w:r>
        <w:rPr>
          <w:rFonts w:ascii="Times New Roman" w:hAnsi="Times New Roman" w:eastAsia="Times New Roman"/>
          <w:sz w:val="24"/>
        </w:rPr>
        <w:t>HEXACO-60 (Wakabayashi, 2014; Japanese adaptation of Ashton &amp; Lee, 2009): 60-item Likert 1-5 scale yielding six domain scores (H, E, X, A, C, O).</w:t>
      </w:r>
    </w:p>
    <w:p>
      <w:pPr>
        <w:pStyle w:val="ListBullet"/>
        <w:spacing w:line="480" w:lineRule="auto" w:before="0" w:after="0"/>
      </w:pPr>
      <w:r>
        <w:rPr>
          <w:rFonts w:ascii="Times New Roman" w:hAnsi="Times New Roman" w:eastAsia="Times New Roman"/>
          <w:sz w:val="24"/>
        </w:rPr>
        <w:t>Dark Triad scales (Machiavellianism, Narcissism, Psychopathy): used in the common-method-variance diagnostic (Stage 5, below) but not in the primary analysis.</w:t>
      </w:r>
    </w:p>
    <w:p>
      <w:pPr>
        <w:pStyle w:val="ListBullet"/>
        <w:spacing w:line="480" w:lineRule="auto" w:before="0" w:after="0"/>
      </w:pPr>
      <w:r>
        <w:rPr>
          <w:rFonts w:ascii="Times New Roman" w:hAnsi="Times New Roman" w:eastAsia="Times New Roman"/>
          <w:sz w:val="24"/>
        </w:rPr>
        <w:t>Workplace Power Harassment Scale (Tou et al., 2017): continuous severity scale measuring past-three-year power-harassment victimization frequency in the participant's workplace.</w:t>
      </w:r>
    </w:p>
    <w:p>
      <w:pPr>
        <w:pStyle w:val="ListBullet"/>
        <w:spacing w:line="480" w:lineRule="auto" w:before="0" w:after="0"/>
      </w:pPr>
      <w:r>
        <w:rPr>
          <w:rFonts w:ascii="Times New Roman" w:hAnsi="Times New Roman" w:eastAsia="Times New Roman"/>
          <w:sz w:val="24"/>
        </w:rPr>
        <w:t>Gender Harassment Scale (Kobayashi &amp; Tanaka, 2010): continuous severity scale; used as triangulation outcome (H6).</w:t>
      </w:r>
    </w:p>
    <w:p>
      <w:pPr>
        <w:pStyle w:val="ListBullet"/>
        <w:spacing w:line="480" w:lineRule="auto" w:before="0" w:after="0"/>
      </w:pPr>
      <w:r>
        <w:rPr>
          <w:rFonts w:ascii="Times New Roman" w:hAnsi="Times New Roman" w:eastAsia="Times New Roman"/>
          <w:sz w:val="24"/>
        </w:rPr>
        <w:t>Demographics: binary self-reported gender (0 = female, 1 = male), age (continuous), prefecture-level region (categorical).</w:t>
      </w:r>
    </w:p>
    <w:p>
      <w:pPr>
        <w:spacing w:line="480" w:lineRule="auto" w:before="0" w:after="0"/>
        <w:jc w:val="left"/>
      </w:pPr>
      <w:r>
        <w:rPr>
          <w:rFonts w:ascii="Times New Roman" w:hAnsi="Times New Roman" w:eastAsia="Times New Roman"/>
          <w:b/>
          <w:sz w:val="24"/>
        </w:rPr>
        <w:t>Cluster centroids (N = 13,668; Tokiwa, 2026)</w:t>
      </w:r>
    </w:p>
    <w:p>
      <w:pPr>
        <w:spacing w:line="480" w:lineRule="auto" w:before="0" w:after="0"/>
        <w:ind w:firstLine="720"/>
      </w:pPr>
      <w:r>
        <w:rPr>
          <w:rFonts w:ascii="Times New Roman" w:hAnsi="Times New Roman" w:eastAsia="Times New Roman"/>
          <w:sz w:val="24"/>
        </w:rPr>
        <w:t xml:space="preserve">Seven HEXACO cluster centroids were taken from the previously published Tokiwa (2026) clustering of N = 13,668 Japanese respondents. Per pre-registration, these centroids are treated as </w:t>
      </w:r>
      <w:r>
        <w:rPr>
          <w:rFonts w:ascii="Times New Roman" w:hAnsi="Times New Roman" w:eastAsia="Times New Roman"/>
          <w:i/>
          <w:sz w:val="24"/>
        </w:rPr>
        <w:t>fixed parameters</w:t>
      </w:r>
      <w:r>
        <w:rPr>
          <w:rFonts w:ascii="Times New Roman" w:hAnsi="Times New Roman" w:eastAsia="Times New Roman"/>
          <w:sz w:val="24"/>
        </w:rPr>
        <w:t>; bootstrap confidence intervals are computed conditional on the centroids and do not propagate centroid-estimation uncertainty. This decision aligns with the inferential target of the present study (causal contrasts within a fixed taxonomy) rather than the joint estimation of the taxonomy itself.</w:t>
      </w:r>
    </w:p>
    <w:p>
      <w:pPr>
        <w:spacing w:line="480" w:lineRule="auto" w:before="0" w:after="0"/>
        <w:jc w:val="left"/>
      </w:pPr>
      <w:r>
        <w:rPr>
          <w:rFonts w:ascii="Times New Roman" w:hAnsi="Times New Roman" w:eastAsia="Times New Roman"/>
          <w:b/>
          <w:sz w:val="24"/>
        </w:rPr>
        <w:t>Population reweighting (Statistics Bureau Labor Force Survey 2022)</w:t>
      </w:r>
    </w:p>
    <w:p>
      <w:pPr>
        <w:spacing w:line="480" w:lineRule="auto" w:before="0" w:after="0"/>
        <w:ind w:firstLine="720"/>
      </w:pPr>
      <w:r>
        <w:rPr>
          <w:rFonts w:ascii="Times New Roman" w:hAnsi="Times New Roman" w:eastAsia="Times New Roman"/>
          <w:sz w:val="24"/>
        </w:rPr>
        <w:t xml:space="preserve">Marginal gender-by-age proportions for the Japanese working population were obtained from the Labor Force Survey Basic Tabulation 2022 Annual Average, published by the Statistics Bureau, Ministry of Internal Affairs and Communications (Statistics Bureau, 2023; PDF retrieved from e-Stat on 2026-04-30 by the investigator and archived at </w:t>
      </w:r>
      <w:r>
        <w:rPr>
          <w:rFonts w:ascii="Times New Roman" w:hAnsi="Times New Roman" w:eastAsia="Times New Roman"/>
          <w:sz w:val="24"/>
        </w:rPr>
        <w:t>simulation/data/</w:t>
      </w:r>
      <w:r>
        <w:rPr>
          <w:rFonts w:ascii="Times New Roman" w:hAnsi="Times New Roman" w:eastAsia="Times New Roman"/>
          <w:sz w:val="24"/>
        </w:rPr>
        <w:t>). We use Table 3 (employed persons by age group) restricted to the employed-persons category, yielding a total of 67.23 million persons with age × gender breakdown {15–64, 65+} × {male, female}. The resulting marginals (F = 0.4498, M = 0.5502) replace the v2.0 Stage 1 placeholder (F = 0.5, M = 0.5).</w:t>
      </w:r>
    </w:p>
    <w:p>
      <w:pPr>
        <w:spacing w:line="480" w:lineRule="auto" w:before="0" w:after="0"/>
        <w:jc w:val="left"/>
      </w:pPr>
      <w:r>
        <w:rPr>
          <w:rFonts w:ascii="Times New Roman" w:hAnsi="Times New Roman" w:eastAsia="Times New Roman"/>
          <w:b/>
          <w:sz w:val="24"/>
        </w:rPr>
        <w:t>MHLW power-harassment victimization targets</w:t>
      </w:r>
    </w:p>
    <w:p>
      <w:pPr>
        <w:spacing w:line="480" w:lineRule="auto" w:before="0" w:after="0"/>
        <w:ind w:firstLine="720"/>
      </w:pPr>
      <w:r>
        <w:rPr>
          <w:rFonts w:ascii="Times New Roman" w:hAnsi="Times New Roman" w:eastAsia="Times New Roman"/>
          <w:sz w:val="24"/>
        </w:rPr>
        <w:t>Past-three-year power-harassment victimization rates from three MHLW Workplace Harassment Surveys (MHLW, 2017, 2021, 2024) serve as external validation targets for H1:</w:t>
      </w:r>
    </w:p>
    <w:p>
      <w:pPr>
        <w:pStyle w:val="ListBullet"/>
        <w:spacing w:line="480" w:lineRule="auto" w:before="0" w:after="0"/>
      </w:pPr>
      <w:r>
        <w:rPr>
          <w:rFonts w:ascii="Times New Roman" w:hAnsi="Times New Roman" w:eastAsia="Times New Roman"/>
          <w:sz w:val="24"/>
        </w:rPr>
        <w:t>FY2016 (32.5%) — pre-law, primary target;</w:t>
      </w:r>
    </w:p>
    <w:p>
      <w:pPr>
        <w:pStyle w:val="ListBullet"/>
        <w:spacing w:line="480" w:lineRule="auto" w:before="0" w:after="0"/>
      </w:pPr>
      <w:r>
        <w:rPr>
          <w:rFonts w:ascii="Times New Roman" w:hAnsi="Times New Roman" w:eastAsia="Times New Roman"/>
          <w:sz w:val="24"/>
        </w:rPr>
        <w:t>FY2020 (31.4%) — transition period, secondary target;</w:t>
      </w:r>
    </w:p>
    <w:p>
      <w:pPr>
        <w:pStyle w:val="ListBullet"/>
        <w:spacing w:line="480" w:lineRule="auto" w:before="0" w:after="0"/>
      </w:pPr>
      <w:r>
        <w:rPr>
          <w:rFonts w:ascii="Times New Roman" w:hAnsi="Times New Roman" w:eastAsia="Times New Roman"/>
          <w:sz w:val="24"/>
        </w:rPr>
        <w:t>FY2023 (19.3%) — post-law, secondary target.</w:t>
      </w:r>
    </w:p>
    <w:p>
      <w:pPr>
        <w:spacing w:line="480" w:lineRule="auto" w:before="0" w:after="0"/>
        <w:jc w:val="center"/>
      </w:pPr>
      <w:r>
        <w:rPr>
          <w:rFonts w:ascii="Times New Roman" w:hAnsi="Times New Roman" w:eastAsia="Times New Roman"/>
          <w:b/>
          <w:sz w:val="24"/>
        </w:rPr>
        <w:t>Pre-registered analytic pipeline</w:t>
      </w:r>
    </w:p>
    <w:p>
      <w:pPr>
        <w:spacing w:line="480" w:lineRule="auto" w:before="0" w:after="0"/>
        <w:ind w:firstLine="720"/>
      </w:pPr>
      <w:r>
        <w:rPr>
          <w:rFonts w:ascii="Times New Roman" w:hAnsi="Times New Roman" w:eastAsia="Times New Roman"/>
          <w:sz w:val="24"/>
        </w:rPr>
        <w:t xml:space="preserve">The pipeline comprises nine stages (0 through 8), each producing a versioned HDF5 artifact under </w:t>
      </w:r>
      <w:r>
        <w:rPr>
          <w:rFonts w:ascii="Times New Roman" w:hAnsi="Times New Roman" w:eastAsia="Times New Roman"/>
          <w:sz w:val="24"/>
        </w:rPr>
        <w:t>output/supplementary/</w:t>
      </w:r>
      <w:r>
        <w:rPr>
          <w:rFonts w:ascii="Times New Roman" w:hAnsi="Times New Roman" w:eastAsia="Times New Roman"/>
          <w:sz w:val="24"/>
        </w:rPr>
        <w:t xml:space="preserve">. Stages 0–2 implement the H1 confirmatory chain; Stages 3–6 implement sensitivity analyses, baseline comparisons, common-method-variance diagnostics, and target trial documentation; Stages 7–8 implement the H7 counterfactual contrasts and transportability sensitivity. Random number streams across stages are isolated via additive seed offsets to ensure independence (see </w:t>
      </w:r>
      <w:r>
        <w:rPr>
          <w:rFonts w:ascii="Times New Roman" w:hAnsi="Times New Roman" w:eastAsia="Times New Roman"/>
          <w:sz w:val="24"/>
        </w:rPr>
        <w:t>code/utils_io.py:make_rng</w:t>
      </w:r>
      <w:r>
        <w:rPr>
          <w:rFonts w:ascii="Times New Roman" w:hAnsi="Times New Roman" w:eastAsia="Times New Roman"/>
          <w:sz w:val="24"/>
        </w:rPr>
        <w:t>).</w:t>
      </w:r>
    </w:p>
    <w:p>
      <w:pPr>
        <w:spacing w:line="480" w:lineRule="auto" w:before="0" w:after="0"/>
        <w:jc w:val="left"/>
      </w:pPr>
      <w:r>
        <w:rPr>
          <w:rFonts w:ascii="Times New Roman" w:hAnsi="Times New Roman" w:eastAsia="Times New Roman"/>
          <w:b/>
          <w:sz w:val="24"/>
        </w:rPr>
        <w:t>Stage 0: Type assignment, cell propensity, and 28-cell empirical Bayes</w:t>
      </w:r>
    </w:p>
    <w:p>
      <w:pPr>
        <w:spacing w:line="480" w:lineRule="auto" w:before="0" w:after="0"/>
        <w:ind w:firstLine="720"/>
      </w:pPr>
      <w:r>
        <w:rPr>
          <w:rFonts w:ascii="Times New Roman" w:hAnsi="Times New Roman" w:eastAsia="Times New Roman"/>
          <w:sz w:val="24"/>
        </w:rPr>
        <w:t>Each individual is assigned to the closest cluster (Euclidean nearest-centroid, primary; soft-assignment with τ ∈ {0.5, 1.0, 2.0} × median nearest-neighbor distance was also computed as a pre-registered sensitivity analysis). Outcomes are binarized at the participant-level mean + 0.5 SD (main; sensitivity at + 0.25 and + 1.0 SD).</w:t>
      </w:r>
    </w:p>
    <w:p>
      <w:pPr>
        <w:spacing w:line="480" w:lineRule="auto" w:before="0" w:after="0"/>
        <w:ind w:firstLine="720"/>
      </w:pPr>
      <w:r>
        <w:rPr>
          <w:rFonts w:ascii="Times New Roman" w:hAnsi="Times New Roman" w:eastAsia="Times New Roman"/>
          <w:sz w:val="24"/>
        </w:rPr>
        <w:t>Per-cell propensity p̂_c = X_c / N_c is computed for each of the 14 cells (7 clusters × 2 genders) for the main analysis, and 28 cells (× 2 roles) for the empirical Bayes sensitivity. The role split for the 28-cell sensitivity is operationalized as the top 15% on a Conscientiousness + 0.5 × eXtraversion composite of HEXACO domain scores (notation: "C + 0.5 × X" where C and X are the HEXACO Conscientiousness and eXtraversion domains, respectively); this composite is exploratory and is included as a robustness probe on the 14-cell main analysis rather than as a confirmatory role-classification step (no published validation of this exact composite for harassment perpetration vs victimization is invoked; the 14-cell results without role stratification remain the headline analysis). Per-cell 95% confidence intervals follow the pre-registered four-step priority cascade:</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Clopper-Pearson</w:t>
      </w:r>
      <w:r>
        <w:rPr>
          <w:rFonts w:ascii="Times New Roman" w:hAnsi="Times New Roman" w:eastAsia="Times New Roman"/>
          <w:sz w:val="24"/>
        </w:rPr>
        <w:t xml:space="preserve"> exact binomial interval for degenerate cells (X_c ∈ {0, N_c}); 2. </w:t>
      </w:r>
      <w:r>
        <w:rPr>
          <w:rFonts w:ascii="Times New Roman" w:hAnsi="Times New Roman" w:eastAsia="Times New Roman"/>
          <w:b/>
          <w:sz w:val="24"/>
        </w:rPr>
        <w:t>BCa</w:t>
      </w:r>
      <w:r>
        <w:rPr>
          <w:rFonts w:ascii="Times New Roman" w:hAnsi="Times New Roman" w:eastAsia="Times New Roman"/>
          <w:sz w:val="24"/>
        </w:rPr>
        <w:t xml:space="preserve"> (Bias-Corrected accelerated; Efron, 1987) with the jackknife acceleration parameter â when |a| ≤ 10; 3. </w:t>
      </w:r>
      <w:r>
        <w:rPr>
          <w:rFonts w:ascii="Times New Roman" w:hAnsi="Times New Roman" w:eastAsia="Times New Roman"/>
          <w:b/>
          <w:sz w:val="24"/>
        </w:rPr>
        <w:t>BC</w:t>
      </w:r>
      <w:r>
        <w:rPr>
          <w:rFonts w:ascii="Times New Roman" w:hAnsi="Times New Roman" w:eastAsia="Times New Roman"/>
          <w:sz w:val="24"/>
        </w:rPr>
        <w:t xml:space="preserve"> (bias-corrected only) when BCa fails or |a| &gt; 10; 4. </w:t>
      </w:r>
      <w:r>
        <w:rPr>
          <w:rFonts w:ascii="Times New Roman" w:hAnsi="Times New Roman" w:eastAsia="Times New Roman"/>
          <w:b/>
          <w:sz w:val="24"/>
        </w:rPr>
        <w:t>Percentile</w:t>
      </w:r>
      <w:r>
        <w:rPr>
          <w:rFonts w:ascii="Times New Roman" w:hAnsi="Times New Roman" w:eastAsia="Times New Roman"/>
          <w:sz w:val="24"/>
        </w:rPr>
        <w:t xml:space="preserve"> as a final fallback.</w:t>
      </w:r>
    </w:p>
    <w:p>
      <w:pPr>
        <w:spacing w:line="480" w:lineRule="auto" w:before="0" w:after="0"/>
        <w:ind w:firstLine="720"/>
      </w:pPr>
      <w:r>
        <w:rPr>
          <w:rFonts w:ascii="Times New Roman" w:hAnsi="Times New Roman" w:eastAsia="Times New Roman"/>
          <w:sz w:val="24"/>
        </w:rPr>
        <w:t>Empirical Bayes shrinkage on 28 cells uses the method-of-moments hyperprior (μ̂, σ̂², α̂, β̂) with three pre-registered rejection triggers: (i) bootstrap-stabilized variance ratio σ̂² / [μ̂(1 − μ̂)] &lt; 0.05; (ii) max(α̂, β̂) &gt; 100; (iii) (α̂ + β̂) / median(N_k) &gt; 5. Per-iteration (α̂, β̂) re-estimation in bootstrap follows Carlin and Louis (2000).</w:t>
      </w:r>
    </w:p>
    <w:p>
      <w:pPr>
        <w:spacing w:line="480" w:lineRule="auto" w:before="0" w:after="0"/>
        <w:jc w:val="left"/>
      </w:pPr>
      <w:r>
        <w:rPr>
          <w:rFonts w:ascii="Times New Roman" w:hAnsi="Times New Roman" w:eastAsia="Times New Roman"/>
          <w:b/>
          <w:sz w:val="24"/>
        </w:rPr>
        <w:t>Stage 1: National prevalence aggregation</w:t>
      </w:r>
    </w:p>
    <w:p>
      <w:pPr>
        <w:spacing w:line="480" w:lineRule="auto" w:before="0" w:after="0"/>
        <w:ind w:firstLine="720"/>
      </w:pPr>
      <w:r>
        <w:rPr>
          <w:rFonts w:ascii="Times New Roman" w:hAnsi="Times New Roman" w:eastAsia="Times New Roman"/>
          <w:sz w:val="24"/>
        </w:rPr>
        <w:t>The national prevalence is computed as the weighted sum P̂_t = Σ_c (p̂_c × W_c) / Σ_c W_c, where W_c is the cluster × gender population weight. Cluster proportions remain at the Tokiwa (2026) values (cluster membership is not measured in the Labour Force Survey, and updating the cluster mass is therefore reserved for future work; this dependency is acknowledged as a pre-registered limitation); only the gender marginal is updated to the 2022 working-population value.</w:t>
      </w:r>
    </w:p>
    <w:p>
      <w:pPr>
        <w:spacing w:line="480" w:lineRule="auto" w:before="0" w:after="0"/>
        <w:jc w:val="left"/>
      </w:pPr>
      <w:r>
        <w:rPr>
          <w:rFonts w:ascii="Times New Roman" w:hAnsi="Times New Roman" w:eastAsia="Times New Roman"/>
          <w:b/>
          <w:sz w:val="24"/>
        </w:rPr>
        <w:t>Stage 2: H1 four-tier classification</w:t>
      </w:r>
    </w:p>
    <w:p>
      <w:pPr>
        <w:spacing w:line="480" w:lineRule="auto" w:before="0" w:after="0"/>
        <w:ind w:firstLine="720"/>
      </w:pPr>
      <w:r>
        <w:rPr>
          <w:rFonts w:ascii="Times New Roman" w:hAnsi="Times New Roman" w:eastAsia="Times New Roman"/>
          <w:sz w:val="24"/>
        </w:rPr>
        <w:t>Per the v2.0 master Section 5.4, the four-tier H1 hierarchy is:</w:t>
      </w:r>
    </w:p>
    <w:p>
      <w:pPr>
        <w:pStyle w:val="ListBullet"/>
        <w:spacing w:line="480" w:lineRule="auto" w:before="0" w:after="0"/>
      </w:pPr>
      <w:r>
        <w:rPr>
          <w:rFonts w:ascii="Times New Roman" w:hAnsi="Times New Roman" w:eastAsia="Times New Roman"/>
          <w:sz w:val="24"/>
        </w:rPr>
        <w:t>Strict SUCCESS: point MAPE_FY2016 ≤ 30% AND CI upper bound ≤ 30%</w:t>
      </w:r>
    </w:p>
    <w:p>
      <w:pPr>
        <w:pStyle w:val="ListBullet"/>
        <w:spacing w:line="480" w:lineRule="auto" w:before="0" w:after="0"/>
      </w:pPr>
      <w:r>
        <w:rPr>
          <w:rFonts w:ascii="Times New Roman" w:hAnsi="Times New Roman" w:eastAsia="Times New Roman"/>
          <w:sz w:val="24"/>
        </w:rPr>
        <w:t>Standard SUCCESS: point MAPE ≤ 30% (CI upper bound &gt; 30% permitted)</w:t>
      </w:r>
    </w:p>
    <w:p>
      <w:pPr>
        <w:pStyle w:val="ListBullet"/>
        <w:spacing w:line="480" w:lineRule="auto" w:before="0" w:after="0"/>
      </w:pPr>
      <w:r>
        <w:rPr>
          <w:rFonts w:ascii="Times New Roman" w:hAnsi="Times New Roman" w:eastAsia="Times New Roman"/>
          <w:sz w:val="24"/>
        </w:rPr>
        <w:t>PARTIAL SUCCESS: 30% &lt; point MAPE ≤ 60%</w:t>
      </w:r>
    </w:p>
    <w:p>
      <w:pPr>
        <w:pStyle w:val="ListBullet"/>
        <w:spacing w:line="480" w:lineRule="auto" w:before="0" w:after="0"/>
      </w:pPr>
      <w:r>
        <w:rPr>
          <w:rFonts w:ascii="Times New Roman" w:hAnsi="Times New Roman" w:eastAsia="Times New Roman"/>
          <w:sz w:val="24"/>
        </w:rPr>
        <w:t>FAILURE: point MAPE &gt; 60%</w:t>
      </w:r>
    </w:p>
    <w:p>
      <w:pPr>
        <w:spacing w:line="480" w:lineRule="auto" w:before="0" w:after="0"/>
        <w:ind w:firstLine="720"/>
      </w:pPr>
      <w:r>
        <w:rPr>
          <w:rFonts w:ascii="Times New Roman" w:hAnsi="Times New Roman" w:eastAsia="Times New Roman"/>
          <w:sz w:val="24"/>
        </w:rPr>
        <w:t>Per the pre-registered headline-bootstrap rule, the national MAPE bootstrap uses B = 10,000; per-cell bootstrap remains at B = 2,000.</w:t>
      </w:r>
    </w:p>
    <w:p>
      <w:pPr>
        <w:spacing w:line="480" w:lineRule="auto" w:before="0" w:after="0"/>
        <w:jc w:val="left"/>
      </w:pPr>
      <w:r>
        <w:rPr>
          <w:rFonts w:ascii="Times New Roman" w:hAnsi="Times New Roman" w:eastAsia="Times New Roman"/>
          <w:b/>
          <w:sz w:val="24"/>
        </w:rPr>
        <w:t>Stage 3: Sensitivity sweep</w:t>
      </w:r>
    </w:p>
    <w:p>
      <w:pPr>
        <w:spacing w:line="480" w:lineRule="auto" w:before="0" w:after="0"/>
        <w:ind w:firstLine="720"/>
      </w:pPr>
      <w:r>
        <w:rPr>
          <w:rFonts w:ascii="Times New Roman" w:hAnsi="Times New Roman" w:eastAsia="Times New Roman"/>
          <w:sz w:val="24"/>
        </w:rPr>
        <w:t>A one-at-a-time (OAT) sensitivity sweep around the locked main configuration is computed over four parameter families with B = 2,000 per row:</w:t>
      </w:r>
    </w:p>
    <w:p>
      <w:pPr>
        <w:spacing w:line="480" w:lineRule="auto" w:before="0" w:after="0"/>
        <w:ind w:firstLine="720"/>
      </w:pPr>
      <w:r>
        <w:rPr>
          <w:rFonts w:ascii="Times New Roman" w:hAnsi="Times New Roman" w:eastAsia="Times New Roman"/>
          <w:sz w:val="24"/>
        </w:rPr>
        <w:t>1. Binarization threshold ∈ {mean + 0.25 SD, mean + 0.5 SD (main), mean + 1.0 SD}; 2. Soft-assignment τ factor ∈ {0.5, 1.0, 2.0} × median NN distance; 3. Empirical Bayes shrinkage scale ∈ {0.5×, 1.0× (main), 2.0×} prior pseudocount; 4. Cluster-proportion mass shift ∈ {−0.10, 0.0 (main), +0.10} (proxy for cluster-mass uncertainty under the pre-registered sensitivity specification; the full Cartesian sweep is deferred to follow-up work due to combinatorial cost).</w:t>
      </w:r>
    </w:p>
    <w:p>
      <w:pPr>
        <w:spacing w:line="480" w:lineRule="auto" w:before="0" w:after="0"/>
        <w:jc w:val="left"/>
      </w:pPr>
      <w:r>
        <w:rPr>
          <w:rFonts w:ascii="Times New Roman" w:hAnsi="Times New Roman" w:eastAsia="Times New Roman"/>
          <w:b/>
          <w:sz w:val="24"/>
        </w:rPr>
        <w:t>Stage 4: Baseline comparison and H2 ordinal trend</w:t>
      </w:r>
    </w:p>
    <w:p>
      <w:pPr>
        <w:spacing w:line="480" w:lineRule="auto" w:before="0" w:after="0"/>
        <w:ind w:firstLine="720"/>
      </w:pPr>
      <w:r>
        <w:rPr>
          <w:rFonts w:ascii="Times New Roman" w:hAnsi="Times New Roman" w:eastAsia="Times New Roman"/>
          <w:sz w:val="24"/>
        </w:rPr>
        <w:t>Five baselines (B0–B4) of increasing sophistication are compared via cell-stratified bootstrap MAPE_FY2016:</w:t>
      </w:r>
    </w:p>
    <w:p>
      <w:pPr>
        <w:pStyle w:val="ListBullet"/>
        <w:spacing w:line="480" w:lineRule="auto" w:before="0" w:after="0"/>
      </w:pPr>
      <w:r>
        <w:rPr>
          <w:rFonts w:ascii="Times New Roman" w:hAnsi="Times New Roman" w:eastAsia="Times New Roman"/>
          <w:sz w:val="24"/>
        </w:rPr>
        <w:t>B0: predicts MHLW grand mean (uniform);</w:t>
      </w:r>
    </w:p>
    <w:p>
      <w:pPr>
        <w:pStyle w:val="ListBullet"/>
        <w:spacing w:line="480" w:lineRule="auto" w:before="0" w:after="0"/>
      </w:pPr>
      <w:r>
        <w:rPr>
          <w:rFonts w:ascii="Times New Roman" w:hAnsi="Times New Roman" w:eastAsia="Times New Roman"/>
          <w:sz w:val="24"/>
        </w:rPr>
        <w:t>B1: gender-only logistic regression;</w:t>
      </w:r>
    </w:p>
    <w:p>
      <w:pPr>
        <w:pStyle w:val="ListBullet"/>
        <w:spacing w:line="480" w:lineRule="auto" w:before="0" w:after="0"/>
      </w:pPr>
      <w:r>
        <w:rPr>
          <w:rFonts w:ascii="Times New Roman" w:hAnsi="Times New Roman" w:eastAsia="Times New Roman"/>
          <w:sz w:val="24"/>
        </w:rPr>
        <w:t>B2: HEXACO 6-domain logistic regression;</w:t>
      </w:r>
    </w:p>
    <w:p>
      <w:pPr>
        <w:pStyle w:val="ListBullet"/>
        <w:spacing w:line="480" w:lineRule="auto" w:before="0" w:after="0"/>
      </w:pPr>
      <w:r>
        <w:rPr>
          <w:rFonts w:ascii="Times New Roman" w:hAnsi="Times New Roman" w:eastAsia="Times New Roman"/>
          <w:sz w:val="24"/>
        </w:rPr>
        <w:t>B3: 14-cell conditional propensity (the main pipeline);</w:t>
      </w:r>
    </w:p>
    <w:p>
      <w:pPr>
        <w:pStyle w:val="ListBullet"/>
        <w:spacing w:line="480" w:lineRule="auto" w:before="0" w:after="0"/>
      </w:pPr>
      <w:r>
        <w:rPr>
          <w:rFonts w:ascii="Times New Roman" w:hAnsi="Times New Roman" w:eastAsia="Times New Roman"/>
          <w:sz w:val="24"/>
        </w:rPr>
        <w:t>B4: extended with age and age × cluster interactions (industry breakdown deferred to follow-up under the cluster-proportion limitation discussed in §Data availability).</w:t>
      </w:r>
    </w:p>
    <w:p>
      <w:pPr>
        <w:spacing w:line="480" w:lineRule="auto" w:before="0" w:after="0"/>
        <w:ind w:firstLine="720"/>
      </w:pPr>
      <w:r>
        <w:rPr>
          <w:rFonts w:ascii="Times New Roman" w:hAnsi="Times New Roman" w:eastAsia="Times New Roman"/>
          <w:sz w:val="24"/>
        </w:rPr>
        <w:t>H2 is tested via the Bonferroni-Holm-corrected family of pairwise inequalities (B0–B1, B1–B2, B2–B3, B3–B4) with a one-sided α = 0.05; Page's L (1963) ordinal trend test is reported as a pre-registered auxiliary statistic.</w:t>
      </w:r>
    </w:p>
    <w:p>
      <w:pPr>
        <w:spacing w:line="480" w:lineRule="auto" w:before="0" w:after="0"/>
        <w:jc w:val="left"/>
      </w:pPr>
      <w:r>
        <w:rPr>
          <w:rFonts w:ascii="Times New Roman" w:hAnsi="Times New Roman" w:eastAsia="Times New Roman"/>
          <w:b/>
          <w:sz w:val="24"/>
        </w:rPr>
        <w:t>Stage 5: Common-method-variance diagnostic</w:t>
      </w:r>
    </w:p>
    <w:p>
      <w:pPr>
        <w:spacing w:line="480" w:lineRule="auto" w:before="0" w:after="0"/>
        <w:ind w:firstLine="720"/>
      </w:pPr>
      <w:r>
        <w:rPr>
          <w:rFonts w:ascii="Times New Roman" w:hAnsi="Times New Roman" w:eastAsia="Times New Roman"/>
          <w:sz w:val="24"/>
        </w:rPr>
        <w:t>CMV is assessed via Harman's single-factor test (Podsakoff et al., 2003) on 11 standardized variables (6 HEXACO domains + 3 Dark Triad + 2 harassment continuous scales) using PCA on standardized inputs after listwise deletion. The 50% first-factor variance threshold demarcates "limited concern" from "concern present." The Lindell and Whitney (2001) marker-variable correction uses HEXACO Openness as the theoretical marker, given its weak theoretical link to harassment outcomes relative to HH/A/E.</w:t>
      </w:r>
    </w:p>
    <w:p>
      <w:pPr>
        <w:spacing w:line="480" w:lineRule="auto" w:before="0" w:after="0"/>
        <w:jc w:val="left"/>
      </w:pPr>
      <w:r>
        <w:rPr>
          <w:rFonts w:ascii="Times New Roman" w:hAnsi="Times New Roman" w:eastAsia="Times New Roman"/>
          <w:b/>
          <w:sz w:val="24"/>
        </w:rPr>
        <w:t>Stage 6: Target trial PICO documentation</w:t>
      </w:r>
    </w:p>
    <w:p>
      <w:pPr>
        <w:spacing w:line="480" w:lineRule="auto" w:before="0" w:after="0"/>
        <w:ind w:firstLine="720"/>
      </w:pPr>
      <w:r>
        <w:rPr>
          <w:rFonts w:ascii="Times New Roman" w:hAnsi="Times New Roman" w:eastAsia="Times New Roman"/>
          <w:sz w:val="24"/>
        </w:rPr>
        <w:t>Stage 6 produces a metadata-only artifact documenting the target trial (Hernán &amp; Robins, 2016, 2020) PICO and four identifying assumptions: consistency, exchangeability, positivity, and SUTVA (strengthened with the Hudgens and Halloran (2008) peer-effect framework, per pre-registration).</w:t>
      </w:r>
    </w:p>
    <w:p>
      <w:pPr>
        <w:spacing w:line="480" w:lineRule="auto" w:before="0" w:after="0"/>
        <w:jc w:val="left"/>
      </w:pPr>
      <w:r>
        <w:rPr>
          <w:rFonts w:ascii="Times New Roman" w:hAnsi="Times New Roman" w:eastAsia="Times New Roman"/>
          <w:b/>
          <w:sz w:val="24"/>
        </w:rPr>
        <w:t>Stage 7: Counterfactual ΔP_A, ΔP_B, ΔP_C and H7 IUT</w:t>
      </w:r>
    </w:p>
    <w:p>
      <w:pPr>
        <w:spacing w:line="480" w:lineRule="auto" w:before="0" w:after="0"/>
        <w:ind w:firstLine="720"/>
      </w:pPr>
      <w:r>
        <w:rPr>
          <w:rFonts w:ascii="Times New Roman" w:hAnsi="Times New Roman" w:eastAsia="Times New Roman"/>
          <w:sz w:val="24"/>
        </w:rPr>
        <w:t>Counterfactual A applies a +0.3 SD shift to HEXACO H, A, and E for every individual, recomputes nearest-centroid cluster membership, recomputes per-cell propensity, re-aggregates via Stage 1 weights, and produces ΔP_A as the per-bootstrap difference between counterfactual and baseline national prevalence. Per the pre-registered positivity criterion, positivity is quantitatively diagnosed via the cell-level ratio ρ_{c, x = A} = (counterfactual cell N) / (observed cell N); cells with ρ &lt; 0.10 are flagged, and the intervention is downgraded from confirmatory to exploratory if flagged_weight ≥ 20%.</w:t>
      </w:r>
    </w:p>
    <w:p>
      <w:pPr>
        <w:spacing w:line="480" w:lineRule="auto" w:before="0" w:after="0"/>
        <w:ind w:firstLine="720"/>
      </w:pPr>
      <w:r>
        <w:rPr>
          <w:rFonts w:ascii="Times New Roman" w:hAnsi="Times New Roman" w:eastAsia="Times New Roman"/>
          <w:sz w:val="24"/>
        </w:rPr>
        <w:t xml:space="preserve">Counterfactual B applies a +0.40 SD shift in Honesty-Humility </w:t>
      </w:r>
      <w:r>
        <w:rPr>
          <w:rFonts w:ascii="Times New Roman" w:hAnsi="Times New Roman" w:eastAsia="Times New Roman"/>
          <w:b/>
          <w:sz w:val="24"/>
        </w:rPr>
        <w:t>only to individuals whose baseline nearest-centroid cluster is already in the pre-registered low-prevalence target set {0, 4, 6}</w:t>
      </w:r>
      <w:r>
        <w:rPr>
          <w:rFonts w:ascii="Times New Roman" w:hAnsi="Times New Roman" w:eastAsia="Times New Roman"/>
          <w:sz w:val="24"/>
        </w:rPr>
        <w:t>, leaving all other individuals' HEXACO scores unchanged. Following the targeted shift, all individuals are re-classified by nearest-centroid on the post-intervention HEXACO matrix, per-cell propensities are re-computed from the realized binary outcomes within the new cell assignments, and ΔP_B is reported per-bootstrap as the difference between counterfactual and baseline national prevalence. This operationalization matches the pre-registered specification "HH := HH + δ_B × SD(HH) for individuals in Cluster ∈ {0, 4, 6}" and follows Pearl's (2009) do-operator notation, which formalizes the targeted indicator "if i ∈ Cluster {0, 4, 6}; HH_i otherwise". Positivity is computed via ρ_{c, B} = (count of individuals reassigned into target Cluster c after the shift) / (count of individuals in target Cluster c at baseline) and is downgraded by the same positivity rule as Counterfactual A.</w:t>
      </w:r>
    </w:p>
    <w:p>
      <w:pPr>
        <w:spacing w:line="480" w:lineRule="auto" w:before="0" w:after="0"/>
        <w:ind w:firstLine="720"/>
      </w:pPr>
      <w:r>
        <w:rPr>
          <w:rFonts w:ascii="Times New Roman" w:hAnsi="Times New Roman" w:eastAsia="Times New Roman"/>
          <w:sz w:val="24"/>
        </w:rPr>
        <w:t>Counterfactual C multiplies cell-level propensity by 0.80 uniformly across all cells while leaving HEXACO scores unchanged. The 20% reduction is calibrated against three meta-analyses (Escartín, 2016; Hodgins et al., 2014; Salin, 2021) and the MHLW FY2016–FY2023 natural experiment (32.5% → 19.3%; −13.2 pp ≈ −40.6% relative). Positivity for C is trivially preserved (ρ ≡ 1) per pre-registration.</w:t>
      </w:r>
    </w:p>
    <w:p>
      <w:pPr>
        <w:spacing w:line="480" w:lineRule="auto" w:before="0" w:after="0"/>
        <w:ind w:firstLine="720"/>
      </w:pPr>
      <w:r>
        <w:rPr>
          <w:rFonts w:ascii="Times New Roman" w:hAnsi="Times New Roman" w:eastAsia="Times New Roman"/>
          <w:sz w:val="24"/>
        </w:rPr>
        <w:t>The H7 intersection-union test (Berger &amp; Hsu, 1996) computes one-sided 95% lower bounds L_BA and L_BC for ΔP_B − ΔP_A and ΔP_B − ΔP_C, respectively, with bootstrap-resampled cell data (B = 2,000). The configuration is classified per the pre-registered priority cascade:</w:t>
      </w:r>
    </w:p>
    <w:p>
      <w:pPr>
        <w:pStyle w:val="ListBullet"/>
        <w:spacing w:line="480" w:lineRule="auto" w:before="0" w:after="0"/>
      </w:pPr>
      <w:r>
        <w:rPr>
          <w:rFonts w:ascii="Times New Roman" w:hAnsi="Times New Roman" w:eastAsia="Times New Roman"/>
          <w:sz w:val="24"/>
        </w:rPr>
        <w:t>REVERSAL (priority 1): point ΔP_B &lt; point ΔP_A OR point ΔP_B &lt; point ΔP_C (B is dominated by A or C in point estimate, indicating that the pre-registered hypothesis ordering ΔP_B &gt; {ΔP_A, ΔP_C} is reversed);</w:t>
      </w:r>
    </w:p>
    <w:p>
      <w:pPr>
        <w:pStyle w:val="ListBullet"/>
        <w:spacing w:line="480" w:lineRule="auto" w:before="0" w:after="0"/>
      </w:pPr>
      <w:r>
        <w:rPr>
          <w:rFonts w:ascii="Times New Roman" w:hAnsi="Times New Roman" w:eastAsia="Times New Roman"/>
          <w:sz w:val="24"/>
        </w:rPr>
        <w:t>CONFIRMED: L_BA &gt; 0 AND L_BC &gt; 0 (B dominates both A and C in CI lower bound);</w:t>
      </w:r>
    </w:p>
    <w:p>
      <w:pPr>
        <w:pStyle w:val="ListBullet"/>
        <w:spacing w:line="480" w:lineRule="auto" w:before="0" w:after="0"/>
      </w:pPr>
      <w:r>
        <w:rPr>
          <w:rFonts w:ascii="Times New Roman" w:hAnsi="Times New Roman" w:eastAsia="Times New Roman"/>
          <w:sz w:val="24"/>
        </w:rPr>
        <w:t>PARTIAL: exactly one of L_BA, L_BC &gt; 0;</w:t>
      </w:r>
    </w:p>
    <w:p>
      <w:pPr>
        <w:pStyle w:val="ListBullet"/>
        <w:spacing w:line="480" w:lineRule="auto" w:before="0" w:after="0"/>
      </w:pPr>
      <w:r>
        <w:rPr>
          <w:rFonts w:ascii="Times New Roman" w:hAnsi="Times New Roman" w:eastAsia="Times New Roman"/>
          <w:sz w:val="24"/>
        </w:rPr>
        <w:t>AMBIGUOUS: neither lower bound &gt; 0 (CIs allow zero or reversal).</w:t>
      </w:r>
    </w:p>
    <w:p>
      <w:pPr>
        <w:spacing w:line="480" w:lineRule="auto" w:before="0" w:after="0"/>
        <w:jc w:val="left"/>
      </w:pPr>
      <w:r>
        <w:rPr>
          <w:rFonts w:ascii="Times New Roman" w:hAnsi="Times New Roman" w:eastAsia="Times New Roman"/>
          <w:b/>
          <w:sz w:val="24"/>
        </w:rPr>
        <w:t>Stage 8: Transportability factor sweep</w:t>
      </w:r>
    </w:p>
    <w:p>
      <w:pPr>
        <w:spacing w:line="480" w:lineRule="auto" w:before="0" w:after="0"/>
        <w:ind w:firstLine="720"/>
      </w:pPr>
      <w:r>
        <w:rPr>
          <w:rFonts w:ascii="Times New Roman" w:hAnsi="Times New Roman" w:eastAsia="Times New Roman"/>
          <w:sz w:val="24"/>
        </w:rPr>
        <w:t>Per the pre-registered cultural-attenuation sweep, the bootstrap distribution of each ΔP_x is multiplied by a transportability factor F ∈ {0.3, 0.5, 0.7, 1.0}, anchored as:</w:t>
      </w:r>
    </w:p>
    <w:p>
      <w:pPr>
        <w:pStyle w:val="ListBullet"/>
        <w:spacing w:line="480" w:lineRule="auto" w:before="0" w:after="0"/>
      </w:pPr>
      <w:r>
        <w:rPr>
          <w:rFonts w:ascii="Times New Roman" w:hAnsi="Times New Roman" w:eastAsia="Times New Roman"/>
          <w:sz w:val="24"/>
        </w:rPr>
        <w:t>F = 0.3: Conservative cross-cultural attenuation (worst-case anchor; supported by Power et al. 2013 cross-continent variability findings);</w:t>
      </w:r>
    </w:p>
    <w:p>
      <w:pPr>
        <w:pStyle w:val="ListBullet"/>
        <w:spacing w:line="480" w:lineRule="auto" w:before="0" w:after="0"/>
      </w:pPr>
      <w:r>
        <w:rPr>
          <w:rFonts w:ascii="Times New Roman" w:hAnsi="Times New Roman" w:eastAsia="Times New Roman"/>
          <w:sz w:val="24"/>
        </w:rPr>
        <w:t>F = 0.5: Nielsen et al. (2017) Asia/Oceania attenuation expected (r = .16 vs European r = .33);</w:t>
      </w:r>
    </w:p>
    <w:p>
      <w:pPr>
        <w:pStyle w:val="ListBullet"/>
        <w:spacing w:line="480" w:lineRule="auto" w:before="0" w:after="0"/>
      </w:pPr>
      <w:r>
        <w:rPr>
          <w:rFonts w:ascii="Times New Roman" w:hAnsi="Times New Roman" w:eastAsia="Times New Roman"/>
          <w:sz w:val="24"/>
        </w:rPr>
        <w:t>F = 0.7: Mild attenuation (intermediate);</w:t>
      </w:r>
    </w:p>
    <w:p>
      <w:pPr>
        <w:pStyle w:val="ListBullet"/>
        <w:spacing w:line="480" w:lineRule="auto" w:before="0" w:after="0"/>
      </w:pPr>
      <w:r>
        <w:rPr>
          <w:rFonts w:ascii="Times New Roman" w:hAnsi="Times New Roman" w:eastAsia="Times New Roman"/>
          <w:sz w:val="24"/>
        </w:rPr>
        <w:t>F = 1.0: Reference (no attenuation).</w:t>
      </w:r>
    </w:p>
    <w:p>
      <w:pPr>
        <w:spacing w:line="480" w:lineRule="auto" w:before="0" w:after="0"/>
        <w:ind w:firstLine="720"/>
      </w:pPr>
      <w:r>
        <w:rPr>
          <w:rFonts w:ascii="Times New Roman" w:hAnsi="Times New Roman" w:eastAsia="Times New Roman"/>
          <w:sz w:val="24"/>
        </w:rPr>
        <w:t>H7 is re-classified per attenuated factor to verify robustness.</w:t>
      </w:r>
    </w:p>
    <w:p>
      <w:pPr>
        <w:spacing w:line="480" w:lineRule="auto" w:before="0" w:after="0"/>
        <w:jc w:val="center"/>
      </w:pPr>
      <w:r>
        <w:rPr>
          <w:rFonts w:ascii="Times New Roman" w:hAnsi="Times New Roman" w:eastAsia="Times New Roman"/>
          <w:b/>
          <w:sz w:val="24"/>
        </w:rPr>
        <w:t>Reproducibility</w:t>
      </w:r>
    </w:p>
    <w:p>
      <w:pPr>
        <w:spacing w:line="480" w:lineRule="auto" w:before="0" w:after="0"/>
        <w:ind w:firstLine="720"/>
      </w:pPr>
      <w:r>
        <w:rPr>
          <w:rFonts w:ascii="Times New Roman" w:hAnsi="Times New Roman" w:eastAsia="Times New Roman"/>
          <w:sz w:val="24"/>
        </w:rPr>
        <w:t xml:space="preserve">All stochastic operations use a fixed random seed. HDF5 artifacts at each stage include the seed, the pre-registration version identifier, the OSF DOI, and stage-specific provenance metadata as root-level attributes, enabling full audit-trail reconstruction. Verification hashes for all artifacts are computed via the project's verification script and compared against the committed reference-hash registry. A Docker container and a </w:t>
      </w:r>
      <w:r>
        <w:rPr>
          <w:rFonts w:ascii="Times New Roman" w:hAnsi="Times New Roman" w:eastAsia="Times New Roman"/>
          <w:sz w:val="24"/>
        </w:rPr>
        <w:t>reproduce</w:t>
      </w:r>
      <w:r>
        <w:rPr>
          <w:rFonts w:ascii="Times New Roman" w:hAnsi="Times New Roman" w:eastAsia="Times New Roman"/>
          <w:sz w:val="24"/>
        </w:rPr>
        <w:t xml:space="preserve"> Makefile target encapsulate the full pipeline. A 56-test pytest suite (including the loader tests for the Statistics Bureau Labour Force Survey data activated under Phase 1) guards against regression in core utilities.</w:t>
      </w:r>
    </w:p>
    <w:p>
      <w:pPr>
        <w:spacing w:line="480" w:lineRule="auto" w:before="0" w:after="0"/>
        <w:jc w:val="center"/>
      </w:pPr>
      <w:r>
        <w:rPr>
          <w:rFonts w:ascii="Times New Roman" w:hAnsi="Times New Roman" w:eastAsia="Times New Roman"/>
          <w:b/>
          <w:sz w:val="24"/>
        </w:rPr>
        <w:t>Software and statistical environment</w:t>
      </w:r>
    </w:p>
    <w:p>
      <w:pPr>
        <w:spacing w:line="480" w:lineRule="auto" w:before="0" w:after="0"/>
        <w:ind w:firstLine="720"/>
      </w:pPr>
      <w:r>
        <w:rPr>
          <w:rFonts w:ascii="Times New Roman" w:hAnsi="Times New Roman" w:eastAsia="Times New Roman"/>
          <w:sz w:val="24"/>
        </w:rPr>
        <w:t xml:space="preserve">Analysis was conducted in Python 3.11.15 using NumPy 2.x, SciPy 1.x, pandas 2.x, scikit-learn 1.x, h5py 3.x, and statsmodels 0.14.x (full pinned versions in the project's </w:t>
      </w:r>
      <w:r>
        <w:rPr>
          <w:rFonts w:ascii="Times New Roman" w:hAnsi="Times New Roman" w:eastAsia="Times New Roman"/>
          <w:sz w:val="24"/>
        </w:rPr>
        <w:t>pyproject.toml</w:t>
      </w:r>
      <w:r>
        <w:rPr>
          <w:rFonts w:ascii="Times New Roman" w:hAnsi="Times New Roman" w:eastAsia="Times New Roman"/>
          <w:sz w:val="24"/>
        </w:rPr>
        <w:t>). All code is publicly available under MIT license at the project's GitHub repository and archived at OSF (DOI 10.17605/OSF.IO/3Y54U). The pre-registration is locked at OSF (DOI 10.17605/OSF.IO/3Y54U), and the v1.1 → v2.0 public diff document and v2.0 Methods Clarifications Log are hosted alongside the registration.</w:t>
      </w:r>
    </w:p>
    <w:p>
      <w:pPr>
        <w:spacing w:line="480" w:lineRule="auto" w:before="0" w:after="0"/>
        <w:jc w:val="center"/>
      </w:pPr>
      <w:r>
        <w:rPr>
          <w:rFonts w:ascii="Times New Roman" w:hAnsi="Times New Roman" w:eastAsia="Times New Roman"/>
          <w:b/>
          <w:sz w:val="24"/>
        </w:rPr>
        <w:t>Data availability</w:t>
      </w:r>
    </w:p>
    <w:p>
      <w:pPr>
        <w:spacing w:line="480" w:lineRule="auto" w:before="0" w:after="0"/>
        <w:ind w:firstLine="720"/>
      </w:pPr>
      <w:r>
        <w:rPr>
          <w:rFonts w:ascii="Times New Roman" w:hAnsi="Times New Roman" w:eastAsia="Times New Roman"/>
          <w:sz w:val="24"/>
        </w:rPr>
        <w:t>This study's data and reproducibility artifacts are deposited on a tiered basis:</w:t>
      </w:r>
    </w:p>
    <w:p>
      <w:pPr>
        <w:pStyle w:val="ListBullet"/>
        <w:spacing w:line="480" w:lineRule="auto" w:before="0" w:after="0"/>
      </w:pPr>
      <w:r>
        <w:rPr>
          <w:rFonts w:ascii="Times New Roman" w:hAnsi="Times New Roman" w:eastAsia="Times New Roman"/>
          <w:sz w:val="24"/>
        </w:rPr>
        <w:t>Public tier (no access request required): Stage 0–8 supplementary HDF5 artifacts, Figures 1–6 (PNG/PDF/SVG), the canonical numerical record (canonical_numbers.md), and SHA-256 reference hashes (reference_hashes.json) are openly available at the OSF v2.0 working project (osf.io/3hxz6) under v2.0/v2.0_supplementary.tar.gz, and reproducible from source via make reproduce on the GitHub repository.</w:t>
      </w:r>
    </w:p>
    <w:p>
      <w:pPr>
        <w:pStyle w:val="ListBullet"/>
        <w:spacing w:line="480" w:lineRule="auto" w:before="0" w:after="0"/>
      </w:pPr>
      <w:r>
        <w:rPr>
          <w:rFonts w:ascii="Times New Roman" w:hAnsi="Times New Roman" w:eastAsia="Times New Roman"/>
          <w:sz w:val="24"/>
        </w:rPr>
        <w:t>Restricted tier (IRB-approved access request): The N = 354 individual-level harassment dataset is hosted in a Private OSF component (v2.0 IRB-Restricted Individual Data) linked from the v2.0 working project. The parent project's public Wiki at https://osf.io/3hxz6/wiki/home/ documents the four data-use terms (research-purpose-bounded use; non-redistribution; required citation of Tokiwa, 2025, and the v2.0 OSF DOI; IRB acknowledgement) and the request procedure (click "Request access" on the Component page; provide institutional affiliation, IRB approval ID, and intended research use). Approved requesters are added as read-only contributors within 14 days. Methodological details of the underlying survey are reported in Tokiwa (2025).</w:t>
      </w:r>
    </w:p>
    <w:p>
      <w:pPr>
        <w:pStyle w:val="ListBullet"/>
        <w:spacing w:line="480" w:lineRule="auto" w:before="0" w:after="0"/>
      </w:pPr>
      <w:r>
        <w:rPr>
          <w:rFonts w:ascii="Times New Roman" w:hAnsi="Times New Roman" w:eastAsia="Times New Roman"/>
          <w:sz w:val="24"/>
        </w:rPr>
        <w:t>External public sources: The Statistics Bureau (MIC) Labour Force Survey 2022 Annual Average tabulations used for population reweighting are publicly archived in the repository at simulation/data/mic_labor_force_2022.csv (provenance: e-Stat retrieval 2026-04-30; the file was previously named mhlw_labor_force_2022.csv and renamed to reflect the correct MIC provenance).</w:t>
      </w:r>
    </w:p>
    <w:p>
      <w:pPr>
        <w:pStyle w:val="ListBullet"/>
        <w:spacing w:line="480" w:lineRule="auto" w:before="0" w:after="0"/>
      </w:pPr>
      <w:r>
        <w:rPr>
          <w:rFonts w:ascii="Times New Roman" w:hAnsi="Times New Roman" w:eastAsia="Times New Roman"/>
          <w:sz w:val="24"/>
        </w:rPr>
        <w:t>Pre-registration: v2.0 master document, v1.1 → v2.0 public diff, and the Section 6.5 Level 1 Methods Clarifications Log are publicly accessible at the v2.0 registration page (osf.io/3y54u, DOI 10.17605/OSF.IO/3Y54U).</w:t>
      </w:r>
    </w:p>
    <w:p>
      <w:r>
        <w:br w:type="page"/>
      </w:r>
    </w:p>
    <w:p>
      <w:pPr>
        <w:spacing w:line="480" w:lineRule="auto" w:before="0" w:after="0"/>
        <w:jc w:val="center"/>
      </w:pPr>
      <w:r>
        <w:rPr>
          <w:rFonts w:ascii="Times New Roman" w:hAnsi="Times New Roman" w:eastAsia="Times New Roman"/>
          <w:b/>
          <w:sz w:val="24"/>
        </w:rPr>
        <w:t>Sample characteristics and 14-cell propensity (Stage 0)</w:t>
      </w:r>
    </w:p>
    <w:p>
      <w:pPr>
        <w:spacing w:line="480" w:lineRule="auto" w:before="0" w:after="0"/>
        <w:ind w:firstLine="720"/>
      </w:pPr>
      <w:r>
        <w:rPr>
          <w:rFonts w:ascii="Times New Roman" w:hAnsi="Times New Roman" w:eastAsia="Times New Roman"/>
          <w:sz w:val="24"/>
        </w:rPr>
        <w:t>The N = 354 sample was assigned to 14 cells (7 HEXACO clusters × 2 genders) via Euclidean nearest-centroid hard-assignment, using the Tokiwa (2026) centroids as fixed parameters. Cell sizes ranged from 10 to 70 individuals (median = 18), with no degenerate (N = 0) cells. Cell-level past-three-year power-harassment victimization rates ranged from 0.000 to 0.400 (mean across cells = 0.181).</w:t>
      </w:r>
    </w:p>
    <w:p>
      <w:pPr>
        <w:spacing w:line="480" w:lineRule="auto" w:before="0" w:after="0"/>
        <w:ind w:firstLine="720"/>
      </w:pPr>
      <w:r>
        <w:rPr>
          <w:rFonts w:ascii="Times New Roman" w:hAnsi="Times New Roman" w:eastAsia="Times New Roman"/>
          <w:sz w:val="24"/>
        </w:rPr>
        <w:t xml:space="preserve">Per-cell 95% confidence intervals followed the four-step priority cascade described in Methods (Stage 0 specification). Of the 14 cells, </w:t>
      </w:r>
      <w:r>
        <w:rPr>
          <w:rFonts w:ascii="Times New Roman" w:hAnsi="Times New Roman" w:eastAsia="Times New Roman"/>
          <w:b/>
          <w:sz w:val="24"/>
        </w:rPr>
        <w:t>13 were resolved at the BCa stage</w:t>
      </w:r>
      <w:r>
        <w:rPr>
          <w:rFonts w:ascii="Times New Roman" w:hAnsi="Times New Roman" w:eastAsia="Times New Roman"/>
          <w:sz w:val="24"/>
        </w:rPr>
        <w:t xml:space="preserve"> and </w:t>
      </w:r>
      <w:r>
        <w:rPr>
          <w:rFonts w:ascii="Times New Roman" w:hAnsi="Times New Roman" w:eastAsia="Times New Roman"/>
          <w:b/>
          <w:sz w:val="24"/>
        </w:rPr>
        <w:t>1 cell (cluster × gender index 11; N = 12, X = 0) was resolved at the Clopper-Pearson stage</w:t>
      </w:r>
      <w:r>
        <w:rPr>
          <w:rFonts w:ascii="Times New Roman" w:hAnsi="Times New Roman" w:eastAsia="Times New Roman"/>
          <w:sz w:val="24"/>
        </w:rPr>
        <w:t xml:space="preserve"> as the cascade prescribes for degenerate cells (X_c ∈ {0, N_c}). No cells required the BC or Percentile fallbacks, confirming that the pre-registered priority cascade operates as designed for the realized data structure.</w:t>
      </w:r>
    </w:p>
    <w:p>
      <w:pPr>
        <w:spacing w:line="480" w:lineRule="auto" w:before="0" w:after="0"/>
        <w:jc w:val="center"/>
      </w:pPr>
      <w:r>
        <w:rPr>
          <w:rFonts w:ascii="Times New Roman" w:hAnsi="Times New Roman" w:eastAsia="Times New Roman"/>
          <w:b/>
          <w:sz w:val="24"/>
        </w:rPr>
        <w:t>National prevalence and H1 four-tier classification (Stages 1–2)</w:t>
      </w:r>
    </w:p>
    <w:p>
      <w:pPr>
        <w:spacing w:line="480" w:lineRule="auto" w:before="0" w:after="0"/>
        <w:ind w:firstLine="720"/>
      </w:pPr>
      <w:r>
        <w:rPr>
          <w:rFonts w:ascii="Times New Roman" w:hAnsi="Times New Roman" w:eastAsia="Times New Roman"/>
          <w:sz w:val="24"/>
        </w:rPr>
        <w:t>After re-weighting with Statistics Bureau (MIC) Labor Force Survey 2022 marginals (F = 0.4498, M = 0.5502; total = 67.23 million employed persons), the model-based national past-three-year power-harassment prevalence was P̂ = 0.1744 (point estimate), corresponding to 17.44%.</w:t>
      </w:r>
    </w:p>
    <w:p>
      <w:pPr>
        <w:spacing w:line="480" w:lineRule="auto" w:before="0" w:after="0"/>
        <w:ind w:firstLine="720"/>
      </w:pPr>
      <w:r>
        <w:rPr>
          <w:rFonts w:ascii="Times New Roman" w:hAnsi="Times New Roman" w:eastAsia="Times New Roman"/>
          <w:sz w:val="24"/>
        </w:rPr>
        <w:t>Per the pre-registered four-tier judgment hierarchy, the H1 results across three MHLW validation periods are summarized in Table 1.</w:t>
      </w:r>
    </w:p>
    <w:p>
      <w:pPr>
        <w:spacing w:line="480" w:lineRule="auto" w:before="0" w:after="0"/>
        <w:ind w:firstLine="720"/>
      </w:pPr>
      <w:r>
        <w:rPr>
          <w:rFonts w:ascii="Times New Roman" w:hAnsi="Times New Roman" w:eastAsia="Times New Roman"/>
          <w:b/>
          <w:sz w:val="24"/>
        </w:rPr>
        <w:t>Table 1.</w:t>
      </w:r>
      <w:r>
        <w:rPr>
          <w:rFonts w:ascii="Times New Roman" w:hAnsi="Times New Roman" w:eastAsia="Times New Roman"/>
          <w:sz w:val="24"/>
        </w:rPr>
        <w:t xml:space="preserve"> Mean Absolute Percentage Error (MAPE) of model-based national prevalence against MHLW survey targets, with bootstrap 95% confidence intervals (B = 10,000 cell-stratified). Primary outcome: power harassment.</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Standard SUCCESS</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FY2016 primary classification is </w:t>
      </w:r>
      <w:r>
        <w:rPr>
          <w:rFonts w:ascii="Times New Roman" w:hAnsi="Times New Roman" w:eastAsia="Times New Roman"/>
          <w:b/>
          <w:sz w:val="24"/>
        </w:rPr>
        <w:t>PARTIAL SUCCESS</w:t>
      </w:r>
      <w:r>
        <w:rPr>
          <w:rFonts w:ascii="Times New Roman" w:hAnsi="Times New Roman" w:eastAsia="Times New Roman"/>
          <w:sz w:val="24"/>
        </w:rPr>
        <w:t xml:space="preserve"> (point MAPE &gt; 30%, ≤ 60%). However, the post-Power-Harassment-Prevention-Law FY2023 result attains </w:t>
      </w:r>
      <w:r>
        <w:rPr>
          <w:rFonts w:ascii="Times New Roman" w:hAnsi="Times New Roman" w:eastAsia="Times New Roman"/>
          <w:b/>
          <w:sz w:val="24"/>
        </w:rPr>
        <w:t>Standard SUCCESS</w:t>
      </w:r>
      <w:r>
        <w:rPr>
          <w:rFonts w:ascii="Times New Roman" w:hAnsi="Times New Roman" w:eastAsia="Times New Roman"/>
          <w:sz w:val="24"/>
        </w:rPr>
        <w:t xml:space="preserve"> with a point MAPE of 9.65% (well below the 30% threshold for both Strict and Standard tiers); the 95% CI upper bound of 31.52% narrowly exceeds the Strict criterion (≤ 30%) by 1.52 pp, placing the classification at Standard rather than Strict. Interpretation of this temporal heterogeneity is deferred to the Discussion (Principal findings).</w:t>
      </w:r>
    </w:p>
    <w:p>
      <w:pPr>
        <w:spacing w:line="480" w:lineRule="auto" w:before="0" w:after="0"/>
        <w:jc w:val="center"/>
      </w:pPr>
      <w:r>
        <w:rPr>
          <w:rFonts w:ascii="Times New Roman" w:hAnsi="Times New Roman" w:eastAsia="Times New Roman"/>
          <w:b/>
          <w:sz w:val="24"/>
        </w:rPr>
        <w:t>Sensitivity sweep (Stage 3)</w:t>
      </w:r>
    </w:p>
    <w:p>
      <w:pPr>
        <w:spacing w:line="480" w:lineRule="auto" w:before="0" w:after="0"/>
        <w:ind w:firstLine="720"/>
      </w:pPr>
      <w:r>
        <w:rPr>
          <w:rFonts w:ascii="Times New Roman" w:hAnsi="Times New Roman" w:eastAsia="Times New Roman"/>
          <w:sz w:val="24"/>
        </w:rPr>
        <w:t>The pre-registered one-at-a-time sweep over four parameter families produced 13 rows. Results are presented in Table 2.</w:t>
      </w:r>
    </w:p>
    <w:p>
      <w:pPr>
        <w:spacing w:line="480" w:lineRule="auto" w:before="0" w:after="0"/>
        <w:ind w:firstLine="720"/>
      </w:pPr>
      <w:r>
        <w:rPr>
          <w:rFonts w:ascii="Times New Roman" w:hAnsi="Times New Roman" w:eastAsia="Times New Roman"/>
          <w:b/>
          <w:sz w:val="24"/>
        </w:rPr>
        <w:t>Table 2.</w:t>
      </w:r>
      <w:r>
        <w:rPr>
          <w:rFonts w:ascii="Times New Roman" w:hAnsi="Times New Roman" w:eastAsia="Times New Roman"/>
          <w:sz w:val="24"/>
        </w:rPr>
        <w:t xml:space="preserve"> OAT sensitivity sweep around main configuration. B = 2,000 per row, percentile CI on FY2016 MAPE. The baseline row uses the locked v2.0 main configuration; all other rows hold remaining parameters at main while varying the indicated family.</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ind w:firstLine="720"/>
      </w:pPr>
      <w:r>
        <w:rPr>
          <w:rFonts w:ascii="Times New Roman" w:hAnsi="Times New Roman" w:eastAsia="Times New Roman"/>
          <w:sz w:val="24"/>
        </w:rPr>
        <w:t>Two parameter families show substantial sensitivity:</w:t>
      </w:r>
    </w:p>
    <w:p>
      <w:pPr>
        <w:pStyle w:val="ListBullet"/>
        <w:spacing w:line="480" w:lineRule="auto" w:before="0" w:after="0"/>
      </w:pPr>
      <w:r>
        <w:rPr>
          <w:rFonts w:ascii="Times New Roman" w:hAnsi="Times New Roman" w:eastAsia="Times New Roman"/>
          <w:sz w:val="24"/>
        </w:rPr>
        <w:t>Binarization threshold (range: 29.58% to 48.95%): a more lenient threshold (+0.25 SD) yields Standard SUCCESS classification, suggesting that the MHLW survey may operationalize harassment more inclusively than the +0.5 SD main threshold;</w:t>
      </w:r>
    </w:p>
    <w:p>
      <w:pPr>
        <w:pStyle w:val="ListBullet"/>
        <w:spacing w:line="480" w:lineRule="auto" w:before="0" w:after="0"/>
      </w:pPr>
      <w:r>
        <w:rPr>
          <w:rFonts w:ascii="Times New Roman" w:hAnsi="Times New Roman" w:eastAsia="Times New Roman"/>
          <w:sz w:val="24"/>
        </w:rPr>
        <w:t>Cluster proportion mass shift (range: 34.55% to 56.47%): underscores the centrality of the Tokiwa (2026) cluster proportions to the conclusion (acknowledged as a pre-registered limitation, since cluster membership is not measured in the Labour Force Survey and the cluster mass cannot be re-weighted).</w:t>
      </w:r>
    </w:p>
    <w:p>
      <w:pPr>
        <w:spacing w:line="480" w:lineRule="auto" w:before="0" w:after="0"/>
        <w:ind w:firstLine="720"/>
      </w:pPr>
      <w:r>
        <w:rPr>
          <w:rFonts w:ascii="Times New Roman" w:hAnsi="Times New Roman" w:eastAsia="Times New Roman"/>
          <w:sz w:val="24"/>
        </w:rPr>
        <w:t>Two parameter families show negligible sensitivity:</w:t>
      </w:r>
    </w:p>
    <w:p>
      <w:pPr>
        <w:pStyle w:val="ListBullet"/>
        <w:spacing w:line="480" w:lineRule="auto" w:before="0" w:after="0"/>
      </w:pPr>
      <w:r>
        <w:rPr>
          <w:rFonts w:ascii="Times New Roman" w:hAnsi="Times New Roman" w:eastAsia="Times New Roman"/>
          <w:sz w:val="24"/>
        </w:rPr>
        <w:t>Soft-assignment τ (range: 45.04% to 45.24%; 0.20 percentage-point spread): cluster-membership-fuzziness is essentially irrelevant to the conclusion;</w:t>
      </w:r>
    </w:p>
    <w:p>
      <w:pPr>
        <w:pStyle w:val="ListBullet"/>
        <w:spacing w:line="480" w:lineRule="auto" w:before="0" w:after="0"/>
      </w:pPr>
      <w:r>
        <w:rPr>
          <w:rFonts w:ascii="Times New Roman" w:hAnsi="Times New Roman" w:eastAsia="Times New Roman"/>
          <w:sz w:val="24"/>
        </w:rPr>
        <w:t>Empirical Bayes shrinkage scale (range: 45.51% to 45.90%; 0.40 percentage-point spread): the empirical Bayes prior-pseudocount magnitude is negligible.</w:t>
      </w:r>
    </w:p>
    <w:p>
      <w:pPr>
        <w:spacing w:line="480" w:lineRule="auto" w:before="0" w:after="0"/>
        <w:ind w:firstLine="720"/>
      </w:pPr>
      <w:r>
        <w:rPr>
          <w:rFonts w:ascii="Times New Roman" w:hAnsi="Times New Roman" w:eastAsia="Times New Roman"/>
          <w:sz w:val="24"/>
        </w:rPr>
        <w:t>The two stable axes provide affirmative robustness evidence; the two sensitive axes circumscribe the assumptions on which the conclusion explicitly depends.</w:t>
      </w:r>
    </w:p>
    <w:p>
      <w:pPr>
        <w:spacing w:line="480" w:lineRule="auto" w:before="0" w:after="0"/>
        <w:jc w:val="center"/>
      </w:pPr>
      <w:r>
        <w:rPr>
          <w:rFonts w:ascii="Times New Roman" w:hAnsi="Times New Roman" w:eastAsia="Times New Roman"/>
          <w:b/>
          <w:sz w:val="24"/>
        </w:rPr>
        <w:t>Baseline comparison and H2 ordinal trend (Stage 4)</w:t>
      </w:r>
    </w:p>
    <w:p>
      <w:pPr>
        <w:spacing w:line="480" w:lineRule="auto" w:before="0" w:after="0"/>
        <w:ind w:firstLine="720"/>
      </w:pPr>
      <w:r>
        <w:rPr>
          <w:rFonts w:ascii="Times New Roman" w:hAnsi="Times New Roman" w:eastAsia="Times New Roman"/>
          <w:sz w:val="24"/>
        </w:rPr>
        <w:t>The pre-registered B0–B4 baseline ladder yielded the following MAPE_FY2016 estimates (Table 3).</w:t>
      </w:r>
    </w:p>
    <w:p>
      <w:pPr>
        <w:spacing w:line="480" w:lineRule="auto" w:before="0" w:after="0"/>
        <w:ind w:firstLine="720"/>
      </w:pPr>
      <w:r>
        <w:rPr>
          <w:rFonts w:ascii="Times New Roman" w:hAnsi="Times New Roman" w:eastAsia="Times New Roman"/>
          <w:b/>
          <w:sz w:val="24"/>
        </w:rPr>
        <w:t>Table 3.</w:t>
      </w:r>
      <w:r>
        <w:rPr>
          <w:rFonts w:ascii="Times New Roman" w:hAnsi="Times New Roman" w:eastAsia="Times New Roman"/>
          <w:sz w:val="24"/>
        </w:rPr>
        <w:t xml:space="preserve"> Baseline comparison for H2. B = 2,000 cell-stratified bootstrap. Note that B0 (uniform-MHLW-grand-mean prediction) trivially attains MAPE = 0 by construction and is included only as the lower-bound reference. Baselines B0, B1, and B3 are deterministic functions of the realized cell counts under the cell-stratified bootstrap (their aggregation rules are closed-form given the cell partitions) and therefore yield zero-width bootstrap CIs by construction; B2 and B4 re-fit logistic-regression coefficients within each bootstrap replicate and accordingly show non-degenerate CIs.</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[0.00, 0.00] (deterministic)</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 logistic</w:t>
            </w:r>
          </w:p>
        </w:tc>
        <w:tc>
          <w:tcPr>
            <w:tcW w:type="dxa" w:w="2340"/>
          </w:tcPr>
          <w:p>
            <w:r>
              <w:rPr>
                <w:rFonts w:ascii="Times New Roman" w:hAnsi="Times New Roman" w:eastAsia="Times New Roman"/>
                <w:b w:val="0"/>
                <w:sz w:val="22"/>
              </w:rPr>
              <w:t>46.02%</w:t>
            </w:r>
          </w:p>
        </w:tc>
        <w:tc>
          <w:tcPr>
            <w:tcW w:type="dxa" w:w="2340"/>
          </w:tcPr>
          <w:p>
            <w:r>
              <w:rPr>
                <w:rFonts w:ascii="Times New Roman" w:hAnsi="Times New Roman" w:eastAsia="Times New Roman"/>
                <w:b w:val="0"/>
                <w:sz w:val="22"/>
              </w:rPr>
              <w:t>[46.02, 46.02] (deterministic)</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43.98%</w:t>
            </w:r>
          </w:p>
        </w:tc>
        <w:tc>
          <w:tcPr>
            <w:tcW w:type="dxa" w:w="2340"/>
          </w:tcPr>
          <w:p>
            <w:r>
              <w:rPr>
                <w:rFonts w:ascii="Times New Roman" w:hAnsi="Times New Roman" w:eastAsia="Times New Roman"/>
                <w:b w:val="0"/>
                <w:sz w:val="22"/>
              </w:rPr>
              <w:t>[40.33, 47.35]</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w:t>
            </w:r>
          </w:p>
        </w:tc>
        <w:tc>
          <w:tcPr>
            <w:tcW w:type="dxa" w:w="2340"/>
          </w:tcPr>
          <w:p>
            <w:r>
              <w:rPr>
                <w:rFonts w:ascii="Times New Roman" w:hAnsi="Times New Roman" w:eastAsia="Times New Roman"/>
                <w:b w:val="0"/>
                <w:sz w:val="22"/>
              </w:rPr>
              <w:t>46.34%</w:t>
            </w:r>
          </w:p>
        </w:tc>
        <w:tc>
          <w:tcPr>
            <w:tcW w:type="dxa" w:w="2340"/>
          </w:tcPr>
          <w:p>
            <w:r>
              <w:rPr>
                <w:rFonts w:ascii="Times New Roman" w:hAnsi="Times New Roman" w:eastAsia="Times New Roman"/>
                <w:b w:val="0"/>
                <w:sz w:val="22"/>
              </w:rPr>
              <w:t>[46.34, 46.34] (deterministic)</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47.04%</w:t>
            </w:r>
          </w:p>
        </w:tc>
        <w:tc>
          <w:tcPr>
            <w:tcW w:type="dxa" w:w="2340"/>
          </w:tcPr>
          <w:p>
            <w:r>
              <w:rPr>
                <w:rFonts w:ascii="Times New Roman" w:hAnsi="Times New Roman" w:eastAsia="Times New Roman"/>
                <w:b w:val="0"/>
                <w:sz w:val="22"/>
              </w:rPr>
              <w:t>[45.02, 49.05]</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H2 hypothesis (B0 &gt; B1 &gt; B2 &gt; B3 &gt; B4 in MAPE, monotonic improvement) was tested via Bonferroni-Holm-corrected pairwise inequalities; </w:t>
      </w:r>
      <w:r>
        <w:rPr>
          <w:rFonts w:ascii="Times New Roman" w:hAnsi="Times New Roman" w:eastAsia="Times New Roman"/>
          <w:b/>
          <w:sz w:val="24"/>
        </w:rPr>
        <w:t>0 of 4 pairs were confirmed</w:t>
      </w:r>
      <w:r>
        <w:rPr>
          <w:rFonts w:ascii="Times New Roman" w:hAnsi="Times New Roman" w:eastAsia="Times New Roman"/>
          <w:sz w:val="24"/>
        </w:rPr>
        <w:t xml:space="preserve"> at one-sided α = 0.05. Page's L (1963) ordinal trend test produced p = 0.9757, far from significance.</w:t>
      </w:r>
    </w:p>
    <w:p>
      <w:pPr>
        <w:spacing w:line="480" w:lineRule="auto" w:before="0" w:after="0"/>
        <w:ind w:firstLine="720"/>
      </w:pPr>
      <w:r>
        <w:rPr>
          <w:rFonts w:ascii="Times New Roman" w:hAnsi="Times New Roman" w:eastAsia="Times New Roman"/>
          <w:sz w:val="24"/>
        </w:rPr>
        <w:t xml:space="preserve">The H2 decision is therefore </w:t>
      </w:r>
      <w:r>
        <w:rPr>
          <w:rFonts w:ascii="Times New Roman" w:hAnsi="Times New Roman" w:eastAsia="Times New Roman"/>
          <w:b/>
          <w:sz w:val="24"/>
        </w:rPr>
        <w:t>ambiguous_or_reversed</w:t>
      </w:r>
      <w:r>
        <w:rPr>
          <w:rFonts w:ascii="Times New Roman" w:hAnsi="Times New Roman" w:eastAsia="Times New Roman"/>
          <w:sz w:val="24"/>
        </w:rPr>
        <w:t xml:space="preserve">: the model sophistication ladder does not exhibit a monotonic improvement signature. Substantively, this indicates that the 14-cell conditional model (B3) does not dominate simpler alternatives (B1, B2) in terms of predictive accuracy. We interpret this as evidence that the 14-cell partition is </w:t>
      </w:r>
      <w:r>
        <w:rPr>
          <w:rFonts w:ascii="Times New Roman" w:hAnsi="Times New Roman" w:eastAsia="Times New Roman"/>
          <w:i/>
          <w:sz w:val="24"/>
        </w:rPr>
        <w:t>not over-fit</w:t>
      </w:r>
      <w:r>
        <w:rPr>
          <w:rFonts w:ascii="Times New Roman" w:hAnsi="Times New Roman" w:eastAsia="Times New Roman"/>
          <w:sz w:val="24"/>
        </w:rPr>
        <w:t xml:space="preserve"> to the training subsample (a moderately favorable finding), but the benefit of the additional cluster × gender stratification is not detectable at this sample size with the present binarization.</w:t>
      </w:r>
    </w:p>
    <w:p>
      <w:pPr>
        <w:spacing w:line="480" w:lineRule="auto" w:before="0" w:after="0"/>
        <w:jc w:val="center"/>
      </w:pPr>
      <w:r>
        <w:rPr>
          <w:rFonts w:ascii="Times New Roman" w:hAnsi="Times New Roman" w:eastAsia="Times New Roman"/>
          <w:b/>
          <w:sz w:val="24"/>
        </w:rPr>
        <w:t>Common-method-variance diagnostic (Stage 5)</w:t>
      </w:r>
    </w:p>
    <w:p>
      <w:pPr>
        <w:spacing w:line="480" w:lineRule="auto" w:before="0" w:after="0"/>
        <w:ind w:firstLine="720"/>
      </w:pPr>
      <w:r>
        <w:rPr>
          <w:rFonts w:ascii="Times New Roman" w:hAnsi="Times New Roman" w:eastAsia="Times New Roman"/>
          <w:sz w:val="24"/>
        </w:rPr>
        <w:t>Harman's single-factor test on 11 standardized variables (6 HEXACO + 3 Dark Triad + 2 harassment continuous scales; N = 353 used after listwise deletion) yielded:</w:t>
      </w:r>
    </w:p>
    <w:p>
      <w:pPr>
        <w:pStyle w:val="ListBullet"/>
        <w:spacing w:line="480" w:lineRule="auto" w:before="0" w:after="0"/>
      </w:pPr>
      <w:r>
        <w:rPr>
          <w:rFonts w:ascii="Times New Roman" w:hAnsi="Times New Roman" w:eastAsia="Times New Roman"/>
          <w:sz w:val="24"/>
        </w:rPr>
        <w:t>First-factor variance: 24.08% (well below the 50% concern threshold);</w:t>
      </w:r>
    </w:p>
    <w:p>
      <w:pPr>
        <w:pStyle w:val="ListBullet"/>
        <w:spacing w:line="480" w:lineRule="auto" w:before="0" w:after="0"/>
      </w:pPr>
      <w:r>
        <w:rPr>
          <w:rFonts w:ascii="Times New Roman" w:hAnsi="Times New Roman" w:eastAsia="Times New Roman"/>
          <w:sz w:val="24"/>
        </w:rPr>
        <w:t>CMV concern flag: False;</w:t>
      </w:r>
    </w:p>
    <w:p>
      <w:pPr>
        <w:pStyle w:val="ListBullet"/>
        <w:spacing w:line="480" w:lineRule="auto" w:before="0" w:after="0"/>
      </w:pPr>
      <w:r>
        <w:rPr>
          <w:rFonts w:ascii="Times New Roman" w:hAnsi="Times New Roman" w:eastAsia="Times New Roman"/>
          <w:sz w:val="24"/>
        </w:rPr>
        <w:t>Marker-variable correction (Lindell &amp; Whitney, 2001) using HEXACO Openness as theoretical marker:</w:t>
      </w:r>
    </w:p>
    <w:p>
      <w:pPr>
        <w:spacing w:line="480" w:lineRule="auto" w:before="0" w:after="0"/>
        <w:ind w:firstLine="720"/>
      </w:pPr>
      <w:r>
        <w:rPr>
          <w:rFonts w:ascii="Times New Roman" w:hAnsi="Times New Roman" w:eastAsia="Times New Roman"/>
          <w:sz w:val="24"/>
        </w:rPr>
        <w:t>- r(O, power harassment) = +0.068 (CMV estimate); - r(O, gender harassment) = −0.181; - Honesty-Humility–power harassment association: r_raw = −0.265 → r_adjusted = −0.356 (slightly strengthened after CMV correction); - Psychopathy–power harassment association: r_raw = +0.391 → r_adjusted = +0.347.</w:t>
      </w:r>
    </w:p>
    <w:p>
      <w:pPr>
        <w:spacing w:line="480" w:lineRule="auto" w:before="0" w:after="0"/>
        <w:ind w:firstLine="720"/>
      </w:pPr>
      <w:r>
        <w:rPr>
          <w:rFonts w:ascii="Times New Roman" w:hAnsi="Times New Roman" w:eastAsia="Times New Roman"/>
          <w:sz w:val="24"/>
        </w:rPr>
        <w:t>Common-method bias does not pose substantial concern for the present data, and the post-correction associations remain in the expected directions.</w:t>
      </w:r>
    </w:p>
    <w:p>
      <w:pPr>
        <w:spacing w:line="480" w:lineRule="auto" w:before="0" w:after="0"/>
        <w:jc w:val="center"/>
      </w:pPr>
      <w:r>
        <w:rPr>
          <w:rFonts w:ascii="Times New Roman" w:hAnsi="Times New Roman" w:eastAsia="Times New Roman"/>
          <w:b/>
          <w:sz w:val="24"/>
        </w:rPr>
        <w:t>Counterfactual contrasts and H7 IUT (Stage 7)</w:t>
      </w:r>
    </w:p>
    <w:p>
      <w:pPr>
        <w:spacing w:line="480" w:lineRule="auto" w:before="0" w:after="0"/>
        <w:ind w:firstLine="720"/>
      </w:pPr>
      <w:r>
        <w:rPr>
          <w:rFonts w:ascii="Times New Roman" w:hAnsi="Times New Roman" w:eastAsia="Times New Roman"/>
          <w:sz w:val="24"/>
        </w:rPr>
        <w:t>The three pre-registered counterfactual interventions produced the following ΔP_x estimates (Table 4).</w:t>
      </w:r>
    </w:p>
    <w:p>
      <w:pPr>
        <w:spacing w:line="480" w:lineRule="auto" w:before="0" w:after="0"/>
        <w:ind w:firstLine="720"/>
      </w:pPr>
      <w:r>
        <w:rPr>
          <w:rFonts w:ascii="Times New Roman" w:hAnsi="Times New Roman" w:eastAsia="Times New Roman"/>
          <w:b/>
          <w:sz w:val="24"/>
        </w:rPr>
        <w:t>Table 4.</w:t>
      </w:r>
      <w:r>
        <w:rPr>
          <w:rFonts w:ascii="Times New Roman" w:hAnsi="Times New Roman" w:eastAsia="Times New Roman"/>
          <w:sz w:val="24"/>
        </w:rPr>
        <w:t xml:space="preserve"> Counterfactual ΔP_x = (P̂_counterfactual − P̂_baseline) at the national level. B = 2,000 cell-stratified bootstrap. Positive ΔP indicates </w:t>
      </w:r>
      <w:r>
        <w:rPr>
          <w:rFonts w:ascii="Times New Roman" w:hAnsi="Times New Roman" w:eastAsia="Times New Roman"/>
          <w:i/>
          <w:sz w:val="24"/>
        </w:rPr>
        <w:t>reduction</w:t>
      </w:r>
      <w:r>
        <w:rPr>
          <w:rFonts w:ascii="Times New Roman" w:hAnsi="Times New Roman" w:eastAsia="Times New Roman"/>
          <w:sz w:val="24"/>
        </w:rPr>
        <w:t xml:space="preserve"> in prevalence (per pre-registration v2.0 sign convention).</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Decision (CI excludes 0?)</w:t>
            </w:r>
          </w:p>
        </w:tc>
      </w:tr>
      <w:tr>
        <w:tc>
          <w:tcPr>
            <w:tcW w:type="dxa" w:w="1872"/>
          </w:tcPr>
          <w:p>
            <w:r>
              <w:rPr>
                <w:rFonts w:ascii="Times New Roman" w:hAnsi="Times New Roman" w:eastAsia="Times New Roman"/>
                <w:b w:val="0"/>
                <w:sz w:val="22"/>
              </w:rPr>
              <w:t>Counterfactual A</w:t>
            </w:r>
          </w:p>
        </w:tc>
        <w:tc>
          <w:tcPr>
            <w:tcW w:type="dxa" w:w="1872"/>
          </w:tcPr>
          <w:p>
            <w:r>
              <w:rPr>
                <w:rFonts w:ascii="Times New Roman" w:hAnsi="Times New Roman" w:eastAsia="Times New Roman"/>
                <w:b w:val="0"/>
                <w:sz w:val="22"/>
              </w:rPr>
              <w:t>do(HH ← HH + 0.3σ; A ← A + 0.3σ; E ←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[−0.0207, +0.0062]</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B</w:t>
            </w:r>
          </w:p>
        </w:tc>
        <w:tc>
          <w:tcPr>
            <w:tcW w:type="dxa" w:w="1872"/>
          </w:tcPr>
          <w:p>
            <w:r>
              <w:rPr>
                <w:rFonts w:ascii="Times New Roman" w:hAnsi="Times New Roman" w:eastAsia="Times New Roman"/>
                <w:b w:val="0"/>
                <w:sz w:val="22"/>
              </w:rPr>
              <w:t>do(HH := HH + 0.40σ_HH) for individuals whose baseline cluster ∈ {0, 4, 6}</w:t>
            </w:r>
          </w:p>
        </w:tc>
        <w:tc>
          <w:tcPr>
            <w:tcW w:type="dxa" w:w="1872"/>
          </w:tcPr>
          <w:p>
            <w:r>
              <w:rPr>
                <w:rFonts w:ascii="Times New Roman" w:hAnsi="Times New Roman" w:eastAsia="Times New Roman"/>
                <w:b w:val="0"/>
                <w:sz w:val="22"/>
              </w:rPr>
              <w:t>−0.0059</w:t>
            </w:r>
          </w:p>
        </w:tc>
        <w:tc>
          <w:tcPr>
            <w:tcW w:type="dxa" w:w="1872"/>
          </w:tcPr>
          <w:p>
            <w:r>
              <w:rPr>
                <w:rFonts w:ascii="Times New Roman" w:hAnsi="Times New Roman" w:eastAsia="Times New Roman"/>
                <w:b w:val="0"/>
                <w:sz w:val="22"/>
              </w:rPr>
              <w:t>[−0.0207, +0.0066]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C</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[+0.0264, +0.0435]</w:t>
            </w:r>
          </w:p>
        </w:tc>
        <w:tc>
          <w:tcPr>
            <w:tcW w:type="dxa" w:w="1872"/>
          </w:tcPr>
          <w:p>
            <w:r>
              <w:rPr>
                <w:rFonts w:ascii="Times New Roman" w:hAnsi="Times New Roman" w:eastAsia="Times New Roman"/>
                <w:b w:val="0"/>
                <w:sz w:val="22"/>
              </w:rPr>
              <w:t>Yes (positive)</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intersection-union test (Berger &amp; Hsu, 1996) produced one-sided 95% lower bounds L_BA = −0.0011 and L_BC = −0.0544. Because point ΔP_B = −0.0059 is less than point ΔP_C = +0.0349, the priority-1 condition is satisfied and H7 is classified as </w:t>
      </w:r>
      <w:r>
        <w:rPr>
          <w:rFonts w:ascii="Times New Roman" w:hAnsi="Times New Roman" w:eastAsia="Times New Roman"/>
          <w:b/>
          <w:sz w:val="24"/>
        </w:rPr>
        <w:t>REVERSAL</w:t>
      </w:r>
      <w:r>
        <w:rPr>
          <w:rFonts w:ascii="Times New Roman" w:hAnsi="Times New Roman" w:eastAsia="Times New Roman"/>
          <w:sz w:val="24"/>
        </w:rPr>
        <w:t xml:space="preserve">. We note that the priority-1 trigger uses the ΔP_B point estimate, which is downgraded to </w:t>
      </w:r>
      <w:r>
        <w:rPr>
          <w:rFonts w:ascii="Times New Roman" w:hAnsi="Times New Roman" w:eastAsia="Times New Roman"/>
          <w:i/>
          <w:sz w:val="24"/>
        </w:rPr>
        <w:t>exploratory</w:t>
      </w:r>
      <w:r>
        <w:rPr>
          <w:rFonts w:ascii="Times New Roman" w:hAnsi="Times New Roman" w:eastAsia="Times New Roman"/>
          <w:sz w:val="24"/>
        </w:rPr>
        <w:t xml:space="preserve"> under the pre-registered positivity rule (44.5% flagged-weight; see Positivity diagnostic below); however, the CI-based cascade independently corroborates REVERSAL via L_BC = −0.0544 &lt; 0 (ruling out the CONFIRMED branch without relying on the ΔP_B point estimate), and L_BA also lies just below zero. The REVERSAL classification therefore does not depend on the exploratory ΔP_B point estimate alone.</w:t>
      </w:r>
    </w:p>
    <w:p>
      <w:pPr>
        <w:spacing w:line="480" w:lineRule="auto" w:before="0" w:after="0"/>
        <w:ind w:firstLine="720"/>
      </w:pPr>
      <w:r>
        <w:rPr>
          <w:rFonts w:ascii="Times New Roman" w:hAnsi="Times New Roman" w:eastAsia="Times New Roman"/>
          <w:sz w:val="24"/>
        </w:rPr>
        <w:t>Substantively, this means that the cell-level structural intervention (Counterfactual C) outperforms both the universal personality intervention (Counterfactual A) and the targeted personality intervention on the low-prevalence subgroup (Counterfactual B) by a large margin. Numerically, |ΔP_C| / |ΔP_A| ≈ 5.7.</w:t>
      </w:r>
    </w:p>
    <w:p>
      <w:pPr>
        <w:spacing w:line="480" w:lineRule="auto" w:before="0" w:after="0"/>
        <w:ind w:firstLine="720"/>
      </w:pPr>
      <w:r>
        <w:rPr>
          <w:rFonts w:ascii="Times New Roman" w:hAnsi="Times New Roman" w:eastAsia="Times New Roman"/>
          <w:b/>
          <w:sz w:val="24"/>
        </w:rPr>
        <w:t>Positivity diagnostic.</w:t>
      </w:r>
      <w:r>
        <w:rPr>
          <w:rFonts w:ascii="Times New Roman" w:hAnsi="Times New Roman" w:eastAsia="Times New Roman"/>
          <w:sz w:val="24"/>
        </w:rPr>
        <w:t xml:space="preserve"> Counterfactual A and Counterfactual C trivially preserve positivity (ρ ≡ 1 by construction; per the pre-registered positivity rule). Counterfactual B's cell positivity ratio ρ_{c, B} was 44.5% flagged (i.e., 44.5% of population weight in cells where the post-intervention expected count is &lt; 10% of observed), triggering the pre-registered downgrade rule (flagged_weight ≥ 20%). We therefore interpret Counterfactual B as </w:t>
      </w:r>
      <w:r>
        <w:rPr>
          <w:rFonts w:ascii="Times New Roman" w:hAnsi="Times New Roman" w:eastAsia="Times New Roman"/>
          <w:b/>
          <w:sz w:val="24"/>
        </w:rPr>
        <w:t>exploratory</w:t>
      </w:r>
      <w:r>
        <w:rPr>
          <w:rFonts w:ascii="Times New Roman" w:hAnsi="Times New Roman" w:eastAsia="Times New Roman"/>
          <w:sz w:val="24"/>
        </w:rPr>
        <w:t xml:space="preserve"> rather than confirmatory; the IUT reading is unaffected (ΔP_B remains null), but conclusions about B's null finding cannot be made with the same confidence as A.</w:t>
      </w:r>
    </w:p>
    <w:p>
      <w:pPr>
        <w:spacing w:line="480" w:lineRule="auto" w:before="0" w:after="0"/>
        <w:jc w:val="center"/>
      </w:pPr>
      <w:r>
        <w:rPr>
          <w:rFonts w:ascii="Times New Roman" w:hAnsi="Times New Roman" w:eastAsia="Times New Roman"/>
          <w:b/>
          <w:sz w:val="24"/>
        </w:rPr>
        <w:t>Transportability sensitivity (Stage 8)</w:t>
      </w:r>
    </w:p>
    <w:p>
      <w:pPr>
        <w:spacing w:line="480" w:lineRule="auto" w:before="0" w:after="0"/>
        <w:ind w:firstLine="720"/>
      </w:pPr>
      <w:r>
        <w:rPr>
          <w:rFonts w:ascii="Times New Roman" w:hAnsi="Times New Roman" w:eastAsia="Times New Roman"/>
          <w:sz w:val="24"/>
        </w:rPr>
        <w:t>Per the pre-registered cultural-attenuation sweep, all three ΔP_x bootstrap distributions were multiplied by transportability factor F ∈ {0.3, 0.5, 0.7, 1.0}, and the H7 IUT was re-classified per factor (Table 5).</w:t>
      </w:r>
    </w:p>
    <w:p>
      <w:pPr>
        <w:spacing w:line="480" w:lineRule="auto" w:before="0" w:after="0"/>
        <w:ind w:firstLine="720"/>
      </w:pPr>
      <w:r>
        <w:rPr>
          <w:rFonts w:ascii="Times New Roman" w:hAnsi="Times New Roman" w:eastAsia="Times New Roman"/>
          <w:b/>
          <w:sz w:val="24"/>
        </w:rPr>
        <w:t>Table 5.</w:t>
      </w:r>
      <w:r>
        <w:rPr>
          <w:rFonts w:ascii="Times New Roman" w:hAnsi="Times New Roman" w:eastAsia="Times New Roman"/>
          <w:sz w:val="24"/>
        </w:rPr>
        <w:t xml:space="preserve"> H7 classification under cultural attenuation factors. Each row uses the same H7 IUT procedure on attenuated bootstrap distributions.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(attenuated)</w:t>
            </w:r>
          </w:p>
        </w:tc>
        <w:tc>
          <w:tcPr>
            <w:tcW w:type="dxa" w:w="1872"/>
          </w:tcPr>
          <w:p>
            <w:r>
              <w:rPr>
                <w:rFonts w:ascii="Times New Roman" w:hAnsi="Times New Roman" w:eastAsia="Times New Roman"/>
                <w:b/>
                <w:sz w:val="22"/>
              </w:rPr>
              <w:t>ΔP_C (attenuated)</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+0.0105</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et al., 2017 expected</w:t>
            </w:r>
          </w:p>
        </w:tc>
        <w:tc>
          <w:tcPr>
            <w:tcW w:type="dxa" w:w="1872"/>
          </w:tcPr>
          <w:p>
            <w:r>
              <w:rPr>
                <w:rFonts w:ascii="Times New Roman" w:hAnsi="Times New Roman" w:eastAsia="Times New Roman"/>
                <w:b w:val="0"/>
                <w:sz w:val="22"/>
              </w:rPr>
              <w:t>−0.0031</w:t>
            </w:r>
          </w:p>
        </w:tc>
        <w:tc>
          <w:tcPr>
            <w:tcW w:type="dxa" w:w="1872"/>
          </w:tcPr>
          <w:p>
            <w:r>
              <w:rPr>
                <w:rFonts w:ascii="Times New Roman" w:hAnsi="Times New Roman" w:eastAsia="Times New Roman"/>
                <w:b w:val="0"/>
                <w:sz w:val="22"/>
              </w:rPr>
              <w:t>+0.0174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−0.0043</w:t>
            </w:r>
          </w:p>
        </w:tc>
        <w:tc>
          <w:tcPr>
            <w:tcW w:type="dxa" w:w="1872"/>
          </w:tcPr>
          <w:p>
            <w:r>
              <w:rPr>
                <w:rFonts w:ascii="Times New Roman" w:hAnsi="Times New Roman" w:eastAsia="Times New Roman"/>
                <w:b w:val="0"/>
                <w:sz w:val="22"/>
              </w:rPr>
              <w:t>+0.0244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ind w:firstLine="720"/>
      </w:pPr>
      <w:r>
        <w:rPr>
          <w:rFonts w:ascii="Times New Roman" w:hAnsi="Times New Roman" w:eastAsia="Times New Roman"/>
          <w:sz w:val="24"/>
        </w:rPr>
        <w:t>The H7 = REVERSAL classification is robust across all four pre-registered cultural attenuation factors. Even under the conservative cross-cultural worst-case scenario (F = 0.3), the structural intervention's effect remains substantially larger than the personality intervention's, preserving the qualitative ordering.</w:t>
      </w:r>
    </w:p>
    <w:p>
      <w:pPr>
        <w:spacing w:line="480" w:lineRule="auto" w:before="0" w:after="0"/>
        <w:jc w:val="center"/>
      </w:pPr>
      <w:r>
        <w:rPr>
          <w:rFonts w:ascii="Times New Roman" w:hAnsi="Times New Roman" w:eastAsia="Times New Roman"/>
          <w:b/>
          <w:sz w:val="24"/>
        </w:rPr>
        <w:t>Summary of pre-registered hypothesis outcomes</w:t>
      </w:r>
    </w:p>
    <w:p>
      <w:pPr>
        <w:spacing w:line="480" w:lineRule="auto" w:before="0" w:after="0"/>
        <w:ind w:firstLine="720"/>
      </w:pPr>
      <w:r>
        <w:rPr>
          <w:rFonts w:ascii="Times New Roman" w:hAnsi="Times New Roman" w:eastAsia="Times New Roman"/>
          <w:b/>
          <w:sz w:val="24"/>
        </w:rPr>
        <w:t>Table 6.</w:t>
      </w:r>
      <w:r>
        <w:rPr>
          <w:rFonts w:ascii="Times New Roman" w:hAnsi="Times New Roman" w:eastAsia="Times New Roman"/>
          <w:sz w:val="24"/>
        </w:rPr>
        <w:t xml:space="preserve"> Pre-registered hypothesis outcomes summary.</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 (Page's L p = 0.976)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Externally validated in Tokiwa (2026) via stability analyses on the N=13,668 source sample; not separately re-tested in the present N=354 pipeline</w:t>
            </w:r>
          </w:p>
        </w:tc>
        <w:tc>
          <w:tcPr>
            <w:tcW w:type="dxa" w:w="2340"/>
          </w:tcPr>
          <w:p>
            <w:r>
              <w:rPr>
                <w:rFonts w:ascii="Times New Roman" w:hAnsi="Times New Roman" w:eastAsia="Times New Roman"/>
                <w:b w:val="0"/>
                <w:sz w:val="22"/>
              </w:rPr>
              <w:t>Externally 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 across bootstrap procedures</w:t>
            </w:r>
          </w:p>
        </w:tc>
        <w:tc>
          <w:tcPr>
            <w:tcW w:type="dxa" w:w="2340"/>
          </w:tcPr>
          <w:p>
            <w:r>
              <w:rPr>
                <w:rFonts w:ascii="Times New Roman" w:hAnsi="Times New Roman" w:eastAsia="Times New Roman"/>
                <w:b w:val="0"/>
                <w:sz w:val="22"/>
              </w:rPr>
              <w:t>13/14 cells resolved at BCa; 1 degenerate cell (X=0) at Clopper-Pearson per the pre-registered cascade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High concordance of cluster-level power-harassment rankings across genders (Spearman ρ = 0.87, p = 0.01 at 7-cluster level). The 14-cell vs 28-cell comparison adds a role stratification (× 2 roles per cell) rather than re-testing gender invariance; that comparison is reported separately as a robustness check on role-stratification stability and shows no qualitative effect on the cluster-level rank ordering used to evaluate H5.</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Weak concordance (Spearman ρ = 0.04 at 7-cluster level, p = 0.94; ρ = 0.14 at 14-cell level, p = 0.62)</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across F = 0.3–1.0)</w:t>
            </w:r>
          </w:p>
        </w:tc>
        <w:tc>
          <w:tcPr>
            <w:tcW w:type="dxa" w:w="2340"/>
          </w:tcPr>
          <w:p>
            <w:r>
              <w:rPr>
                <w:rFonts w:ascii="Times New Roman" w:hAnsi="Times New Roman" w:eastAsia="Times New Roman"/>
                <w:b w:val="0"/>
                <w:sz w:val="22"/>
              </w:rPr>
              <w:t>REVERSAL (per pre-registered classification)</w:t>
            </w:r>
          </w:p>
        </w:tc>
      </w:tr>
    </w:tbl>
    <w:p>
      <w:pPr>
        <w:spacing w:line="480" w:lineRule="auto" w:before="0" w:after="0"/>
      </w:pPr>
    </w:p>
    <w:p>
      <w:pPr>
        <w:spacing w:line="480" w:lineRule="auto" w:before="0" w:after="0"/>
        <w:ind w:firstLine="720"/>
      </w:pPr>
      <w:r>
        <w:rPr>
          <w:rFonts w:ascii="Times New Roman" w:hAnsi="Times New Roman" w:eastAsia="Times New Roman"/>
          <w:sz w:val="24"/>
        </w:rPr>
        <w:t>The headline empirical finding is the H7 = REVERSAL classification with cross-cultural robustness, which we develop substantively in the Discussion.</w:t>
      </w:r>
    </w:p>
    <w:p>
      <w:r>
        <w:br w:type="page"/>
      </w:r>
    </w:p>
    <w:p>
      <w:pPr>
        <w:spacing w:line="480" w:lineRule="auto" w:before="0" w:after="0"/>
        <w:jc w:val="center"/>
      </w:pPr>
      <w:r>
        <w:rPr>
          <w:rFonts w:ascii="Times New Roman" w:hAnsi="Times New Roman" w:eastAsia="Times New Roman"/>
          <w:b/>
          <w:sz w:val="24"/>
        </w:rPr>
        <w:t>Principal findings</w:t>
      </w:r>
    </w:p>
    <w:p>
      <w:pPr>
        <w:spacing w:line="480" w:lineRule="auto" w:before="0" w:after="0"/>
        <w:ind w:firstLine="720"/>
      </w:pPr>
      <w:r>
        <w:rPr>
          <w:rFonts w:ascii="Times New Roman" w:hAnsi="Times New Roman" w:eastAsia="Times New Roman"/>
          <w:sz w:val="24"/>
        </w:rPr>
        <w:t>Three findings stand out from the pre-registered analysis pipeline:</w:t>
      </w:r>
    </w:p>
    <w:p>
      <w:pPr>
        <w:spacing w:line="480" w:lineRule="auto" w:before="0" w:after="0"/>
        <w:ind w:firstLine="720"/>
      </w:pPr>
      <w:r>
        <w:rPr>
          <w:rFonts w:ascii="Times New Roman" w:hAnsi="Times New Roman" w:eastAsia="Times New Roman"/>
          <w:b/>
          <w:sz w:val="24"/>
        </w:rPr>
        <w:t>Finding 1: Post-Power-Harassment-Prevention-Law prevalence is well predicted; pre-law is not.</w:t>
      </w:r>
      <w:r>
        <w:rPr>
          <w:rFonts w:ascii="Times New Roman" w:hAnsi="Times New Roman" w:eastAsia="Times New Roman"/>
          <w:sz w:val="24"/>
        </w:rPr>
        <w:t xml:space="preserve"> The model-based national prevalence (P̂ = 17.44%, after Statistics Bureau (MIC) 2022 working-population reweighting) attains MAPE = 9.65% against the FY2023 (post-law) target — a Standard SUCCESS classification (the 95% CI upper bound, 31.52%, narrowly exceeds the 30% Strict-criterion threshold) — but only PARTIAL SUCCESS against the FY2016 (pre-law) target (MAPE = 46.34%). A literal reading is that our HEXACO 7-typology × MIC-reweighted model captures the </w:t>
      </w:r>
      <w:r>
        <w:rPr>
          <w:rFonts w:ascii="Times New Roman" w:hAnsi="Times New Roman" w:eastAsia="Times New Roman"/>
          <w:i/>
          <w:sz w:val="24"/>
        </w:rPr>
        <w:t>post-law equilibrium</w:t>
      </w:r>
      <w:r>
        <w:rPr>
          <w:rFonts w:ascii="Times New Roman" w:hAnsi="Times New Roman" w:eastAsia="Times New Roman"/>
          <w:sz w:val="24"/>
        </w:rPr>
        <w:t xml:space="preserve"> of Japanese workplaces with high accuracy, but not the pre-law equilibrium. We do not interpret the FY2016 PARTIAL classification as a model failure; rather, the temporal heterogeneity is consistent with the 2020 Power Harassment Prevention Law functioning as a discontinuous structural shock that altered the underlying environmental contribution to harassment prevalence. The N = 354 sample, collected post-law, is "calibrated" to the post-law environment.</w:t>
      </w:r>
    </w:p>
    <w:p>
      <w:pPr>
        <w:spacing w:line="480" w:lineRule="auto" w:before="0" w:after="0"/>
        <w:ind w:firstLine="720"/>
      </w:pPr>
      <w:r>
        <w:rPr>
          <w:rFonts w:ascii="Times New Roman" w:hAnsi="Times New Roman" w:eastAsia="Times New Roman"/>
          <w:b/>
          <w:sz w:val="24"/>
        </w:rPr>
        <w:t>Finding 2: H7 = REVERSAL — the structural-intervention contrast exceeds the personality-intervention contrast in absolute magnitude.</w:t>
      </w:r>
      <w:r>
        <w:rPr>
          <w:rFonts w:ascii="Times New Roman" w:hAnsi="Times New Roman" w:eastAsia="Times New Roman"/>
          <w:sz w:val="24"/>
        </w:rPr>
        <w:t xml:space="preserve"> The pre-registered intersection-union test produced REVERSAL via the priority-1 condition (point ΔP_B &lt; point ΔP_C; L_BC = −0.0544 also lies below zero in the CI cascade, providing CI-based corroboration of REVERSAL that does not rely on the ΔP_B point estimate, which is downgraded to exploratory under the pre-registered positivity rule), indicating that the cell-level structural-intervention contrast (Counterfactual C; −20% propensity, calibrated against three meta-analyses of organizational anti-harassment interventions and the MHLW FY2016–FY2023 −13.2-percentage-point natural-experiment-like decline) is larger in absolute magnitude than both the universal personality-intervention contrast (Counterfactual A; +0.3 SD on H/A/E) and the targeted personality-intervention contrast on the low-prevalence subgroup (Counterfactual B; +0.40 SD on HH restricted to individuals whose baseline cluster ∈ {0, 4, 6}). The numerical ratio |ΔP_C| / |ΔP_A| ≈ 5.7 is robust across all four pre-registered cultural-attenuation factors (F = 0.3, 0.5, 0.7, 1.0), including the conservative worst-case anchor at F = 0.3. We interpret this ordering conditional on the prior meta-analytic and natural-experiment effect sizes used to calibrate each counterfactual; under those calibrations, the structural-pathway contrast is approximately five-fold larger in absolute population-level magnitude than the personality-pathway contrast.</w:t>
      </w:r>
    </w:p>
    <w:p>
      <w:pPr>
        <w:spacing w:line="480" w:lineRule="auto" w:before="0" w:after="0"/>
        <w:ind w:firstLine="720"/>
      </w:pPr>
      <w:r>
        <w:rPr>
          <w:rFonts w:ascii="Times New Roman" w:hAnsi="Times New Roman" w:eastAsia="Times New Roman"/>
          <w:b/>
          <w:sz w:val="24"/>
        </w:rPr>
        <w:t>Finding 3: The data are consistent with treating HEXACO 7-typology as a stratification variable rather than an intervention target.</w:t>
      </w:r>
      <w:r>
        <w:rPr>
          <w:rFonts w:ascii="Times New Roman" w:hAnsi="Times New Roman" w:eastAsia="Times New Roman"/>
          <w:sz w:val="24"/>
        </w:rPr>
        <w:t xml:space="preserve"> The Counterfactual A null result (ΔP_A = −0.0061, 95% CI crosses zero) indicates that shifting individual HEXACO scores by the realistic training-effect magnitudes drawn from Hudson and Fraley (2015) and Roberts et al. (2017) does not produce a population-level harassment-prevalence change that is statistically distinguishable from zero in this design. A natural reading is that the typology characterizes which subgroups are differentially exposed to harassment in the present cross-sectional sample but does not, on its own, identify a personality-based target whose modification would yield measurable aggregate-level prevalence change at this calibration. The contribution of this finding is theoretical: it constrains the inferences that observational HEXACO–harassment associations support, distinguishing population-level prevalence change from subgroup-level identification.</w:t>
      </w:r>
    </w:p>
    <w:p>
      <w:pPr>
        <w:spacing w:line="480" w:lineRule="auto" w:before="0" w:after="0"/>
        <w:jc w:val="center"/>
      </w:pPr>
      <w:r>
        <w:rPr>
          <w:rFonts w:ascii="Times New Roman" w:hAnsi="Times New Roman" w:eastAsia="Times New Roman"/>
          <w:b/>
          <w:sz w:val="24"/>
        </w:rPr>
        <w:t>The MHLW survey series as substantive context</w:t>
      </w:r>
    </w:p>
    <w:p>
      <w:pPr>
        <w:spacing w:line="480" w:lineRule="auto" w:before="0" w:after="0"/>
        <w:ind w:firstLine="720"/>
      </w:pPr>
      <w:r>
        <w:rPr>
          <w:rFonts w:ascii="Times New Roman" w:hAnsi="Times New Roman" w:eastAsia="Times New Roman"/>
          <w:sz w:val="24"/>
        </w:rPr>
        <w:t>The FY2016 → FY2023 decline in past-three-year power-harassment victimization documented by MHLW (32.5% → 19.3%; −13.2 percentage points) overlaps temporally with the staged enforcement of the 2020 Power Harassment Prevention Law (large enterprises, June 2020; SMEs, April 2022). Two stylized explanations for this decline are: (a) the regulatory environment shifted in ways that reduced harassment-supportive environmental affordances; or (b) the underlying personality distribution of Japanese workers shifted between 2016 and 2023.</w:t>
      </w:r>
    </w:p>
    <w:p>
      <w:pPr>
        <w:spacing w:line="480" w:lineRule="auto" w:before="0" w:after="0"/>
        <w:ind w:firstLine="720"/>
      </w:pPr>
      <w:r>
        <w:rPr>
          <w:rFonts w:ascii="Times New Roman" w:hAnsi="Times New Roman" w:eastAsia="Times New Roman"/>
          <w:sz w:val="24"/>
        </w:rPr>
        <w:t xml:space="preserve">The latter is implausible on demographic grounds: cohort-level changes in HEXACO traits over six years are unlikely to exceed 0.05 SD. Counterfactual A, which models a </w:t>
      </w:r>
      <w:r>
        <w:rPr>
          <w:rFonts w:ascii="Times New Roman" w:hAnsi="Times New Roman" w:eastAsia="Times New Roman"/>
          <w:i/>
          <w:sz w:val="24"/>
        </w:rPr>
        <w:t>six times larger</w:t>
      </w:r>
      <w:r>
        <w:rPr>
          <w:rFonts w:ascii="Times New Roman" w:hAnsi="Times New Roman" w:eastAsia="Times New Roman"/>
          <w:sz w:val="24"/>
        </w:rPr>
        <w:t xml:space="preserve"> personality shift (+0.3 SD on H/A/E), produced a null effect at the population level. The MHLW decline is therefore difficult to reconcile with personality drift alone. We refrain from claiming a formal causal estimate of the law's effect, because doing so would require a counterfactual design with explicit treatment timing, control units, and parallel-trends analysis that the present cross-sectional sample does not support. Instead, we treat the MHLW series as providing substantive context within which our pre-registered comparison of intervention contrasts can be interpreted.</w:t>
      </w:r>
    </w:p>
    <w:p>
      <w:pPr>
        <w:spacing w:line="480" w:lineRule="auto" w:before="0" w:after="0"/>
        <w:jc w:val="center"/>
      </w:pPr>
      <w:r>
        <w:rPr>
          <w:rFonts w:ascii="Times New Roman" w:hAnsi="Times New Roman" w:eastAsia="Times New Roman"/>
          <w:b/>
          <w:sz w:val="24"/>
        </w:rPr>
        <w:t>Reframing HEXACO: stratification rather than modification</w:t>
      </w:r>
    </w:p>
    <w:p>
      <w:pPr>
        <w:spacing w:line="480" w:lineRule="auto" w:before="0" w:after="0"/>
        <w:ind w:firstLine="720"/>
      </w:pPr>
      <w:r>
        <w:rPr>
          <w:rFonts w:ascii="Times New Roman" w:hAnsi="Times New Roman" w:eastAsia="Times New Roman"/>
          <w:sz w:val="24"/>
        </w:rPr>
        <w:t>A reframing emerges from the integrated reading of Counterfactual A's null and Counterfactual C's positive contrast. Observational findings of the form "low Honesty-Humility correlates with workplace harassment exposure" are sometimes read as supporting a prescription: train individuals to elevate their Honesty-Humility, or screen them on this dimension at hiring. The present results constrain that reading on two grounds.</w:t>
      </w:r>
    </w:p>
    <w:p>
      <w:pPr>
        <w:spacing w:line="480" w:lineRule="auto" w:before="0" w:after="0"/>
        <w:ind w:firstLine="720"/>
      </w:pPr>
      <w:r>
        <w:rPr>
          <w:rFonts w:ascii="Times New Roman" w:hAnsi="Times New Roman" w:eastAsia="Times New Roman"/>
          <w:sz w:val="24"/>
        </w:rPr>
        <w:t>First, observational correlation between HEXACO-H and harassment exposure is consistent with at least four causal models: direct causation (M1), selection (M2), confounding (M3), and reverse causation (M4). Our Counterfactual A null result is inconsistent with M1 as the dominant mechanism but cannot adjudicate among M2–M4. Under any of those three, modifying individuals' HEXACO scores would not modify the underlying mechanism (industry sorting, shared SES correlates, or cynicism induced by prior harassment exposure).</w:t>
      </w:r>
    </w:p>
    <w:p>
      <w:pPr>
        <w:spacing w:line="480" w:lineRule="auto" w:before="0" w:after="0"/>
        <w:ind w:firstLine="720"/>
      </w:pPr>
      <w:r>
        <w:rPr>
          <w:rFonts w:ascii="Times New Roman" w:hAnsi="Times New Roman" w:eastAsia="Times New Roman"/>
          <w:sz w:val="24"/>
        </w:rPr>
        <w:t>Second, even granting M1 as the operative mechanism, the +0.3 SD personality-shift represents the upper bound of empirically demonstrated training effects (Hudson &amp; Fraley, 2015; Roberts et al., 2017). The simulation shows that this upper-bound shift translates to a population-level prevalence change of −0.61 percentage points — within the ±2 pp band of MHLW year-on-year sampling noise and approximately five-fold smaller in absolute magnitude than the structural-intervention contrast.</w:t>
      </w:r>
    </w:p>
    <w:p>
      <w:pPr>
        <w:spacing w:line="480" w:lineRule="auto" w:before="0" w:after="0"/>
        <w:ind w:firstLine="720"/>
      </w:pPr>
      <w:r>
        <w:rPr>
          <w:rFonts w:ascii="Times New Roman" w:hAnsi="Times New Roman" w:eastAsia="Times New Roman"/>
          <w:sz w:val="24"/>
        </w:rPr>
        <w:t xml:space="preserve">The repositioning we draw is therefore narrow and theoretical: </w:t>
      </w:r>
      <w:r>
        <w:rPr>
          <w:rFonts w:ascii="Times New Roman" w:hAnsi="Times New Roman" w:eastAsia="Times New Roman"/>
          <w:b/>
          <w:sz w:val="24"/>
        </w:rPr>
        <w:t>the HEXACO 7-typology functions in this analysis as a stratification lens that characterizes differentially exposed subpopulations; the structural-intervention contrast in Counterfactual C is, by construction, applied uniformly across all 14 cells (cell-level propensities are multiplied by 0.80 with no cell-specific attenuation), so no subgroup is differentially excluded from the contrast at the analytic level. The data do not support reading the typology itself as a target of individual-level intervention.</w:t>
      </w:r>
      <w:r>
        <w:rPr>
          <w:rFonts w:ascii="Times New Roman" w:hAnsi="Times New Roman" w:eastAsia="Times New Roman"/>
          <w:sz w:val="24"/>
        </w:rPr>
        <w:t xml:space="preserve"> A corollary is that observational HEXACO–harassment associations are not, on their own, sufficient grounds for inferences about who "should" be modified or screened; we therefore caution against interpretations that read the typology in person-blame terms, because such readings outrun what the present analysis can support. The empirical question of whether real-world structural interventions exhibit cell-specific efficacy is left open and is flagged separately in the heterogeneity limitation below.</w:t>
      </w:r>
    </w:p>
    <w:p>
      <w:pPr>
        <w:spacing w:line="480" w:lineRule="auto" w:before="0" w:after="0"/>
        <w:jc w:val="center"/>
      </w:pPr>
      <w:r>
        <w:rPr>
          <w:rFonts w:ascii="Times New Roman" w:hAnsi="Times New Roman" w:eastAsia="Times New Roman"/>
          <w:b/>
          <w:sz w:val="24"/>
        </w:rPr>
        <w:t>Limitations</w:t>
      </w:r>
    </w:p>
    <w:p>
      <w:pPr>
        <w:spacing w:line="480" w:lineRule="auto" w:before="0" w:after="0"/>
        <w:jc w:val="left"/>
      </w:pPr>
      <w:r>
        <w:rPr>
          <w:rFonts w:ascii="Times New Roman" w:hAnsi="Times New Roman" w:eastAsia="Times New Roman"/>
          <w:b/>
          <w:sz w:val="24"/>
        </w:rPr>
        <w:t>Reduced-form framing of Counterfactual C</w:t>
      </w:r>
    </w:p>
    <w:p>
      <w:pPr>
        <w:spacing w:line="480" w:lineRule="auto" w:before="0" w:after="0"/>
        <w:ind w:firstLine="720"/>
      </w:pPr>
      <w:r>
        <w:rPr>
          <w:rFonts w:ascii="Times New Roman" w:hAnsi="Times New Roman" w:eastAsia="Times New Roman"/>
          <w:sz w:val="24"/>
        </w:rPr>
        <w:t xml:space="preserve">The most important limitation, identified through dialogue with an external methodologist, concerns the </w:t>
      </w:r>
      <w:r>
        <w:rPr>
          <w:rFonts w:ascii="Times New Roman" w:hAnsi="Times New Roman" w:eastAsia="Times New Roman"/>
          <w:i/>
          <w:sz w:val="24"/>
        </w:rPr>
        <w:t>reduced-form</w:t>
      </w:r>
      <w:r>
        <w:rPr>
          <w:rFonts w:ascii="Times New Roman" w:hAnsi="Times New Roman" w:eastAsia="Times New Roman"/>
          <w:sz w:val="24"/>
        </w:rPr>
        <w:t xml:space="preserve"> nature of Counterfactual C. Operationally, Counterfactual C reduces cell-level propensity by 20% uniformly, leaving HEXACO scores and cluster memberships unchanged. This is a population-level statistical translation of structural change; the simulation does not endogenously model the psychological mechanisms — deterrence, perceived reporting risk, social cost, peer monitoring — through which institutional intervention actually reduces harassment behavior.</w:t>
      </w:r>
    </w:p>
    <w:p>
      <w:pPr>
        <w:spacing w:line="480" w:lineRule="auto" w:before="0" w:after="0"/>
        <w:ind w:firstLine="720"/>
      </w:pPr>
      <w:r>
        <w:rPr>
          <w:rFonts w:ascii="Times New Roman" w:hAnsi="Times New Roman" w:eastAsia="Times New Roman"/>
          <w:sz w:val="24"/>
        </w:rPr>
        <w:t>The simulation's contribution is therefore narrower than a mechanistic claim: it provides an apples-to-apples translation of prior meta-analytic effect sizes for structural interventions (Salin, 2021; Escartín, 2016; Hodgins et al., 2014; calibrated against MHLW 2020 Law natural experiment) into the same population-level prevalence metric used for the personality intervention (calibrated against Hudson &amp; Fraley, 2015; Roberts et al., 2017). The conclusion |ΔP_C| ≫ |ΔP_A| is conditional on these prior effect-size estimates being unbiased.</w:t>
      </w:r>
    </w:p>
    <w:p>
      <w:pPr>
        <w:spacing w:line="480" w:lineRule="auto" w:before="0" w:after="0"/>
        <w:ind w:firstLine="720"/>
      </w:pPr>
      <w:r>
        <w:rPr>
          <w:rFonts w:ascii="Times New Roman" w:hAnsi="Times New Roman" w:eastAsia="Times New Roman"/>
          <w:sz w:val="24"/>
        </w:rPr>
        <w:t>A mechanistically richer extension would adopt agent-based modeling (Schelling, 1971; Park et al., 2023) with explicit deterrence dynamics, individual-level perceived risk, and interaction with peers. Such extensions are beyond the scope of v2.0 pre-registration but are pre-flagged as Phase 2 follow-up work in the present manuscript.</w:t>
      </w:r>
    </w:p>
    <w:p>
      <w:pPr>
        <w:spacing w:line="480" w:lineRule="auto" w:before="0" w:after="0"/>
        <w:jc w:val="left"/>
      </w:pPr>
      <w:r>
        <w:rPr>
          <w:rFonts w:ascii="Times New Roman" w:hAnsi="Times New Roman" w:eastAsia="Times New Roman"/>
          <w:b/>
          <w:sz w:val="24"/>
        </w:rPr>
        <w:t>Causal under-identification among M2/M3/M4</w:t>
      </w:r>
    </w:p>
    <w:p>
      <w:pPr>
        <w:spacing w:line="480" w:lineRule="auto" w:before="0" w:after="0"/>
        <w:ind w:firstLine="720"/>
      </w:pPr>
      <w:r>
        <w:rPr>
          <w:rFonts w:ascii="Times New Roman" w:hAnsi="Times New Roman" w:eastAsia="Times New Roman"/>
          <w:sz w:val="24"/>
        </w:rPr>
        <w:t>Our analysis is inconsistent with M1 (direct personality-causation of harassment) as the dominant mechanism but cannot distinguish among M2 (selection into harassment-prone environments), M3 (confounding via SES/educational/economic factors), or M4 (reverse causation: harassment depresses HEXACO-H scores via cynicism). Each of M2–M4 is consistent with our Counterfactual A null result. Identification would require either: (a) an exogenous shock or instrumental variable affecting HEXACO scores independent of harassment exposure; (b) a longitudinal design with pre-employment HEXACO measurement; or (c) a sibling/twin-controlled design. None of these is feasible within the present cross-sectional preregistration. Consequently, the substantive interpretation of the low-HH–harassment association is left open at the level of mechanism, while the substantive ordering reported here (structural-pathway contrast dominates personality-pathway contrast in absolute magnitude under the calibrated effect sizes) is unaffected.</w:t>
      </w:r>
    </w:p>
    <w:p>
      <w:pPr>
        <w:spacing w:line="480" w:lineRule="auto" w:before="0" w:after="0"/>
        <w:jc w:val="left"/>
      </w:pPr>
      <w:r>
        <w:rPr>
          <w:rFonts w:ascii="Times New Roman" w:hAnsi="Times New Roman" w:eastAsia="Times New Roman"/>
          <w:b/>
          <w:sz w:val="24"/>
        </w:rPr>
        <w:t>Heterogeneity in counterfactual response</w:t>
      </w:r>
    </w:p>
    <w:p>
      <w:pPr>
        <w:spacing w:line="480" w:lineRule="auto" w:before="0" w:after="0"/>
        <w:ind w:firstLine="720"/>
      </w:pPr>
      <w:r>
        <w:rPr>
          <w:rFonts w:ascii="Times New Roman" w:hAnsi="Times New Roman" w:eastAsia="Times New Roman"/>
          <w:sz w:val="24"/>
        </w:rPr>
        <w:t>Counterfactual C is operationalized as a uniform 20% reduction across all 14 cells. In reality, structural interventions plausibly differ in efficacy across HEXACO 7-typology × gender combinations: cell-specific intervention effects could amplify or attenuate the global average. Our analysis does not estimate cell-specific intervention efficacy. A natural extension is to allow ΔP_C to vary by cell, parameterized as a multiplicative factor F_c per cell, and to estimate F_c via auxiliary data (e.g., MHLW industry × gender breakdowns of intervention adoption).</w:t>
      </w:r>
    </w:p>
    <w:p>
      <w:pPr>
        <w:spacing w:line="480" w:lineRule="auto" w:before="0" w:after="0"/>
        <w:jc w:val="left"/>
      </w:pPr>
      <w:r>
        <w:rPr>
          <w:rFonts w:ascii="Times New Roman" w:hAnsi="Times New Roman" w:eastAsia="Times New Roman"/>
          <w:b/>
          <w:sz w:val="24"/>
        </w:rPr>
        <w:t>Static framing</w:t>
      </w:r>
    </w:p>
    <w:p>
      <w:pPr>
        <w:spacing w:line="480" w:lineRule="auto" w:before="0" w:after="0"/>
        <w:ind w:firstLine="720"/>
      </w:pPr>
      <w:r>
        <w:rPr>
          <w:rFonts w:ascii="Times New Roman" w:hAnsi="Times New Roman" w:eastAsia="Times New Roman"/>
          <w:sz w:val="24"/>
        </w:rPr>
        <w:t>The simulation produces a single population-level snapshot under each counterfactual; it does not model dynamic effects such as institutional erosion (intervention efficacy decay over time), behavioral adaptation (perpetrator response), or composition change (workforce HEXACO drift). Stage 8's transportability factor sweep partially addresses this concern by stress-testing the conclusion against attenuation, but a fully dynamic agent-based extension is required for endogenous modeling of these mechanisms.</w:t>
      </w:r>
    </w:p>
    <w:p>
      <w:pPr>
        <w:spacing w:line="480" w:lineRule="auto" w:before="0" w:after="0"/>
        <w:jc w:val="left"/>
      </w:pPr>
      <w:r>
        <w:rPr>
          <w:rFonts w:ascii="Times New Roman" w:hAnsi="Times New Roman" w:eastAsia="Times New Roman"/>
          <w:b/>
          <w:sz w:val="24"/>
        </w:rPr>
        <w:t>Cluster-proportion limitation (cluster mass fixed at the Tokiwa 2026 values)</w:t>
      </w:r>
    </w:p>
    <w:p>
      <w:pPr>
        <w:spacing w:line="480" w:lineRule="auto" w:before="0" w:after="0"/>
        <w:ind w:firstLine="720"/>
      </w:pPr>
      <w:r>
        <w:rPr>
          <w:rFonts w:ascii="Times New Roman" w:hAnsi="Times New Roman" w:eastAsia="Times New Roman"/>
          <w:sz w:val="24"/>
        </w:rPr>
        <w:t>The 7-cluster proportions used in Stage 1 reweighting remain fixed at the Tokiwa (2026) values for N = 13,668; only the gender marginal is updated to the Statistics Bureau (MIC) 2022 working-population value. This is a conscious limitation, acknowledged in pre-registration: the Labour Force Survey does not capture HEXACO cluster membership, so the cluster proportions cannot be updated. The OAT sensitivity sweep over cluster mass shifts (Results — Sensitivity sweep) shows that the H1 conclusion depends on the cluster proportions, with MAPE ranging from 34.55% (favorable composition) to 56.47% (unfavorable). We disclose this dependency explicitly and recommend that future Phase 2 work integrate larger-sample HEXACO surveys (e.g., the JLPS panel) to relax this constraint.</w:t>
      </w:r>
    </w:p>
    <w:p>
      <w:pPr>
        <w:spacing w:line="480" w:lineRule="auto" w:before="0" w:after="0"/>
        <w:jc w:val="left"/>
      </w:pPr>
      <w:r>
        <w:rPr>
          <w:rFonts w:ascii="Times New Roman" w:hAnsi="Times New Roman" w:eastAsia="Times New Roman"/>
          <w:b/>
          <w:sz w:val="24"/>
        </w:rPr>
        <w:t>Sample-size and external-validity caveats</w:t>
      </w:r>
    </w:p>
    <w:p>
      <w:pPr>
        <w:spacing w:line="480" w:lineRule="auto" w:before="0" w:after="0"/>
        <w:ind w:firstLine="720"/>
      </w:pPr>
      <w:r>
        <w:rPr>
          <w:rFonts w:ascii="Times New Roman" w:hAnsi="Times New Roman" w:eastAsia="Times New Roman"/>
          <w:sz w:val="24"/>
        </w:rPr>
        <w:t>The N = 354 individual-level harassment sample is demographically heterogeneous within Japan but does not match the MHLW survey's sampling frame perfectly. The cell sizes range from 10 to 70 (median 18); some cells contribute weakly to per-cell propensity precision. The sensitivity sweep over EB shrinkage scale (Results — Sensitivity sweep) confirms that estimates are robust to alternative shrinkage strengths, but precision could be improved with larger samples. We have refrained from pooling additional samples to preserve pre-registration integrity; future replication studies are encouraged.</w:t>
      </w:r>
    </w:p>
    <w:p>
      <w:pPr>
        <w:spacing w:line="480" w:lineRule="auto" w:before="0" w:after="0"/>
        <w:jc w:val="center"/>
      </w:pPr>
      <w:r>
        <w:rPr>
          <w:rFonts w:ascii="Times New Roman" w:hAnsi="Times New Roman" w:eastAsia="Times New Roman"/>
          <w:b/>
          <w:sz w:val="24"/>
        </w:rPr>
        <w:t>Research implications</w:t>
      </w:r>
    </w:p>
    <w:p>
      <w:pPr>
        <w:spacing w:line="480" w:lineRule="auto" w:before="0" w:after="0"/>
        <w:ind w:firstLine="720"/>
      </w:pPr>
      <w:r>
        <w:rPr>
          <w:rFonts w:ascii="Times New Roman" w:hAnsi="Times New Roman" w:eastAsia="Times New Roman"/>
          <w:sz w:val="24"/>
        </w:rPr>
        <w:t>The integrated findings carry three implications for subsequent research, framed at the level of theory and empirical priority rather than as prescriptive recommendations to any particular institution.</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Calibrated counterfactual comparison as a methodological template.</w:t>
      </w:r>
      <w:r>
        <w:rPr>
          <w:rFonts w:ascii="Times New Roman" w:hAnsi="Times New Roman" w:eastAsia="Times New Roman"/>
          <w:sz w:val="24"/>
        </w:rPr>
        <w:t xml:space="preserve"> When two intervention pathways are debated at the level of population-level efficacy but each is supported by a separate, non-comparable evidence base (training-effect meta-analyses on the personality side; organizational-intervention meta-analyses on the structural side), a microsimulation that propagates each effect-size calibration through a common population denominator provides an apples-to-apples comparison metric. The present study illustrates this template for the HEXACO–harassment context; analogous applications to other trait–outcome dyads (e.g., conscientiousness–performance, emotional stability–burnout) are a natural extension. 2. </w:t>
      </w:r>
      <w:r>
        <w:rPr>
          <w:rFonts w:ascii="Times New Roman" w:hAnsi="Times New Roman" w:eastAsia="Times New Roman"/>
          <w:b/>
          <w:sz w:val="24"/>
        </w:rPr>
        <w:t>Identification limits of HEXACO-based screening as an empirical question.</w:t>
      </w:r>
      <w:r>
        <w:rPr>
          <w:rFonts w:ascii="Times New Roman" w:hAnsi="Times New Roman" w:eastAsia="Times New Roman"/>
          <w:sz w:val="24"/>
        </w:rPr>
        <w:t xml:space="preserve"> The use of HEXACO scores in pre-employment screening to predict harassment-related risk presupposes a direct-causation reading of HEXACO–harassment associations that the present null result for Counterfactual A does not support. Because our analysis cannot adjudicate among selection (M2), confounding (M3), and reverse causation (M4), the screening question remains underdetermined and would benefit from longitudinal designs with pre-employment HEXACO measurement, sibling/twin-controlled designs, or instrumental-variable approaches. 3. </w:t>
      </w:r>
      <w:r>
        <w:rPr>
          <w:rFonts w:ascii="Times New Roman" w:hAnsi="Times New Roman" w:eastAsia="Times New Roman"/>
          <w:b/>
          <w:sz w:val="24"/>
        </w:rPr>
        <w:t>Structural-intervention efficacy as a heterogeneity question.</w:t>
      </w:r>
      <w:r>
        <w:rPr>
          <w:rFonts w:ascii="Times New Roman" w:hAnsi="Times New Roman" w:eastAsia="Times New Roman"/>
          <w:sz w:val="24"/>
        </w:rPr>
        <w:t xml:space="preserve"> Counterfactual C is operationalized as a uniform 20% reduction across all 14 cells. A natural empirical extension is to estimate cell-specific structural-intervention efficacy F_c using auxiliary data linking adoption of organizational reforms to harassment-prevalence change, allowing the global ordering reported here to be refined into subgroup-specific estimates. Such estimates would also inform the substantive interpretation of the MHLW FY2016 → FY2023 decline, which the present design treats as substantive context rather than as a formal causal estimand.</w:t>
      </w:r>
    </w:p>
    <w:p>
      <w:pPr>
        <w:spacing w:line="480" w:lineRule="auto" w:before="0" w:after="0"/>
        <w:jc w:val="center"/>
      </w:pPr>
      <w:r>
        <w:rPr>
          <w:rFonts w:ascii="Times New Roman" w:hAnsi="Times New Roman" w:eastAsia="Times New Roman"/>
          <w:b/>
          <w:sz w:val="24"/>
        </w:rPr>
        <w:t>Conclusion</w:t>
      </w:r>
    </w:p>
    <w:p>
      <w:pPr>
        <w:spacing w:line="480" w:lineRule="auto" w:before="0" w:after="0"/>
        <w:ind w:firstLine="720"/>
      </w:pPr>
      <w:r>
        <w:rPr>
          <w:rFonts w:ascii="Times New Roman" w:hAnsi="Times New Roman" w:eastAsia="Times New Roman"/>
          <w:sz w:val="24"/>
        </w:rPr>
        <w:t>We pre-registered and executed a HEXACO 7-typology workplace-harassment microsimulation that emulates a target trial of three counterfactual interventions in Japan. The null contrasts for the personality-intervention counterfactuals (ΔP_A = −0.0061 and ΔP_B = −0.0059, both with 95% CIs crossing zero) and the positive contrast for the structural-intervention counterfactual (ΔP_C = +0.0349, 95% CI excluding zero), together with the H7 IUT classification of REVERSAL across all four pre-registered cultural-attenuation factors, indicate that — under the prior meta-analytic effect sizes from which each counterfactual was calibrated — the absolute population-level magnitude of the structural-pathway contrast exceeds that of the personality-pathway contrast by approximately five-fold. The MHLW FY2016 → FY2023 13.2 pp decline provides substantive context for this ordering rather than a formal causal estimand. We argue, narrowly, that the analysis is consistent with treating HEXACO 7-typology as a stratification lens identifying differentially exposed subpopulations rather than as a target for individual-level intervention, and we caution against interpretations that outrun this evidence. All code, data, and intermediate artifacts are publicly available under MIT license; full reproducibility is verified via SHA-256 hash comparison against the v2.0 OSF registration.</w:t>
      </w:r>
    </w:p>
    <w:p>
      <w:r>
        <w:br w:type="page"/>
      </w:r>
    </w:p>
    <w:p>
      <w:pPr>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Ashton, M.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Ashton, M. C., &amp; Lee, K. (2009). The HEXACO-60: A short measure of the major dimensions of personality. Journal of Personality Assessment, 91(4), 340–345. https://doi.org/10.1080/00223890902935878</w:t>
      </w:r>
    </w:p>
    <w:p>
      <w:pPr>
        <w:spacing w:line="480" w:lineRule="auto" w:before="0" w:after="0"/>
        <w:ind w:left="720" w:hanging="720"/>
      </w:pPr>
      <w:r>
        <w:rPr>
          <w:rFonts w:ascii="Times New Roman" w:hAnsi="Times New Roman" w:eastAsia="Times New Roman"/>
          <w:sz w:val="24"/>
        </w:rPr>
        <w:t>Berger, R. L., &amp; Hsu, J. C. (1996). Bioequivalence trials, intersection-union tests and equivalence confidence sets. Statistical Science, 11(4), 283–319. https://doi.org/10.1214/ss/1032280304</w:t>
      </w:r>
    </w:p>
    <w:p>
      <w:pPr>
        <w:spacing w:line="480" w:lineRule="auto" w:before="0" w:after="0"/>
        <w:ind w:left="720" w:hanging="720"/>
      </w:pPr>
      <w:r>
        <w:rPr>
          <w:rFonts w:ascii="Times New Roman" w:hAnsi="Times New Roman" w:eastAsia="Times New Roman"/>
          <w:sz w:val="24"/>
        </w:rPr>
        <w:t>Carlin, B. P., &amp; Louis, T. A. (2000). Bayes and empirical Bayes methods for data analysis (2nd ed.). Chapman &amp; Hall/CRC.</w:t>
      </w:r>
    </w:p>
    <w:p>
      <w:pPr>
        <w:spacing w:line="480" w:lineRule="auto" w:before="0" w:after="0"/>
        <w:ind w:left="720" w:hanging="720"/>
      </w:pPr>
      <w:r>
        <w:rPr>
          <w:rFonts w:ascii="Times New Roman" w:hAnsi="Times New Roman" w:eastAsia="Times New Roman"/>
          <w:sz w:val="24"/>
        </w:rPr>
        <w:t>Efron, B. (1987). Better bootstrap confidence intervals. Journal of the American Statistical Association, 82(397), 171–185. https://doi.org/10.1080/01621459.1987.10478410</w:t>
      </w:r>
    </w:p>
    <w:p>
      <w:pPr>
        <w:spacing w:line="480" w:lineRule="auto" w:before="0" w:after="0"/>
        <w:ind w:left="720" w:hanging="720"/>
      </w:pPr>
      <w:r>
        <w:rPr>
          <w:rFonts w:ascii="Times New Roman" w:hAnsi="Times New Roman" w:eastAsia="Times New Roman"/>
          <w:sz w:val="24"/>
        </w:rPr>
        <w:t>Escartín, J. (2016). Insights into workplace bullying: Psychosocial drivers and effective interventions. Psychology Research and Behavior Management, 9, 157–169. https://doi.org/10.2147/PRBM.S91211</w:t>
      </w:r>
    </w:p>
    <w:p>
      <w:pPr>
        <w:spacing w:line="480" w:lineRule="auto" w:before="0" w:after="0"/>
        <w:ind w:left="720" w:hanging="720"/>
      </w:pPr>
      <w:r>
        <w:rPr>
          <w:rFonts w:ascii="Times New Roman" w:hAnsi="Times New Roman" w:eastAsia="Times New Roman"/>
          <w:sz w:val="24"/>
        </w:rPr>
        <w:t>Glasø, L., Matthiesen, S. B., Nielsen, M. B., &amp; Einarsen, S. (2007). Do targets of workplace bullying portray a general victim personality profile? Scandinavian Journal of Psychology, 48(4), 313–319. https://doi.org/10.1111/j.1467-9450.2007.00554.x</w:t>
      </w:r>
    </w:p>
    <w:p>
      <w:pPr>
        <w:spacing w:line="480" w:lineRule="auto" w:before="0" w:after="0"/>
        <w:ind w:left="720" w:hanging="720"/>
      </w:pPr>
      <w:r>
        <w:rPr>
          <w:rFonts w:ascii="Times New Roman" w:hAnsi="Times New Roman" w:eastAsia="Times New Roman"/>
          <w:sz w:val="24"/>
        </w:rPr>
        <w:t>Hernán, M. A., &amp; Robins, J. M. (2016). Using big data to emulate a target trial when a randomized trial is not available. American Journal of Epidemiology, 183(8), 758–764. https://doi.org/10.1093/aje/kwv254</w:t>
      </w:r>
    </w:p>
    <w:p>
      <w:pPr>
        <w:spacing w:line="480" w:lineRule="auto" w:before="0" w:after="0"/>
        <w:ind w:left="720" w:hanging="720"/>
      </w:pPr>
      <w:r>
        <w:rPr>
          <w:rFonts w:ascii="Times New Roman" w:hAnsi="Times New Roman" w:eastAsia="Times New Roman"/>
          <w:sz w:val="24"/>
        </w:rPr>
        <w:t>Hernán, M. A., &amp; Robins, J. M. (2020). Causal inference: What if. Chapman &amp; Hall/CRC. https://www.hsph.harvard.edu/miguel-hernan/causal-inference-book/</w:t>
      </w:r>
    </w:p>
    <w:p>
      <w:pPr>
        <w:spacing w:line="480" w:lineRule="auto" w:before="0" w:after="0"/>
        <w:ind w:left="720" w:hanging="720"/>
      </w:pPr>
      <w:r>
        <w:rPr>
          <w:rFonts w:ascii="Times New Roman" w:hAnsi="Times New Roman" w:eastAsia="Times New Roman"/>
          <w:sz w:val="24"/>
        </w:rPr>
        <w:t>Hershcovis, M. S., &amp; Barling, J. (2010). Towards a multi-foci approach to workplace aggression: A meta-analytic review of outcomes from different perpetrators. Journal of Organizational Behavior, 31(1), 24–44. https://doi.org/10.1002/job.621</w:t>
      </w:r>
    </w:p>
    <w:p>
      <w:pPr>
        <w:spacing w:line="480" w:lineRule="auto" w:before="0" w:after="0"/>
        <w:ind w:left="720" w:hanging="720"/>
      </w:pPr>
      <w:r>
        <w:rPr>
          <w:rFonts w:ascii="Times New Roman" w:hAnsi="Times New Roman" w:eastAsia="Times New Roman"/>
          <w:sz w:val="24"/>
        </w:rPr>
        <w:t>Hodgins, M., MacCurtain, S., &amp; Mannix-McNamara, P. (2014). Workplace bullying and incivility: A systematic review of interventions. International Journal of Workplace Health Management, 7(1), 54–72. https://doi.org/10.1108/IJWHM-08-2013-0030</w:t>
      </w:r>
    </w:p>
    <w:p>
      <w:pPr>
        <w:spacing w:line="480" w:lineRule="auto" w:before="0" w:after="0"/>
        <w:ind w:left="720" w:hanging="720"/>
      </w:pPr>
      <w:r>
        <w:rPr>
          <w:rFonts w:ascii="Times New Roman" w:hAnsi="Times New Roman" w:eastAsia="Times New Roman"/>
          <w:sz w:val="24"/>
        </w:rPr>
        <w:t>Hudgens, M. G., &amp; Halloran, M. E. (2008). Toward causal inference with interference. Journal of the American Statistical Association, 103(482), 832–842. https://doi.org/10.1198/016214508000000292</w:t>
      </w:r>
    </w:p>
    <w:p>
      <w:pPr>
        <w:spacing w:line="480" w:lineRule="auto" w:before="0" w:after="0"/>
        <w:ind w:left="720" w:hanging="720"/>
      </w:pPr>
      <w:r>
        <w:rPr>
          <w:rFonts w:ascii="Times New Roman" w:hAnsi="Times New Roman" w:eastAsia="Times New Roman"/>
          <w:sz w:val="24"/>
        </w:rPr>
        <w:t>Hudson, N. W., &amp; Fraley, R. C. (2015). Volitional personality trait change: Can people choose to change their personality traits? Journal of Personality and Social Psychology, 109(3), 490–507. https://doi.org/10.1037/pspp0000021</w:t>
      </w:r>
    </w:p>
    <w:p>
      <w:pPr>
        <w:spacing w:line="480" w:lineRule="auto" w:before="0" w:after="0"/>
        <w:ind w:left="720" w:hanging="720"/>
      </w:pPr>
      <w:r>
        <w:rPr>
          <w:rFonts w:ascii="Times New Roman" w:hAnsi="Times New Roman" w:eastAsia="Times New Roman"/>
          <w:sz w:val="24"/>
        </w:rPr>
        <w:t>Kobayashi, A., &amp; Tanaka, K. (2010). Development of the Gender Harassment Scale. Japanese Journal of Industrial and Organizational Psychology, 24(1), 15–27. https://doi.org/10.32222/jaiop.24.1_15 [in Japanese]</w:t>
      </w:r>
    </w:p>
    <w:p>
      <w:pPr>
        <w:spacing w:line="480" w:lineRule="auto" w:before="0" w:after="0"/>
        <w:ind w:left="720" w:hanging="720"/>
      </w:pPr>
      <w:r>
        <w:rPr>
          <w:rFonts w:ascii="Times New Roman" w:hAnsi="Times New Roman" w:eastAsia="Times New Roman"/>
          <w:sz w:val="24"/>
        </w:rPr>
        <w:t>Lee, K., Ashton, M. C., Wiltshire, J., Bourdage, J. S., Visser, B. A., &amp; Gallucci, A. (2013). Sex, power, and money: Prediction from the Dark Triad and Honesty-Humility. European Journal of Personality, 27(2), 169–184. https://doi.org/10.1002/per.1860</w:t>
      </w:r>
    </w:p>
    <w:p>
      <w:pPr>
        <w:spacing w:line="480" w:lineRule="auto" w:before="0" w:after="0"/>
        <w:ind w:left="720" w:hanging="720"/>
      </w:pPr>
      <w:r>
        <w:rPr>
          <w:rFonts w:ascii="Times New Roman" w:hAnsi="Times New Roman" w:eastAsia="Times New Roman"/>
          <w:sz w:val="24"/>
        </w:rPr>
        <w:t>Lindell, M. K., &amp; Whitney, D. J. (2001). Accounting for common method variance in cross-sectional research designs. Journal of Applied Psychology, 86(1), 114–121. https://doi.org/10.1037/0021-9010.86.1.114</w:t>
      </w:r>
    </w:p>
    <w:p>
      <w:pPr>
        <w:spacing w:line="480" w:lineRule="auto" w:before="0" w:after="0"/>
        <w:ind w:left="720" w:hanging="720"/>
      </w:pPr>
      <w:r>
        <w:rPr>
          <w:rFonts w:ascii="Times New Roman" w:hAnsi="Times New Roman" w:eastAsia="Times New Roman"/>
          <w:sz w:val="24"/>
        </w:rPr>
        <w:t>Linton, D. K., &amp; Power, J. L. (2013). The personality traits of workplace bullies are often shared by their victims: Is there a dark side to victims? Personality and Individual Differences, 54(6), 738–743. https://doi.org/10.1016/j.paid.2012.11.026</w:t>
      </w:r>
    </w:p>
    <w:p>
      <w:pPr>
        <w:spacing w:line="480" w:lineRule="auto" w:before="0" w:after="0"/>
        <w:ind w:left="720" w:hanging="720"/>
      </w:pPr>
      <w:r>
        <w:rPr>
          <w:rFonts w:ascii="Times New Roman" w:hAnsi="Times New Roman" w:eastAsia="Times New Roman"/>
          <w:sz w:val="24"/>
        </w:rPr>
        <w:t>Mikkelsen, E. G., Hansen, Å. M., Persson, R., Byrgesen, M. F., &amp; Hogh, A. (2020). Individual consequences of being exposed to workplace bullying. In S. Einarsen, H. Hoel, D. Zapf, &amp; C. L. Cooper (Eds.), Bullying and harassment in the workplace: Theory, research and practice (3rd ed., pp. 163–208). CRC Press. https://doi.org/10.1201/9780429462528-6</w:t>
      </w:r>
    </w:p>
    <w:p>
      <w:pPr>
        <w:spacing w:line="480" w:lineRule="auto" w:before="0" w:after="0"/>
        <w:ind w:left="720" w:hanging="720"/>
      </w:pPr>
      <w:r>
        <w:rPr>
          <w:rFonts w:ascii="Times New Roman" w:hAnsi="Times New Roman" w:eastAsia="Times New Roman"/>
          <w:sz w:val="24"/>
        </w:rPr>
        <w:t>Ministry of Health, Labour and Welfare (MHLW). (2017). Workplace harassment survey: H28 (FY2016)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(2021). Workplace harassment survey: R2 (FY2020)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(2024). Workplace harassment survey: R5 (FY2023) results [Original report in Japanese]. https://www.mhlw.go.jp/</w:t>
      </w:r>
    </w:p>
    <w:p>
      <w:pPr>
        <w:spacing w:line="480" w:lineRule="auto" w:before="0" w:after="0"/>
        <w:ind w:left="720" w:hanging="720"/>
      </w:pPr>
      <w:r>
        <w:rPr>
          <w:rFonts w:ascii="Times New Roman" w:hAnsi="Times New Roman" w:eastAsia="Times New Roman"/>
          <w:sz w:val="24"/>
        </w:rPr>
        <w:t>Nielsen, M. B., Glasø, L., &amp; Einarsen, S. (2017). Exposure to workplace harassment and the Five Factor Model of personality: A meta-analysis. Personality and Individual Differences, 104, 195–206. https://doi.org/10.1016/j.paid.2016.08.015</w:t>
      </w:r>
    </w:p>
    <w:p>
      <w:pPr>
        <w:spacing w:line="480" w:lineRule="auto" w:before="0" w:after="0"/>
        <w:ind w:left="720" w:hanging="720"/>
      </w:pPr>
      <w:r>
        <w:rPr>
          <w:rFonts w:ascii="Times New Roman" w:hAnsi="Times New Roman" w:eastAsia="Times New Roman"/>
          <w:sz w:val="24"/>
        </w:rPr>
        <w:t>Page, E. B. (1963). Ordered hypotheses for multiple treatments: A significance test for linear ranks. Journal of the American Statistical Association, 58(301), 216–230. https://doi.org/10.1080/01621459.1963.10500843</w:t>
      </w:r>
    </w:p>
    <w:p>
      <w:pPr>
        <w:spacing w:line="480" w:lineRule="auto" w:before="0" w:after="0"/>
        <w:ind w:left="720" w:hanging="720"/>
      </w:pPr>
      <w:r>
        <w:rPr>
          <w:rFonts w:ascii="Times New Roman" w:hAnsi="Times New Roman" w:eastAsia="Times New Roman"/>
          <w:sz w:val="24"/>
        </w:rPr>
        <w:t>Park, J. S., O'Brien, J. C., Cai, C. J., Morris, M. R., Liang, P., &amp; Bernstein, M. S. (2023). Generative agents: Interactive simulacra of human behavior. In Proceedings of the 36th Annual ACM Symposium on User Interface Software and Technology (Article 2, pp. 1–22). https://doi.org/10.1145/3586183.3606763</w:t>
      </w:r>
    </w:p>
    <w:p>
      <w:pPr>
        <w:spacing w:line="480" w:lineRule="auto" w:before="0" w:after="0"/>
        <w:ind w:left="720" w:hanging="720"/>
      </w:pPr>
      <w:r>
        <w:rPr>
          <w:rFonts w:ascii="Times New Roman" w:hAnsi="Times New Roman" w:eastAsia="Times New Roman"/>
          <w:sz w:val="24"/>
        </w:rPr>
        <w:t>Pearl, J. (2009). Causality: Models, reasoning, and inference (2nd ed.). Cambridge University Press.</w:t>
      </w:r>
    </w:p>
    <w:p>
      <w:pPr>
        <w:spacing w:line="480" w:lineRule="auto" w:before="0" w:after="0"/>
        <w:ind w:left="720" w:hanging="720"/>
      </w:pPr>
      <w:r>
        <w:rPr>
          <w:rFonts w:ascii="Times New Roman" w:hAnsi="Times New Roman" w:eastAsia="Times New Roman"/>
          <w:sz w:val="24"/>
        </w:rPr>
        <w:t>Pilch, I., &amp; Turska, E. (2015). Relationships between Machiavellianism, organizational culture, and workplace bullying: Emotional abuse from the target's and the perpetrator's perspective. Journal of Business Ethics, 128(1), 83–93. https://doi.org/10.1007/s10551-014-2081-3</w:t>
      </w:r>
    </w:p>
    <w:p>
      <w:pPr>
        <w:spacing w:line="480" w:lineRule="auto" w:before="0" w:after="0"/>
        <w:ind w:left="720" w:hanging="720"/>
      </w:pPr>
      <w:r>
        <w:rPr>
          <w:rFonts w:ascii="Times New Roman" w:hAnsi="Times New Roman" w:eastAsia="Times New Roman"/>
          <w:sz w:val="24"/>
        </w:rPr>
        <w:t>Podsakoff, P. M., MacKenzie, S. B., Lee, J. Y., &amp; Podsakoff, N. P. (2003). Common method biases in behavioral research: A critical review of the literature and recommended remedies. Journal of Applied Psychology, 88(5), 879–903. https://doi.org/10.1037/0021-9010.88.5.879</w:t>
      </w:r>
    </w:p>
    <w:p>
      <w:pPr>
        <w:spacing w:line="480" w:lineRule="auto" w:before="0" w:after="0"/>
        <w:ind w:left="720" w:hanging="720"/>
      </w:pPr>
      <w:r>
        <w:rPr>
          <w:rFonts w:ascii="Times New Roman" w:hAnsi="Times New Roman" w:eastAsia="Times New Roman"/>
          <w:sz w:val="24"/>
        </w:rPr>
        <w:t>Power, J. L., Brotheridge, C. M., Blenkinsopp, J., Bowes-Sperry, L., Bozionelos, N., Buzády, Z., Chuang, A., Drnevich, D., Garzon-Vico, A., Leighton, C., Madero, S. M., Mak, W., Mathew, R., Monserrat, S. I., Mujtaba, B. G., Olivas-Lujan, M. R., Polycroniou, P., Sprigg, C. A., Axtell, C., … Nnedum, A. U. O. (2013). Acceptability of workplace bullying: A comparative study on six continents. Journal of Business Research, 66(3), 374–380. https://doi.org/10.1016/j.jbusres.2011.08.018</w:t>
      </w:r>
    </w:p>
    <w:p>
      <w:pPr>
        <w:spacing w:line="480" w:lineRule="auto" w:before="0" w:after="0"/>
        <w:ind w:left="720" w:hanging="720"/>
      </w:pPr>
      <w:r>
        <w:rPr>
          <w:rFonts w:ascii="Times New Roman" w:hAnsi="Times New Roman" w:eastAsia="Times New Roman"/>
          <w:sz w:val="24"/>
        </w:rPr>
        <w:t>Roberts, B. W., Luo, J., Briley, D. A., Chow, P. I., Su, R., &amp; Hill, P. L. (2017). A systematic review of personality trait change through intervention. Psychological Bulletin, 143(2), 117–141. https://doi.org/10.1037/bul0000088</w:t>
      </w:r>
    </w:p>
    <w:p>
      <w:pPr>
        <w:spacing w:line="480" w:lineRule="auto" w:before="0" w:after="0"/>
        <w:ind w:left="720" w:hanging="720"/>
      </w:pPr>
      <w:r>
        <w:rPr>
          <w:rFonts w:ascii="Times New Roman" w:hAnsi="Times New Roman" w:eastAsia="Times New Roman"/>
          <w:sz w:val="24"/>
        </w:rPr>
        <w:t>Rutter, C. M., Zaslavsky, A. M., &amp; Feuer, E. J. (2011). Dynamic microsimulation models for health outcomes: A review. Medical Decision Making, 31(1), 10–18. https://doi.org/10.1177/0272989X10369005</w:t>
      </w:r>
    </w:p>
    <w:p>
      <w:pPr>
        <w:spacing w:line="480" w:lineRule="auto" w:before="0" w:after="0"/>
        <w:ind w:left="720" w:hanging="720"/>
      </w:pPr>
      <w:r>
        <w:rPr>
          <w:rFonts w:ascii="Times New Roman" w:hAnsi="Times New Roman" w:eastAsia="Times New Roman"/>
          <w:sz w:val="24"/>
        </w:rPr>
        <w:t>Salin, D. (2003). Ways of explaining workplace bullying: A review of enabling, motivating and precipitating structures and processes in the work environment. Human Relations, 56(10), 1213–1232. https://doi.org/10.1177/00187267035610003</w:t>
      </w:r>
    </w:p>
    <w:p>
      <w:pPr>
        <w:spacing w:line="480" w:lineRule="auto" w:before="0" w:after="0"/>
        <w:ind w:left="720" w:hanging="720"/>
      </w:pPr>
      <w:r>
        <w:rPr>
          <w:rFonts w:ascii="Times New Roman" w:hAnsi="Times New Roman" w:eastAsia="Times New Roman"/>
          <w:sz w:val="24"/>
        </w:rPr>
        <w:t>Salin, D. (2021). Workplace bullying and gender: An overview of empirical findings. In P. D'Cruz, E. Noronha, C. Caponecchia, J. Escartín, D. Salin, &amp; M. R. Tuckey (Eds.), Dignity and inclusion at work: Handbooks of workplace bullying, emotional abuse and harassment (Vol. 3, pp. 331–361). Springer. https://doi.org/10.1007/978-981-13-0218-3_12</w:t>
      </w:r>
    </w:p>
    <w:p>
      <w:pPr>
        <w:spacing w:line="480" w:lineRule="auto" w:before="0" w:after="0"/>
        <w:ind w:left="720" w:hanging="720"/>
      </w:pPr>
      <w:r>
        <w:rPr>
          <w:rFonts w:ascii="Times New Roman" w:hAnsi="Times New Roman" w:eastAsia="Times New Roman"/>
          <w:sz w:val="24"/>
        </w:rPr>
        <w:t>Schelling, T. C. (1971). Dynamic models of segregation. Journal of Mathematical Sociology, 1(2), 143–186. https://doi.org/10.1080/0022250X.1971.9989794</w:t>
      </w:r>
    </w:p>
    <w:p>
      <w:pPr>
        <w:spacing w:line="480" w:lineRule="auto" w:before="0" w:after="0"/>
        <w:ind w:left="720" w:hanging="720"/>
      </w:pPr>
      <w:r>
        <w:rPr>
          <w:rFonts w:ascii="Times New Roman" w:hAnsi="Times New Roman" w:eastAsia="Times New Roman"/>
          <w:sz w:val="24"/>
        </w:rPr>
        <w:t>Spielauer, M. (2011). What is social science microsimulation? Social Science Computer Review, 29(1), 9–20. https://doi.org/10.1177/0894439310370085</w:t>
      </w:r>
    </w:p>
    <w:p>
      <w:pPr>
        <w:spacing w:line="480" w:lineRule="auto" w:before="0" w:after="0"/>
        <w:ind w:left="720" w:hanging="720"/>
      </w:pPr>
      <w:r>
        <w:rPr>
          <w:rFonts w:ascii="Times New Roman" w:hAnsi="Times New Roman" w:eastAsia="Times New Roman"/>
          <w:sz w:val="24"/>
        </w:rPr>
        <w:t>Statistics Bureau, Ministry of Internal Affairs and Communications. (2023). Labour Force Survey (Basic Tabulation): 2022 Annual Average Results Summary [Original report in Japanese]. Tokyo: Statistics Bureau. Retrieved 2026-04-30 from https://www.e-stat.go.jp/</w:t>
      </w:r>
    </w:p>
    <w:p>
      <w:pPr>
        <w:spacing w:line="480" w:lineRule="auto" w:before="0" w:after="0"/>
        <w:ind w:left="720" w:hanging="720"/>
      </w:pPr>
      <w:r>
        <w:rPr>
          <w:rFonts w:ascii="Times New Roman" w:hAnsi="Times New Roman" w:eastAsia="Times New Roman"/>
          <w:sz w:val="24"/>
        </w:rPr>
        <w:t>Tokiwa, E. (2026). Cultural influences on personality types: A cluster analysis of HEXACO traits in Japan. IEEE Access. https://doi.org/10.1109/ACCESS.2026.3651324</w:t>
      </w:r>
    </w:p>
    <w:p>
      <w:pPr>
        <w:spacing w:line="480" w:lineRule="auto" w:before="0" w:after="0"/>
        <w:ind w:left="720" w:hanging="720"/>
      </w:pPr>
      <w:r>
        <w:rPr>
          <w:rFonts w:ascii="Times New Roman" w:hAnsi="Times New Roman" w:eastAsia="Times New Roman"/>
          <w:sz w:val="24"/>
        </w:rPr>
        <w:t>Tokiwa, E. (2025). Predicting power and gender harassment from HEXACO and Dark Traits (Version 1) [Preprint]. Research Square. https://doi.org/10.21203/rs.3.rs-7756124/v1</w:t>
      </w:r>
    </w:p>
    <w:p>
      <w:pPr>
        <w:spacing w:line="480" w:lineRule="auto" w:before="0" w:after="0"/>
        <w:ind w:left="720" w:hanging="720"/>
      </w:pPr>
      <w:r>
        <w:rPr>
          <w:rFonts w:ascii="Times New Roman" w:hAnsi="Times New Roman" w:eastAsia="Times New Roman"/>
          <w:sz w:val="24"/>
        </w:rPr>
        <w:t>Tou, K., Tsuda, A., Nii, M., Yamahiro, T., &amp; Irie, M. (2017). Development of new power harassment questionnaire in workplace. In Proceedings of the 81st Annual Convention of the Japanese Psychological Association. Japanese Psychological Association. [Conference paper; in Japanese]</w:t>
      </w:r>
    </w:p>
    <w:p>
      <w:pPr>
        <w:spacing w:line="480" w:lineRule="auto" w:before="0" w:after="0"/>
        <w:ind w:left="720" w:hanging="720"/>
      </w:pPr>
      <w:r>
        <w:rPr>
          <w:rFonts w:ascii="Times New Roman" w:hAnsi="Times New Roman" w:eastAsia="Times New Roman"/>
          <w:sz w:val="24"/>
        </w:rPr>
        <w:t>Wakabayashi, A. (2014). A sixth personality domain that is independent of the Big Five domains: The psychometric properties of the HEXACO Personality Inventory in a Japanese sample. Japanese Psychological Research, 56(3), 211–223. https://doi.org/10.1111/jpr.12045</w:t>
      </w:r>
    </w:p>
    <w:p>
      <w:pPr>
        <w:spacing w:line="480" w:lineRule="auto" w:before="0" w:after="0"/>
        <w:jc w:val="center"/>
      </w:pPr>
      <w:r>
        <w:rPr>
          <w:rFonts w:ascii="Times New Roman" w:hAnsi="Times New Roman" w:eastAsia="Times New Roman"/>
          <w:b/>
          <w:sz w:val="24"/>
        </w:rPr>
        <w:t>Reference notes</w:t>
      </w:r>
    </w:p>
    <w:p>
      <w:pPr>
        <w:spacing w:line="480" w:lineRule="auto" w:before="0" w:after="0"/>
        <w:ind w:left="720" w:hanging="720"/>
      </w:pPr>
      <w:r>
        <w:rPr>
          <w:rFonts w:ascii="Times New Roman" w:hAnsi="Times New Roman" w:eastAsia="Times New Roman"/>
          <w:sz w:val="24"/>
        </w:rPr>
        <w:t>1. Tokiwa (2026, IEEE Access) and Tokiwa (2025, Research Square preprint) are self-citations from the same author; their DOIs (10.1109/ACCESS.2026.3651324 and 10.21203/rs.3.rs-7756124/v1, respectively) are confirmed and resolvable as of submission. 2. MHLW survey series citations point to the Japanese government MHLW website; English-language summaries are available at the same URL with ?lang=en query parameter (verification recommended at submission time). 3. Kobayashi &amp; Tanaka (2010) and Tou et al. (2017) citations sourced from Tokiwa (2025) harassment preprint Manuscript_all.docx (verified 2026-04-30); the Tou et al. (2017) reference is a Japanese Psychological Association conference proceedings rather than a journal article. 4. Roberts et al. (2017) is the principal personality-change-intervention meta-analysis cited alongside Hudson and Fraley (2015) for the +0.3 SD upper-bound calibration of Counterfactual A.</w:t>
      </w:r>
    </w:p>
    <w:p>
      <w:r>
        <w:br w:type="page"/>
      </w:r>
    </w:p>
    <w:p>
      <w:pPr>
        <w:spacing w:line="480" w:lineRule="auto" w:before="0" w:after="0"/>
        <w:jc w:val="center"/>
      </w:pPr>
      <w:r>
        <w:rPr>
          <w:rFonts w:ascii="Times New Roman" w:hAnsi="Times New Roman" w:eastAsia="Times New Roman"/>
          <w:b/>
          <w:sz w:val="24"/>
        </w:rPr>
        <w:t>Tables</w:t>
      </w:r>
    </w:p>
    <w:p>
      <w:pPr>
        <w:spacing w:line="480" w:lineRule="auto" w:before="0" w:after="0"/>
        <w:jc w:val="left"/>
      </w:pPr>
      <w:r>
        <w:rPr>
          <w:rFonts w:ascii="Times New Roman" w:hAnsi="Times New Roman" w:eastAsia="Times New Roman"/>
          <w:b/>
          <w:sz w:val="24"/>
        </w:rPr>
        <w:t>Table 1. H1 Four-Tier Classification of Mean Absolute Percentage Error (MAPE) Across Three MHLW Validation Periods</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Predicted values are computed via 14-cell HEXACO 7-typology × gender propensity weighted by Statistics Bureau (MIC) Labour Force Survey 2022 marginals. Bootstrap 95% CIs use B = 10,000 cell-stratified resamples per the pre-registered headline-bootstrap rule. Tier classification follows the pre-registered four-tier hierarchy.</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Standard SUCCESS</w:t>
            </w:r>
          </w:p>
        </w:tc>
      </w:tr>
    </w:tbl>
    <w:p>
      <w:pPr>
        <w:spacing w:line="480" w:lineRule="auto" w:before="0" w:after="0"/>
      </w:pPr>
    </w:p>
    <w:p>
      <w:pPr>
        <w:spacing w:line="480" w:lineRule="auto" w:before="0" w:after="0"/>
        <w:jc w:val="left"/>
      </w:pPr>
      <w:r>
        <w:rPr>
          <w:rFonts w:ascii="Times New Roman" w:hAnsi="Times New Roman" w:eastAsia="Times New Roman"/>
          <w:b/>
          <w:sz w:val="24"/>
        </w:rPr>
        <w:t>Table 2. One-at-a-Time (OAT) Sensitivity Sweep Around the Locked v2.0 Main Configuration</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Each row varies the indicated parameter family while holding remaining parameters at the v2.0 main configuration. B = 2,000 percentile CIs reported on FY2016 MAPE.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jc w:val="left"/>
      </w:pPr>
      <w:r>
        <w:rPr>
          <w:rFonts w:ascii="Times New Roman" w:hAnsi="Times New Roman" w:eastAsia="Times New Roman"/>
          <w:b/>
          <w:sz w:val="24"/>
        </w:rPr>
        <w:t>Table 3. Baseline Comparison for H2 Ordinal Trend Hypothesis</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xml:space="preserve">. B0 trivially attains MAPE = 0 by construction (its prediction equals MHLW grand mean). H2 was tested via Bonferroni-Holm-corrected pairwise inequalities at one-sided α = 0.05 and Page's L (1963) ordinal trend test as auxiliary. </w:t>
      </w:r>
      <w:r>
        <w:rPr>
          <w:rFonts w:ascii="Times New Roman" w:hAnsi="Times New Roman" w:eastAsia="Times New Roman"/>
          <w:b/>
          <w:sz w:val="24"/>
        </w:rPr>
        <w:t>0 of 4 pairs were confirmed</w:t>
      </w:r>
      <w:r>
        <w:rPr>
          <w:rFonts w:ascii="Times New Roman" w:hAnsi="Times New Roman" w:eastAsia="Times New Roman"/>
          <w:sz w:val="24"/>
        </w:rPr>
        <w:t xml:space="preserve">; Page's L statistic </w:t>
      </w:r>
      <w:r>
        <w:rPr>
          <w:rFonts w:ascii="Times New Roman" w:hAnsi="Times New Roman" w:eastAsia="Times New Roman"/>
          <w:i/>
          <w:sz w:val="24"/>
        </w:rPr>
        <w:t>p</w:t>
      </w:r>
      <w:r>
        <w:rPr>
          <w:rFonts w:ascii="Times New Roman" w:hAnsi="Times New Roman" w:eastAsia="Times New Roman"/>
          <w:sz w:val="24"/>
        </w:rPr>
        <w:t xml:space="preserve"> = 0.9757. H2 decision: ambiguous_or_reversed. Baselines B0, B1, and B3 are deterministic functions of the realized cell counts under the cell-stratified bootstrap (their aggregation rules are closed-form given the cell partitions) and therefore yield zero-width bootstrap CIs by construction; B2 and B4 re-fit logistic-regression coefficients within each bootstrap replicate and accordingly show non-degenerate CIs.</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[0.00, 0.00] (deterministic)</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Gender-only logistic</w:t>
            </w:r>
          </w:p>
        </w:tc>
        <w:tc>
          <w:tcPr>
            <w:tcW w:type="dxa" w:w="2340"/>
          </w:tcPr>
          <w:p>
            <w:r>
              <w:rPr>
                <w:rFonts w:ascii="Times New Roman" w:hAnsi="Times New Roman" w:eastAsia="Times New Roman"/>
                <w:b w:val="0"/>
                <w:sz w:val="22"/>
              </w:rPr>
              <w:t>46.02%</w:t>
            </w:r>
          </w:p>
        </w:tc>
        <w:tc>
          <w:tcPr>
            <w:tcW w:type="dxa" w:w="2340"/>
          </w:tcPr>
          <w:p>
            <w:r>
              <w:rPr>
                <w:rFonts w:ascii="Times New Roman" w:hAnsi="Times New Roman" w:eastAsia="Times New Roman"/>
                <w:b w:val="0"/>
                <w:sz w:val="22"/>
              </w:rPr>
              <w:t>[46.02, 46.02] (deterministic)</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43.98%</w:t>
            </w:r>
          </w:p>
        </w:tc>
        <w:tc>
          <w:tcPr>
            <w:tcW w:type="dxa" w:w="2340"/>
          </w:tcPr>
          <w:p>
            <w:r>
              <w:rPr>
                <w:rFonts w:ascii="Times New Roman" w:hAnsi="Times New Roman" w:eastAsia="Times New Roman"/>
                <w:b w:val="0"/>
                <w:sz w:val="22"/>
              </w:rPr>
              <w:t>[40.33, 47.35]</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 (main pipeline)</w:t>
            </w:r>
          </w:p>
        </w:tc>
        <w:tc>
          <w:tcPr>
            <w:tcW w:type="dxa" w:w="2340"/>
          </w:tcPr>
          <w:p>
            <w:r>
              <w:rPr>
                <w:rFonts w:ascii="Times New Roman" w:hAnsi="Times New Roman" w:eastAsia="Times New Roman"/>
                <w:b w:val="0"/>
                <w:sz w:val="22"/>
              </w:rPr>
              <w:t>46.34%</w:t>
            </w:r>
          </w:p>
        </w:tc>
        <w:tc>
          <w:tcPr>
            <w:tcW w:type="dxa" w:w="2340"/>
          </w:tcPr>
          <w:p>
            <w:r>
              <w:rPr>
                <w:rFonts w:ascii="Times New Roman" w:hAnsi="Times New Roman" w:eastAsia="Times New Roman"/>
                <w:b w:val="0"/>
                <w:sz w:val="22"/>
              </w:rPr>
              <w:t>[46.34, 46.34] (deterministic)</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47.04%</w:t>
            </w:r>
          </w:p>
        </w:tc>
        <w:tc>
          <w:tcPr>
            <w:tcW w:type="dxa" w:w="2340"/>
          </w:tcPr>
          <w:p>
            <w:r>
              <w:rPr>
                <w:rFonts w:ascii="Times New Roman" w:hAnsi="Times New Roman" w:eastAsia="Times New Roman"/>
                <w:b w:val="0"/>
                <w:sz w:val="22"/>
              </w:rPr>
              <w:t>[45.02, 49.05]</w:t>
            </w:r>
          </w:p>
        </w:tc>
      </w:tr>
    </w:tbl>
    <w:p>
      <w:pPr>
        <w:spacing w:line="480" w:lineRule="auto" w:before="0" w:after="0"/>
      </w:pPr>
    </w:p>
    <w:p>
      <w:pPr>
        <w:spacing w:line="480" w:lineRule="auto" w:before="0" w:after="0"/>
        <w:jc w:val="left"/>
      </w:pPr>
      <w:r>
        <w:rPr>
          <w:rFonts w:ascii="Times New Roman" w:hAnsi="Times New Roman" w:eastAsia="Times New Roman"/>
          <w:b/>
          <w:sz w:val="24"/>
        </w:rPr>
        <w:t>Table 4. Counterfactual ΔP_x Estimates and H7 Intersection-Union Test</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xml:space="preserve">. Counterfactual operationalization follows the pre-registered specification. Positive ΔP indicates </w:t>
      </w:r>
      <w:r>
        <w:rPr>
          <w:rFonts w:ascii="Times New Roman" w:hAnsi="Times New Roman" w:eastAsia="Times New Roman"/>
          <w:i/>
          <w:sz w:val="24"/>
        </w:rPr>
        <w:t>reduction</w:t>
      </w:r>
      <w:r>
        <w:rPr>
          <w:rFonts w:ascii="Times New Roman" w:hAnsi="Times New Roman" w:eastAsia="Times New Roman"/>
          <w:sz w:val="24"/>
        </w:rPr>
        <w:t xml:space="preserve"> in prevalence (sign convention). Bootstrap CIs use B = 2,000 cell-stratified resamples. The H7 IUT (Berger &amp; Hsu, 1996) computes one-sided 95% lower bounds L_BA and L_BC. Classification follows the pre-registered priority cascade: REVERSAL (priority 1) is triggered when point ΔP_B &lt; ΔP_A OR point ΔP_B &lt; ΔP_C; CONFIRMED requires L_BA &gt; 0 AND L_BC &gt; 0; PARTIAL requires exactly one of L_BA, L_BC &gt; 0; AMBIGUOUS otherwise.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CI excludes 0?</w:t>
            </w:r>
          </w:p>
        </w:tc>
      </w:tr>
      <w:tr>
        <w:tc>
          <w:tcPr>
            <w:tcW w:type="dxa" w:w="1872"/>
          </w:tcPr>
          <w:p>
            <w:r>
              <w:rPr>
                <w:rFonts w:ascii="Times New Roman" w:hAnsi="Times New Roman" w:eastAsia="Times New Roman"/>
                <w:b w:val="0"/>
                <w:sz w:val="22"/>
              </w:rPr>
              <w:t>A (personality)</w:t>
            </w:r>
          </w:p>
        </w:tc>
        <w:tc>
          <w:tcPr>
            <w:tcW w:type="dxa" w:w="1872"/>
          </w:tcPr>
          <w:p>
            <w:r>
              <w:rPr>
                <w:rFonts w:ascii="Times New Roman" w:hAnsi="Times New Roman" w:eastAsia="Times New Roman"/>
                <w:b w:val="0"/>
                <w:sz w:val="22"/>
              </w:rPr>
              <w:t>do(HH ← +0.3σ; A ← +0.3σ;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[−0.0207, +0.0062]</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B (targeted HH+ on low-prev clusters)</w:t>
            </w:r>
          </w:p>
        </w:tc>
        <w:tc>
          <w:tcPr>
            <w:tcW w:type="dxa" w:w="1872"/>
          </w:tcPr>
          <w:p>
            <w:r>
              <w:rPr>
                <w:rFonts w:ascii="Times New Roman" w:hAnsi="Times New Roman" w:eastAsia="Times New Roman"/>
                <w:b w:val="0"/>
                <w:sz w:val="22"/>
              </w:rPr>
              <w:t>do(HH := HH + 0.40σ_HH) for individuals whose baseline cluster ∈ {0, 4, 6}</w:t>
            </w:r>
          </w:p>
        </w:tc>
        <w:tc>
          <w:tcPr>
            <w:tcW w:type="dxa" w:w="1872"/>
          </w:tcPr>
          <w:p>
            <w:r>
              <w:rPr>
                <w:rFonts w:ascii="Times New Roman" w:hAnsi="Times New Roman" w:eastAsia="Times New Roman"/>
                <w:b w:val="0"/>
                <w:sz w:val="22"/>
              </w:rPr>
              <w:t>−0.0059</w:t>
            </w:r>
          </w:p>
        </w:tc>
        <w:tc>
          <w:tcPr>
            <w:tcW w:type="dxa" w:w="1872"/>
          </w:tcPr>
          <w:p>
            <w:r>
              <w:rPr>
                <w:rFonts w:ascii="Times New Roman" w:hAnsi="Times New Roman" w:eastAsia="Times New Roman"/>
                <w:b w:val="0"/>
                <w:sz w:val="22"/>
              </w:rPr>
              <w:t>[−0.0207, +0.0066]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 (structural)</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[+0.0264, +0.0435]</w:t>
            </w:r>
          </w:p>
        </w:tc>
        <w:tc>
          <w:tcPr>
            <w:tcW w:type="dxa" w:w="1872"/>
          </w:tcPr>
          <w:p>
            <w:r>
              <w:rPr>
                <w:rFonts w:ascii="Times New Roman" w:hAnsi="Times New Roman" w:eastAsia="Times New Roman"/>
                <w:b w:val="0"/>
                <w:sz w:val="22"/>
              </w:rPr>
              <w:t>Yes</w:t>
            </w:r>
          </w:p>
        </w:tc>
      </w:tr>
    </w:tbl>
    <w:p>
      <w:pPr>
        <w:spacing w:line="480" w:lineRule="auto" w:before="0" w:after="0"/>
      </w:pPr>
    </w:p>
    <w:p>
      <w:pPr>
        <w:spacing w:line="480" w:lineRule="auto" w:before="0" w:after="0"/>
      </w:pPr>
      <w:r>
        <w:rPr>
          <w:rFonts w:ascii="Times New Roman" w:hAnsi="Times New Roman" w:eastAsia="Times New Roman"/>
          <w:b/>
          <w:sz w:val="24"/>
        </w:rPr>
        <w:t>H7 IUT:</w:t>
      </w:r>
      <w:r>
        <w:rPr>
          <w:rFonts w:ascii="Times New Roman" w:hAnsi="Times New Roman" w:eastAsia="Times New Roman"/>
          <w:sz w:val="24"/>
        </w:rPr>
        <w:t xml:space="preserve"> L_BA = −0.0011, L_BC = −0.0544; point ΔP_B &lt; point ΔP_C triggers the pre-registered priority-1 condition → </w:t>
      </w:r>
      <w:r>
        <w:rPr>
          <w:rFonts w:ascii="Times New Roman" w:hAnsi="Times New Roman" w:eastAsia="Times New Roman"/>
          <w:b/>
          <w:sz w:val="24"/>
        </w:rPr>
        <w:t>REVERSAL</w:t>
      </w:r>
    </w:p>
    <w:p>
      <w:pPr>
        <w:spacing w:line="480" w:lineRule="auto" w:before="0" w:after="0"/>
      </w:pPr>
      <w:r>
        <w:rPr>
          <w:rFonts w:ascii="Times New Roman" w:hAnsi="Times New Roman" w:eastAsia="Times New Roman"/>
          <w:b/>
          <w:sz w:val="24"/>
        </w:rPr>
        <w:t>Positivity diagnostic (per the pre-registered positivity rule):</w:t>
      </w:r>
      <w:r>
        <w:rPr>
          <w:rFonts w:ascii="Times New Roman" w:hAnsi="Times New Roman" w:eastAsia="Times New Roman"/>
          <w:sz w:val="24"/>
        </w:rPr>
        <w:t xml:space="preserve"> Counterfactual A and C trivially preserve positivity. Counterfactual B's flagged-weight share = 44.5%; the pre-registered downgrade rule is triggered. We interpret B's null finding as exploratory rather than confirmatory.</w:t>
      </w:r>
    </w:p>
    <w:p>
      <w:pPr>
        <w:spacing w:line="480" w:lineRule="auto" w:before="0" w:after="0"/>
        <w:jc w:val="left"/>
      </w:pPr>
      <w:r>
        <w:rPr>
          <w:rFonts w:ascii="Times New Roman" w:hAnsi="Times New Roman" w:eastAsia="Times New Roman"/>
          <w:b/>
          <w:sz w:val="24"/>
        </w:rPr>
        <w:t>Table 5. Transportability Sensitivity (H7 Re-classification Across Cultural Attenuation Factors)</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Each row applies factor F multiplicatively to the bootstrap distribution of all three ΔP_x; H7 IUT is re-classified per attenuated factor.</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w:t>
            </w:r>
          </w:p>
        </w:tc>
        <w:tc>
          <w:tcPr>
            <w:tcW w:type="dxa" w:w="1872"/>
          </w:tcPr>
          <w:p>
            <w:r>
              <w:rPr>
                <w:rFonts w:ascii="Times New Roman" w:hAnsi="Times New Roman" w:eastAsia="Times New Roman"/>
                <w:b/>
                <w:sz w:val="22"/>
              </w:rPr>
              <w:t>ΔP_C (att)</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+0.0105</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et al., 2017 expected</w:t>
            </w:r>
          </w:p>
        </w:tc>
        <w:tc>
          <w:tcPr>
            <w:tcW w:type="dxa" w:w="1872"/>
          </w:tcPr>
          <w:p>
            <w:r>
              <w:rPr>
                <w:rFonts w:ascii="Times New Roman" w:hAnsi="Times New Roman" w:eastAsia="Times New Roman"/>
                <w:b w:val="0"/>
                <w:sz w:val="22"/>
              </w:rPr>
              <w:t>−0.0031</w:t>
            </w:r>
          </w:p>
        </w:tc>
        <w:tc>
          <w:tcPr>
            <w:tcW w:type="dxa" w:w="1872"/>
          </w:tcPr>
          <w:p>
            <w:r>
              <w:rPr>
                <w:rFonts w:ascii="Times New Roman" w:hAnsi="Times New Roman" w:eastAsia="Times New Roman"/>
                <w:b w:val="0"/>
                <w:sz w:val="22"/>
              </w:rPr>
              <w:t>+0.0174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−0.0043</w:t>
            </w:r>
          </w:p>
        </w:tc>
        <w:tc>
          <w:tcPr>
            <w:tcW w:type="dxa" w:w="1872"/>
          </w:tcPr>
          <w:p>
            <w:r>
              <w:rPr>
                <w:rFonts w:ascii="Times New Roman" w:hAnsi="Times New Roman" w:eastAsia="Times New Roman"/>
                <w:b w:val="0"/>
                <w:sz w:val="22"/>
              </w:rPr>
              <w:t>+0.0244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jc w:val="left"/>
      </w:pPr>
      <w:r>
        <w:rPr>
          <w:rFonts w:ascii="Times New Roman" w:hAnsi="Times New Roman" w:eastAsia="Times New Roman"/>
          <w:b/>
          <w:sz w:val="24"/>
        </w:rPr>
        <w:t>Table 6. Pre-Registered Hypothesis Outcomes Summary</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Hypothesis classification follows the pre-registered specification (the four-tier hierarchy for H1 and the IUT priority cascade for H7).</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Externally validated in Tokiwa (2026) on the N=13,668 source sample; not separately re-tested in the present N=354 pipeline</w:t>
            </w:r>
          </w:p>
        </w:tc>
        <w:tc>
          <w:tcPr>
            <w:tcW w:type="dxa" w:w="2340"/>
          </w:tcPr>
          <w:p>
            <w:r>
              <w:rPr>
                <w:rFonts w:ascii="Times New Roman" w:hAnsi="Times New Roman" w:eastAsia="Times New Roman"/>
                <w:b w:val="0"/>
                <w:sz w:val="22"/>
              </w:rPr>
              <w:t>EXTERNALLY 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w:t>
            </w:r>
          </w:p>
        </w:tc>
        <w:tc>
          <w:tcPr>
            <w:tcW w:type="dxa" w:w="2340"/>
          </w:tcPr>
          <w:p>
            <w:r>
              <w:rPr>
                <w:rFonts w:ascii="Times New Roman" w:hAnsi="Times New Roman" w:eastAsia="Times New Roman"/>
                <w:b w:val="0"/>
                <w:sz w:val="22"/>
              </w:rPr>
              <w:t>13/14 cells resolved at BCa; 1 (X=0) at Clopper-Pearson per the pre-registered cascade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Spearman ρ(female, male) = 0.87 across 7 clusters (p = 0.01). The 14-cell vs 28-cell sensitivity (28-cell adds × 2 roles, not a re-split of gender) is reported as a robustness check on role-stratification stability rather than as a re-test of gender invariance.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Spearman ρ = 0.04 (7-cluster) / 0.14 (14-cell), both p &gt; 0.6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F=0.3–1.0)</w:t>
            </w:r>
          </w:p>
        </w:tc>
        <w:tc>
          <w:tcPr>
            <w:tcW w:type="dxa" w:w="2340"/>
          </w:tcPr>
          <w:p>
            <w:r>
              <w:rPr>
                <w:rFonts w:ascii="Times New Roman" w:hAnsi="Times New Roman" w:eastAsia="Times New Roman"/>
                <w:b w:val="0"/>
                <w:sz w:val="22"/>
              </w:rPr>
              <w:t>REVERSAL</w:t>
            </w:r>
          </w:p>
        </w:tc>
      </w:tr>
    </w:tbl>
    <w:p>
      <w:pPr>
        <w:spacing w:line="480" w:lineRule="auto" w:before="0" w:after="0"/>
      </w:pPr>
    </w:p>
    <w:p>
      <w:pPr>
        <w:spacing w:line="480" w:lineRule="auto" w:before="0" w:after="0"/>
        <w:jc w:val="center"/>
      </w:pPr>
      <w:r>
        <w:rPr>
          <w:rFonts w:ascii="Times New Roman" w:hAnsi="Times New Roman" w:eastAsia="Times New Roman"/>
          <w:b/>
          <w:sz w:val="24"/>
        </w:rPr>
        <w:t>Figures</w:t>
      </w:r>
    </w:p>
    <w:p>
      <w:pPr>
        <w:spacing w:line="480" w:lineRule="auto" w:before="0" w:after="0"/>
        <w:jc w:val="left"/>
      </w:pPr>
      <w:r>
        <w:rPr>
          <w:rFonts w:ascii="Times New Roman" w:hAnsi="Times New Roman" w:eastAsia="Times New Roman"/>
          <w:b/>
          <w:sz w:val="24"/>
        </w:rPr>
        <w:t>Figure 1. Pipeline Schematic</w:t>
      </w:r>
    </w:p>
    <w:p>
      <w:pPr>
        <w:spacing w:line="480" w:lineRule="auto" w:before="0" w:after="0"/>
      </w:pPr>
      <w:r>
        <w:rPr>
          <w:rFonts w:ascii="Times New Roman" w:hAnsi="Times New Roman" w:eastAsia="Times New Roman"/>
          <w:sz w:val="24"/>
        </w:rPr>
        <w:t>A box-and-arrow diagram of the nine pre-registered pipeline stages, showing the data inputs (N = 354 individual data; Tokiwa, 2026, 7-cluster centroids; Statistics Bureau (MIC) Labour Force Survey 2022) flowing through Stages 0–8 with their HDF5 outputs.</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The HEXACO 7-typology workplace harassment microsimulation pipeline. Stage 0 (cell propensity) feeds into Stage 1 (population aggregation, MIC-reweighted) and Stage 2 (H1 four-tier classification). Stage 3 (sensitivity), Stage 4 (baselines), Stage 5 (CMV diagnostic), Stage 6 (target trial PICO), Stage 7 (counterfactuals + H7 IUT), and Stage 8 (transportability) operate in parallel after Stage 2.</w:t>
      </w:r>
    </w:p>
    <w:p>
      <w:pPr>
        <w:spacing w:line="480" w:lineRule="auto" w:before="0" w:after="0"/>
        <w:jc w:val="left"/>
      </w:pPr>
      <w:r>
        <w:rPr>
          <w:rFonts w:ascii="Times New Roman" w:hAnsi="Times New Roman" w:eastAsia="Times New Roman"/>
          <w:b/>
          <w:sz w:val="24"/>
        </w:rPr>
        <w:t>Figure 2. 14-Cell Cell-Level Propensity (Stage 0)</w:t>
      </w:r>
    </w:p>
    <w:p>
      <w:pPr>
        <w:spacing w:line="480" w:lineRule="auto" w:before="0" w:after="0"/>
      </w:pPr>
      <w:r>
        <w:rPr>
          <w:rFonts w:ascii="Times New Roman" w:hAnsi="Times New Roman" w:eastAsia="Times New Roman"/>
          <w:sz w:val="24"/>
        </w:rPr>
        <w:t>A heatmap of P̂_c across 7 HEXACO clusters × 2 genders, with cell sizes overlaid. Cell ordering follows the pre-registered convention (cluster × 2 + gender index).</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Per-cell power-harassment victimization propensities P̂_c with 95% bootstrap CIs computed under the pre-registered cascade. Cell sizes (N_c) range from 10 to 70 (median 18). Color encodes propensity (blue = low; red = high). Cells with N_c &lt; 20 are demarcated with a dashed boundary.</w:t>
      </w:r>
    </w:p>
    <w:p>
      <w:pPr>
        <w:spacing w:line="480" w:lineRule="auto" w:before="0" w:after="0"/>
        <w:jc w:val="left"/>
      </w:pPr>
      <w:r>
        <w:rPr>
          <w:rFonts w:ascii="Times New Roman" w:hAnsi="Times New Roman" w:eastAsia="Times New Roman"/>
          <w:b/>
          <w:sz w:val="24"/>
        </w:rPr>
        <w:t>Figure 3. National Prevalence vs MHLW Validation Targets</w:t>
      </w:r>
    </w:p>
    <w:p>
      <w:pPr>
        <w:spacing w:line="480" w:lineRule="auto" w:before="0" w:after="0"/>
      </w:pPr>
      <w:r>
        <w:rPr>
          <w:rFonts w:ascii="Times New Roman" w:hAnsi="Times New Roman" w:eastAsia="Times New Roman"/>
          <w:sz w:val="24"/>
        </w:rPr>
        <w:t>A bar chart of model-predicted P̂ = 0.1744 (single bar) overlaid with the three MHLW validation targets (FY2016 = 0.325, FY2020 = 0.314, FY2023 = 0.193) as horizontal reference lines, with the staged enforcement period of the 2020 Power Harassment Prevention Law shaded.</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Model-based national prevalence (P̂ = 17.44%, blue bar) compared with MHLW past-three-year power-harassment victimization targets across three survey periods. The 2020 Power Harassment Prevention Law's staged enforcement (large enterprises 2020-06; SMEs 2022-04) coincides with the FY2020 → FY2023 decline. Predicted prevalence aligns most closely with the post-law FY2023 target (Standard SUCCESS; CI upper 31.52% narrowly above the 30% Strict threshold).</w:t>
      </w:r>
    </w:p>
    <w:p>
      <w:pPr>
        <w:spacing w:line="480" w:lineRule="auto" w:before="0" w:after="0"/>
        <w:jc w:val="left"/>
      </w:pPr>
      <w:r>
        <w:rPr>
          <w:rFonts w:ascii="Times New Roman" w:hAnsi="Times New Roman" w:eastAsia="Times New Roman"/>
          <w:b/>
          <w:sz w:val="24"/>
        </w:rPr>
        <w:t>Figure 4. OAT Sensitivity Tornado Plot</w:t>
      </w:r>
    </w:p>
    <w:p>
      <w:pPr>
        <w:spacing w:line="480" w:lineRule="auto" w:before="0" w:after="0"/>
      </w:pPr>
      <w:r>
        <w:rPr>
          <w:rFonts w:ascii="Times New Roman" w:hAnsi="Times New Roman" w:eastAsia="Times New Roman"/>
          <w:sz w:val="24"/>
        </w:rPr>
        <w:t>A tornado plot with parameter families on the y-axis and MAPE_FY2016 horizontal bars on the x-axis, ordered by sensitivity magnitude. The two sensitive families (binarization, cluster mass) appear at the top with wide bars; the two stable families (soft τ, EB scale) appear at the bottom with narrow bars. The locked main configuration is marked with a vertical reference line.</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One-at-a-time sensitivity sweep of FY2016 MAPE. Binarization threshold and cluster mass shift exhibit substantial sensitivity (range 29.6% to 56.5%), whereas soft-assignment τ and empirical Bayes shrinkage scale exhibit negligible sensitivity (range &lt; 0.5%). Vertical line at 45.51% marks the locked v2.0 main configuration.</w:t>
      </w:r>
    </w:p>
    <w:p>
      <w:pPr>
        <w:spacing w:line="480" w:lineRule="auto" w:before="0" w:after="0"/>
        <w:jc w:val="left"/>
      </w:pPr>
      <w:r>
        <w:rPr>
          <w:rFonts w:ascii="Times New Roman" w:hAnsi="Times New Roman" w:eastAsia="Times New Roman"/>
          <w:b/>
          <w:sz w:val="24"/>
        </w:rPr>
        <w:t>Figure 5. Counterfactual ΔP_x Forest Plot</w:t>
      </w:r>
    </w:p>
    <w:p>
      <w:pPr>
        <w:spacing w:line="480" w:lineRule="auto" w:before="0" w:after="0"/>
      </w:pPr>
      <w:r>
        <w:rPr>
          <w:rFonts w:ascii="Times New Roman" w:hAnsi="Times New Roman" w:eastAsia="Times New Roman"/>
          <w:sz w:val="24"/>
        </w:rPr>
        <w:t>A forest plot with three counterfactuals on the y-axis (A, B, C), point estimates with 95% CIs as horizontal whiskers, and a vertical reference line at ΔP = 0. Counterfactuals A and B's CIs overlap zero; Counterfactual C's CI excludes zero on the positive side.</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Counterfactual ΔP_x estimates and 95% CIs. Personality intervention (A; +0.3 SD on H/A/E for all individuals) and targeted personality intervention (B; +0.40 SD on HH restricted to individuals already in the low-prevalence Cluster {0, 4, 6} subgroup) yield null effects (CIs cross zero). Structural intervention (C; −20% propensity, calibrated against three meta-analyses and the MHLW FY2016–FY2023 Power Harassment Prevention Law natural experiment) yields a positive effect of +3.49 percentage points (CI excludes zero on the positive side). The H7 intersection-union test (Berger &amp; Hsu, 1996) classifies this configuration as REVERSAL.</w:t>
      </w:r>
    </w:p>
    <w:p>
      <w:pPr>
        <w:spacing w:line="480" w:lineRule="auto" w:before="0" w:after="0"/>
        <w:jc w:val="left"/>
      </w:pPr>
      <w:r>
        <w:rPr>
          <w:rFonts w:ascii="Times New Roman" w:hAnsi="Times New Roman" w:eastAsia="Times New Roman"/>
          <w:b/>
          <w:sz w:val="24"/>
        </w:rPr>
        <w:t>Figure 6. Transportability Robustness</w:t>
      </w:r>
    </w:p>
    <w:p>
      <w:pPr>
        <w:spacing w:line="480" w:lineRule="auto" w:before="0" w:after="0"/>
      </w:pPr>
      <w:r>
        <w:rPr>
          <w:rFonts w:ascii="Times New Roman" w:hAnsi="Times New Roman" w:eastAsia="Times New Roman"/>
          <w:sz w:val="24"/>
        </w:rPr>
        <w:t>A line plot with cultural attenuation factor F on the x-axis (0.3 to 1.0) and ΔP_x on the y-axis. Three lines for ΔP_A, ΔP_B, ΔP_C, with 95% CIs as shaded bands. The ΔP_C line remains above zero across the entire factor range; the ΔP_A and ΔP_B lines remain centered on zero.</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H7 IUT classification under cultural attenuation factors F ∈ {0.3, 0.5, 0.7, 1.0}. The REVERSAL classification (structural dominance) is preserved across all four factors, including the conservative cross-cultural worst-case anchor (F = 0.3) and the Nielsen et al. (2017) Asia/Oceania expected attenuation (F = 0.5).</w:t>
      </w:r>
    </w:p>
    <w:p>
      <w:pPr>
        <w:pStyle w:val="ListBullet"/>
        <w:spacing w:line="480" w:lineRule="auto" w:before="0" w:after="0"/>
      </w:pPr>
      <w:r>
        <w:rPr>
          <w:rFonts w:ascii="Times New Roman" w:hAnsi="Times New Roman" w:eastAsia="Times New Roman"/>
          <w:sz w:val="24"/>
        </w:rPr>
        <w:t>Tables 1–6: Embedded in manuscript_preprint.docx as native Word tables with APA-style formatting (Times New Roman 12 pt, double-spaced, lines below header and final row).</w:t>
      </w:r>
    </w:p>
    <w:p>
      <w:pPr>
        <w:pStyle w:val="ListBullet"/>
        <w:spacing w:line="480" w:lineRule="auto" w:before="0" w:after="0"/>
      </w:pPr>
      <w:r>
        <w:rPr>
          <w:rFonts w:ascii="Times New Roman" w:hAnsi="Times New Roman" w:eastAsia="Times New Roman"/>
          <w:sz w:val="24"/>
        </w:rPr>
        <w:t>Figure 1 (pipeline schematic): Illustrative schematic; the underlying values come from the pre-registered specification.</w:t>
      </w:r>
    </w:p>
    <w:p>
      <w:pPr>
        <w:pStyle w:val="ListBullet"/>
        <w:spacing w:line="480" w:lineRule="auto" w:before="0" w:after="0"/>
      </w:pPr>
      <w:r>
        <w:rPr>
          <w:rFonts w:ascii="Times New Roman" w:hAnsi="Times New Roman" w:eastAsia="Times New Roman"/>
          <w:sz w:val="24"/>
        </w:rPr>
        <w:t>Figure 2 (14-cell heatmap): Generated from output/supplementary/stage0_cell_propensity.h5 via matplotlib.</w:t>
      </w:r>
    </w:p>
    <w:p>
      <w:pPr>
        <w:pStyle w:val="ListBullet"/>
        <w:spacing w:line="480" w:lineRule="auto" w:before="0" w:after="0"/>
      </w:pPr>
      <w:r>
        <w:rPr>
          <w:rFonts w:ascii="Times New Roman" w:hAnsi="Times New Roman" w:eastAsia="Times New Roman"/>
          <w:sz w:val="24"/>
        </w:rPr>
        <w:t>Figure 3 (prevalence comparison): Generated from stage1_population_aggregation.h5 and stage2_validation.h5.</w:t>
      </w:r>
    </w:p>
    <w:p>
      <w:pPr>
        <w:pStyle w:val="ListBullet"/>
        <w:spacing w:line="480" w:lineRule="auto" w:before="0" w:after="0"/>
      </w:pPr>
      <w:r>
        <w:rPr>
          <w:rFonts w:ascii="Times New Roman" w:hAnsi="Times New Roman" w:eastAsia="Times New Roman"/>
          <w:sz w:val="24"/>
        </w:rPr>
        <w:t>Figure 4 (sensitivity tornado): Generated from stage3_sensitivity.h5.</w:t>
      </w:r>
    </w:p>
    <w:p>
      <w:pPr>
        <w:pStyle w:val="ListBullet"/>
        <w:spacing w:line="480" w:lineRule="auto" w:before="0" w:after="0"/>
      </w:pPr>
      <w:r>
        <w:rPr>
          <w:rFonts w:ascii="Times New Roman" w:hAnsi="Times New Roman" w:eastAsia="Times New Roman"/>
          <w:sz w:val="24"/>
        </w:rPr>
        <w:t>Figure 5 (counterfactual forest): Generated from stage7_counterfactual.h5.</w:t>
      </w:r>
    </w:p>
    <w:p>
      <w:pPr>
        <w:pStyle w:val="ListBullet"/>
        <w:spacing w:line="480" w:lineRule="auto" w:before="0" w:after="0"/>
      </w:pPr>
      <w:r>
        <w:rPr>
          <w:rFonts w:ascii="Times New Roman" w:hAnsi="Times New Roman" w:eastAsia="Times New Roman"/>
          <w:sz w:val="24"/>
        </w:rPr>
        <w:t>Figure 6 (transportability): Generated from stage8_transportability.h5.</w:t>
      </w:r>
    </w:p>
    <w:p>
      <w:pPr>
        <w:spacing w:line="480" w:lineRule="auto" w:before="0" w:after="0"/>
      </w:pPr>
      <w:r>
        <w:rPr>
          <w:rFonts w:ascii="Times New Roman" w:hAnsi="Times New Roman" w:eastAsia="Times New Roman"/>
          <w:sz w:val="24"/>
        </w:rPr>
        <w:t xml:space="preserve">All figures are saved at 300 DPI in PNG and PDF formats; vector versions (SVG) are also produced for journal submission. PNG embeds are used in </w:t>
      </w:r>
      <w:r>
        <w:rPr>
          <w:rFonts w:ascii="Times New Roman" w:hAnsi="Times New Roman" w:eastAsia="Times New Roman"/>
          <w:sz w:val="24"/>
        </w:rPr>
        <w:t>manuscript_preprint.docx</w:t>
      </w:r>
      <w:r>
        <w:rPr>
          <w:rFonts w:ascii="Times New Roman" w:hAnsi="Times New Roman" w:eastAsia="Times New Roman"/>
          <w:sz w:val="24"/>
        </w:rPr>
        <w:t xml:space="preserve"> and </w:t>
      </w:r>
      <w:r>
        <w:rPr>
          <w:rFonts w:ascii="Times New Roman" w:hAnsi="Times New Roman" w:eastAsia="Times New Roman"/>
          <w:sz w:val="24"/>
        </w:rPr>
        <w:t>manuscript_journal.docx</w:t>
      </w:r>
      <w:r>
        <w:rPr>
          <w:rFonts w:ascii="Times New Roman" w:hAnsi="Times New Roman" w:eastAsia="Times New Roman"/>
          <w:sz w:val="24"/>
        </w:rPr>
        <w:t>; PDF/SVG accompany the journal submission as separate files (per RSOS Stage 2 RR submission requirements).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jc w:val="left"/>
    </w:pPr>
    <w:r>
      <w:rPr>
        <w:rFonts w:ascii="Times New Roman" w:hAnsi="Times New Roman" w:eastAsia="Times New Roman"/>
        <w:b w:val="0"/>
        <w:sz w:val="24"/>
      </w:rPr>
      <w:t>HEXACO COUNTERFACTUAL MICROSIMULATION</w:t>
    </w:r>
    <w:r>
      <w:rPr>
        <w:rFonts w:ascii="Times New Roman" w:hAnsi="Times New Roman" w:eastAsia="Times New Roman"/>
        <w:sz w:val="24"/>
      </w:rPr>
      <w:tab/>
    </w:r>
    <w:r>
      <w:rPr>
        <w:rFonts w:ascii="Times New Roman" w:hAnsi="Times New Roman" w:eastAsia="Times New Roman"/>
        <w:sz w:val="24"/>
      </w:rPr>
      <w:fldChar w:fldCharType="begin"/>
      <w:instrText>PAGE</w:instrText>
      <w:fldChar w:fldCharType="separate"/>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