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HEXACO 7-Typology Counterfactual Microsimulation in Japanese Workplaces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Eisuke Tokiwa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sz w:val="24"/>
        </w:rPr>
        <w:t>SUNBLAZE Co., Ltd., Tokyo, Japan</w:t>
      </w:r>
    </w:p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Author Note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Eisuke Tokiwa  https://orcid.org/0009-0009-7124-6669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discloses a potential competing interest as detailed in the Declarations below.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Correspondence concerning this article should be addressed to Eisuke Tokiwa, SUNBLAZE Co., Ltd., Tokyo, Japan. Email: eisuke.tokiwa@sunblaze.jp</w:t>
      </w:r>
    </w:p>
    <w:p>
      <w:pPr>
        <w:spacing w:line="480" w:lineRule="auto" w:before="0" w:after="0"/>
      </w:pP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Declarations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Competing Interests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discloses the following potential competing interest: the author is the representative of SUNBLAZE Co., Ltd. (Tokyo, Japan), which provides HEXACO-JP, a proprietary Japanese-language HEXACO-based personality assessment service. Three points qualify the disclosure. (i) The present study does not use HEXACO-JP. The HEXACO instrument used here is the HEXACO-PI-R Japanese 60-item adaptation published by Wakabayashi (2014), a separately validated and openly cited instrument that predates and is independent of HEXACO-JP. (ii) The present manuscript does not reference, evaluate, market, recommend, or otherwise promote HEXACO-JP or any other SUNBLAZE product or service, and SUNBLAZE Co., Ltd. did not commission, sponsor, or direct the research. (iii) The headline empirical findings (a null personality-intervention contrast, a positive structural-intervention contrast, and the reframing of HEXACO 7-typology as a stratification variable rather than an intervention or screening target) do not differentially favor commercial HEXACO-based assessment products.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Funding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 funding was received for this research. SUNBLAZE Co., Ltd. did not provide any funding, equipment, or compensation, and no external grant funding from public, commercial, or not-for-profit agencies was received. The author conducted the research as an independent academic project at no monetary cost, using publicly available analytical software and previously collected data.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Ethics Approval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N = 354 individual-level harassment data re-analyzed in this study were originally collected under an IRB-approved protocol described in Tokiwa (2025, Research Square preprint, DOI 10.21203/rs.3.rs-7756124/v1). The present study is a secondary analysis of these de-identified data and does not introduce any new contact with participants; consistent with standard practice for secondary analysis of de-identified data covered by the original IRB approval, no additional ethics review was sought.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Informed Consent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All N = 354 participants in the original survey provided informed consent for research use of their de-identified responses (per Tokiwa, 2025). The present secondary analysis introduces no new participant contact.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Pre-registration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This Stage 2 Registered Report implements, without deviation, the analysis plan pre-registered as v2.0 at the Open Science Framework (DOI 10.17605/OSF.IO/3Y54U; https://osf.io/3y54u; registered 2026-04-30). The Section 6.5 Level 1 Methods Clarifications Log accompanying the v2.0 registration documents 16 minor specification clarifications applied prior to Stage 0 implementation.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Availability of data and material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 (parent project Wiki at osf.io/3hxz6/wiki/home/ lists access criteria, IRB requirements, and data-use terms). All analysis code is publicly archived under MIT license at https://github.com/etoki/paper (directory: simulation/).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Authors' contributions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sole author (Eisuke Tokiwa) was responsible for conceptualization, methodology, software, formal analysis, investigation, data curation, writing — original draft, and writing — review &amp; editing.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Preprint Statement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A preprint of the present manuscript is publicly available at SocArXiv (DOI 10.31235/osf.io/p2d8w_v1; https://osf.io/preprints/socarxiv/p2d8w_v1). The underlying N = 354 dataset and its descriptive analyses are available as a separate preprint at Research Square (DOI 10.21203/rs.3.rs-7756124/v1; Tokiwa, 2025). The seven HEXACO cluster centroids used as fixed parameters in this study are from the companion paper Tokiwa (2026, IEEE Access, DOI 10.1109/ACCESS.2026.3651324).</w:t>
      </w:r>
    </w:p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Acknowledgments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The author thanks the anonymous external methodologist (mode B; mathematical biology background) whose review memo led to the Section 6.5 Level 1 Methods Clarifications Log, and the N = 354 survey respondents whose anonymized data made this analysis possible.</w:t>
      </w:r>
    </w:p>
    <w:p>
      <w:r>
        <w:br w:type="page"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