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w:t>
      </w:r>
      <w:r>
        <w:rPr>
          <w:rFonts w:ascii="Times New Roman" w:hAnsi="Times New Roman" w:eastAsia="Times New Roman"/>
          <w:b/>
          <w:sz w:val="24"/>
        </w:rPr>
        <w:t>Affiliation</w:t>
      </w:r>
      <w:r>
        <w:rPr>
          <w:rFonts w:ascii="Times New Roman" w:hAnsi="Times New Roman" w:eastAsia="Times New Roman"/>
          <w:sz w:val="24"/>
        </w:rPr>
        <w:t xml:space="preserve">: SUNBLAZE Co., Ltd., Tokyo, Japan </w:t>
      </w:r>
      <w:r>
        <w:rPr>
          <w:rFonts w:ascii="Times New Roman" w:hAnsi="Times New Roman" w:eastAsia="Times New Roman"/>
          <w:b/>
          <w:sz w:val="24"/>
        </w:rPr>
        <w:t>ORCID</w:t>
      </w:r>
      <w:r>
        <w:rPr>
          <w:rFonts w:ascii="Times New Roman" w:hAnsi="Times New Roman" w:eastAsia="Times New Roman"/>
          <w:sz w:val="24"/>
        </w:rPr>
        <w:t xml:space="preserve">: 0009-0009-7124-6669 </w:t>
      </w:r>
      <w:r>
        <w:rPr>
          <w:rFonts w:ascii="Times New Roman" w:hAnsi="Times New Roman" w:eastAsia="Times New Roman"/>
          <w:b/>
          <w:sz w:val="24"/>
        </w:rPr>
        <w:t>Correspondence</w:t>
      </w:r>
      <w:r>
        <w:rPr>
          <w:rFonts w:ascii="Times New Roman" w:hAnsi="Times New Roman" w:eastAsia="Times New Roman"/>
          <w:sz w:val="24"/>
        </w:rPr>
        <w:t xml:space="preserve">: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Preprint</w:t>
      </w:r>
      <w:r>
        <w:rPr>
          <w:rFonts w:ascii="Times New Roman" w:hAnsi="Times New Roman" w:eastAsia="Times New Roman"/>
          <w:sz w:val="24"/>
        </w:rPr>
        <w:t xml:space="preserve">: SocArXiv DOI 10.31235/osf.io/p2d8w_v1 (posted 2026-05-08) </w:t>
      </w:r>
      <w:r>
        <w:rPr>
          <w:rFonts w:ascii="Times New Roman" w:hAnsi="Times New Roman" w:eastAsia="Times New Roman"/>
          <w:b/>
          <w:sz w:val="24"/>
        </w:rPr>
        <w:t>Reporting standard</w:t>
      </w:r>
      <w:r>
        <w:rPr>
          <w:rFonts w:ascii="Times New Roman" w:hAnsi="Times New Roman" w:eastAsia="Times New Roman"/>
          <w:sz w:val="24"/>
        </w:rPr>
        <w:t>: Stage 2 Registered Report (post-data) following the v2.0 pre-registration</w:t>
      </w:r>
    </w:p>
    <w:p>
      <w:pPr>
        <w:spacing w:line="480" w:lineRule="auto" w:before="0" w:after="0"/>
        <w:ind w:firstLine="720"/>
      </w:pPr>
      <w:r>
        <w:rPr>
          <w:rFonts w:ascii="Times New Roman" w:hAnsi="Times New Roman" w:eastAsia="Times New Roman"/>
          <w:sz w:val="24"/>
        </w:rPr>
        <w:t>&lt;!-- Note (markdown source): Funding, competing interests, ethics, authors' contributions, data availability, and acknowledgments are rendered in the Author Note / Declarations section of the docx by build_docx.py / build_ieee_docx.py from constants in those scripts; they do not need to be repeated in this markdown file. --&gt;</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