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120"/>
        <w:jc w:val="center"/>
      </w:pPr>
      <w:r>
        <w:rPr>
          <w:rFonts w:ascii="Times New Roman" w:hAnsi="Times New Roman" w:eastAsia="Times New Roman"/>
          <w:b/>
          <w:sz w:val="24"/>
        </w:rPr>
        <w:t>Conflict of Interest Statement</w:t>
      </w:r>
    </w:p>
    <w:p>
      <w:pPr>
        <w:spacing w:line="276" w:lineRule="auto" w:after="120"/>
      </w:pPr>
      <w:r>
        <w:rPr>
          <w:rFonts w:ascii="Times New Roman" w:hAnsi="Times New Roman" w:eastAsia="Times New Roman"/>
          <w:b/>
          <w:sz w:val="24"/>
        </w:rPr>
        <w:t>Manuscript:</w:t>
      </w:r>
      <w:r>
        <w:rPr>
          <w:rFonts w:ascii="Times New Roman" w:hAnsi="Times New Roman" w:eastAsia="Times New Roman"/>
          <w:sz w:val="24"/>
        </w:rPr>
        <w:t xml:space="preserve"> </w:t>
      </w:r>
      <w:r>
        <w:rPr>
          <w:rFonts w:ascii="Times New Roman" w:hAnsi="Times New Roman" w:eastAsia="Times New Roman"/>
          <w:i/>
          <w:sz w:val="24"/>
        </w:rPr>
        <w:t>Person-Level versus System-Level Anti-Harassment Interventions: A HEXACO 7-Typology Counterfactual Microsimulation in Japanese Workplaces</w:t>
      </w:r>
      <w:r>
        <w:rPr>
          <w:rFonts w:ascii="Times New Roman" w:hAnsi="Times New Roman" w:eastAsia="Times New Roman"/>
          <w:sz w:val="24"/>
        </w:rPr>
        <w:t xml:space="preserve"> </w:t>
      </w:r>
      <w:r>
        <w:rPr>
          <w:rFonts w:ascii="Times New Roman" w:hAnsi="Times New Roman" w:eastAsia="Times New Roman"/>
          <w:b/>
          <w:sz w:val="24"/>
        </w:rPr>
        <w:t>Author:</w:t>
      </w:r>
      <w:r>
        <w:rPr>
          <w:rFonts w:ascii="Times New Roman" w:hAnsi="Times New Roman" w:eastAsia="Times New Roman"/>
          <w:sz w:val="24"/>
        </w:rPr>
        <w:t xml:space="preserve"> Eisuke Tokiwa </w:t>
      </w:r>
      <w:r>
        <w:rPr>
          <w:rFonts w:ascii="Times New Roman" w:hAnsi="Times New Roman" w:eastAsia="Times New Roman"/>
          <w:b/>
          <w:sz w:val="24"/>
        </w:rPr>
        <w:t>ORCID:</w:t>
      </w:r>
      <w:r>
        <w:rPr>
          <w:rFonts w:ascii="Times New Roman" w:hAnsi="Times New Roman" w:eastAsia="Times New Roman"/>
          <w:sz w:val="24"/>
        </w:rPr>
        <w:t xml:space="preserve"> 0009-0009-7124-6669 </w:t>
      </w:r>
      <w:r>
        <w:rPr>
          <w:rFonts w:ascii="Times New Roman" w:hAnsi="Times New Roman" w:eastAsia="Times New Roman"/>
          <w:b/>
          <w:sz w:val="24"/>
        </w:rPr>
        <w:t>Affiliation:</w:t>
      </w:r>
      <w:r>
        <w:rPr>
          <w:rFonts w:ascii="Times New Roman" w:hAnsi="Times New Roman" w:eastAsia="Times New Roman"/>
          <w:sz w:val="24"/>
        </w:rPr>
        <w:t xml:space="preserve"> SUNBLAZE Co., Ltd., Tokyo, Japan </w:t>
      </w:r>
      <w:r>
        <w:rPr>
          <w:rFonts w:ascii="Times New Roman" w:hAnsi="Times New Roman" w:eastAsia="Times New Roman"/>
          <w:b/>
          <w:sz w:val="24"/>
        </w:rPr>
        <w:t>Corresponding author:</w:t>
      </w:r>
      <w:r>
        <w:rPr>
          <w:rFonts w:ascii="Times New Roman" w:hAnsi="Times New Roman" w:eastAsia="Times New Roman"/>
          <w:sz w:val="24"/>
        </w:rPr>
        <w:t xml:space="preserve"> eisuke.tokiwa@sunblaze.jp </w:t>
      </w:r>
      <w:r>
        <w:rPr>
          <w:rFonts w:ascii="Times New Roman" w:hAnsi="Times New Roman" w:eastAsia="Times New Roman"/>
          <w:b/>
          <w:sz w:val="24"/>
        </w:rPr>
        <w:t>Submission target:</w:t>
      </w:r>
      <w:r>
        <w:rPr>
          <w:rFonts w:ascii="Times New Roman" w:hAnsi="Times New Roman" w:eastAsia="Times New Roman"/>
          <w:sz w:val="24"/>
        </w:rPr>
        <w:t xml:space="preserve"> </w:t>
      </w:r>
      <w:r>
        <w:rPr>
          <w:rFonts w:ascii="Times New Roman" w:hAnsi="Times New Roman" w:eastAsia="Times New Roman"/>
          <w:i/>
          <w:sz w:val="24"/>
        </w:rPr>
        <w:t>IEEE Access</w:t>
      </w:r>
    </w:p>
    <w:p>
      <w:pPr>
        <w:spacing w:line="276" w:lineRule="auto" w:after="120"/>
      </w:pPr>
    </w:p>
    <w:p>
      <w:pPr>
        <w:spacing w:line="276" w:lineRule="auto" w:after="120"/>
      </w:pPr>
      <w:r>
        <w:rPr>
          <w:rFonts w:ascii="Times New Roman" w:hAnsi="Times New Roman" w:eastAsia="Times New Roman"/>
          <w:b/>
          <w:sz w:val="24"/>
        </w:rPr>
        <w:t>Disclosure</w:t>
      </w:r>
    </w:p>
    <w:p>
      <w:pPr>
        <w:spacing w:line="276" w:lineRule="auto" w:after="120"/>
      </w:pPr>
      <w:r>
        <w:rPr>
          <w:rFonts w:ascii="Times New Roman" w:hAnsi="Times New Roman" w:eastAsia="Times New Roman"/>
          <w:sz w:val="24"/>
        </w:rPr>
        <w:t>The author discloses the following potential conflict of interest:</w:t>
      </w:r>
    </w:p>
    <w:p>
      <w:pPr>
        <w:spacing w:line="276" w:lineRule="auto" w:after="120"/>
      </w:pPr>
      <w:r>
        <w:rPr>
          <w:rFonts w:ascii="Times New Roman" w:hAnsi="Times New Roman" w:eastAsia="Times New Roman"/>
          <w:sz w:val="24"/>
        </w:rPr>
        <w:t>The author is the founder and representative of SUNBLAZE Co., Ltd. (Tokyo, Japan), which provides HEXACO-JP, a proprietary Japanese-language HEXACO-based personality assessment service. This affiliation is reported as a potential conflict of interest in the spirit of full transparency.</w:t>
      </w:r>
    </w:p>
    <w:p>
      <w:pPr>
        <w:spacing w:line="276" w:lineRule="auto" w:after="120"/>
      </w:pPr>
      <w:r>
        <w:rPr>
          <w:rFonts w:ascii="Times New Roman" w:hAnsi="Times New Roman" w:eastAsia="Times New Roman"/>
          <w:b/>
          <w:sz w:val="24"/>
        </w:rPr>
        <w:t>Three qualifications</w:t>
      </w:r>
    </w:p>
    <w:p>
      <w:pPr>
        <w:spacing w:line="276" w:lineRule="auto" w:after="120"/>
      </w:pPr>
      <w:r>
        <w:rPr>
          <w:rFonts w:ascii="Times New Roman" w:hAnsi="Times New Roman" w:eastAsia="Times New Roman"/>
          <w:sz w:val="24"/>
        </w:rPr>
        <w:t>The following points qualify the disclosure:</w:t>
      </w:r>
    </w:p>
    <w:p>
      <w:pPr>
        <w:spacing w:line="276" w:lineRule="auto" w:after="120"/>
        <w:ind w:left="360"/>
      </w:pPr>
      <w:r>
        <w:rPr>
          <w:rFonts w:ascii="Times New Roman" w:hAnsi="Times New Roman" w:eastAsia="Times New Roman"/>
          <w:b/>
          <w:sz w:val="24"/>
        </w:rPr>
        <w:t xml:space="preserve">1. </w:t>
      </w:r>
      <w:r>
        <w:rPr>
          <w:rFonts w:ascii="Times New Roman" w:hAnsi="Times New Roman" w:eastAsia="Times New Roman"/>
          <w:b/>
          <w:sz w:val="24"/>
        </w:rPr>
        <w:t>The present study does not use HEXACO-JP.</w:t>
      </w:r>
      <w:r>
        <w:rPr>
          <w:rFonts w:ascii="Times New Roman" w:hAnsi="Times New Roman" w:eastAsia="Times New Roman"/>
          <w:sz w:val="24"/>
        </w:rPr>
        <w:t xml:space="preserve"> The HEXACO instrument used in the analysis is the HEXACO-PI-R Japanese 60-item adaptation published by Wakabayashi (2014, </w:t>
      </w:r>
      <w:r>
        <w:rPr>
          <w:rFonts w:ascii="Times New Roman" w:hAnsi="Times New Roman" w:eastAsia="Times New Roman"/>
          <w:i/>
          <w:sz w:val="24"/>
        </w:rPr>
        <w:t>Japanese Psychological Research</w:t>
      </w:r>
      <w:r>
        <w:rPr>
          <w:rFonts w:ascii="Times New Roman" w:hAnsi="Times New Roman" w:eastAsia="Times New Roman"/>
          <w:sz w:val="24"/>
        </w:rPr>
        <w:t>, 56(3), 211–223, https://doi.org/10.1111/jpr.12045), a separately validated and openly cited instrument that predates and is independent of HEXACO-JP.</w:t>
      </w:r>
    </w:p>
    <w:p>
      <w:pPr>
        <w:spacing w:line="276" w:lineRule="auto" w:after="120"/>
        <w:ind w:left="360"/>
      </w:pPr>
      <w:r>
        <w:rPr>
          <w:rFonts w:ascii="Times New Roman" w:hAnsi="Times New Roman" w:eastAsia="Times New Roman"/>
          <w:b/>
          <w:sz w:val="24"/>
        </w:rPr>
        <w:t xml:space="preserve">2. </w:t>
      </w:r>
      <w:r>
        <w:rPr>
          <w:rFonts w:ascii="Times New Roman" w:hAnsi="Times New Roman" w:eastAsia="Times New Roman"/>
          <w:b/>
          <w:sz w:val="24"/>
        </w:rPr>
        <w:t>The manuscript does not reference, evaluate, market, recommend, or otherwise promote HEXACO-JP or any other SUNBLAZE product or service.</w:t>
      </w:r>
      <w:r>
        <w:rPr>
          <w:rFonts w:ascii="Times New Roman" w:hAnsi="Times New Roman" w:eastAsia="Times New Roman"/>
          <w:sz w:val="24"/>
        </w:rPr>
        <w:t xml:space="preserve"> No company product is named or evaluated in the body of the manuscript. SUNBLAZE Co., Ltd. did not commission, fund, sponsor, or direct the research. The research received no SUNBLAZE funding, no external grant funding, and was conducted as an independent academic project at no monetary cost.</w:t>
      </w:r>
    </w:p>
    <w:p>
      <w:pPr>
        <w:spacing w:line="276" w:lineRule="auto" w:after="120"/>
        <w:ind w:left="360"/>
      </w:pPr>
      <w:r>
        <w:rPr>
          <w:rFonts w:ascii="Times New Roman" w:hAnsi="Times New Roman" w:eastAsia="Times New Roman"/>
          <w:b/>
          <w:sz w:val="24"/>
        </w:rPr>
        <w:t xml:space="preserve">3. </w:t>
      </w:r>
      <w:r>
        <w:rPr>
          <w:rFonts w:ascii="Times New Roman" w:hAnsi="Times New Roman" w:eastAsia="Times New Roman"/>
          <w:b/>
          <w:sz w:val="24"/>
        </w:rPr>
        <w:t>The headline empirical findings do not differentially favor commercial HEXACO-based assessment products.</w:t>
      </w:r>
      <w:r>
        <w:rPr>
          <w:rFonts w:ascii="Times New Roman" w:hAnsi="Times New Roman" w:eastAsia="Times New Roman"/>
          <w:sz w:val="24"/>
        </w:rPr>
        <w:t xml:space="preserve"> The pre-registered counterfactual analysis returns a null contrast for the personality-intervention pathway (ΔP_A = −0.0061, 95% CI [−0.0207, +0.0062]) and a positive contrast for the structural-intervention pathway (ΔP_C = +0.0349, 95% CI [+0.0264, +0.0435]); the substantive reframing repositions HEXACO 7-typology as a stratification variable rather than as an intervention or screening target. These findings, taken together, constrain rather than promote the person-level commercial application of HEXACO-based assessments.</w:t>
      </w:r>
    </w:p>
    <w:p>
      <w:pPr>
        <w:spacing w:line="276" w:lineRule="auto" w:after="120"/>
      </w:pPr>
      <w:r>
        <w:rPr>
          <w:rFonts w:ascii="Times New Roman" w:hAnsi="Times New Roman" w:eastAsia="Times New Roman"/>
          <w:b/>
          <w:sz w:val="24"/>
        </w:rPr>
        <w:t>In-manuscript disclosure</w:t>
      </w:r>
    </w:p>
    <w:p>
      <w:pPr>
        <w:spacing w:line="276" w:lineRule="auto" w:after="120"/>
      </w:pPr>
      <w:r>
        <w:rPr>
          <w:rFonts w:ascii="Times New Roman" w:hAnsi="Times New Roman" w:eastAsia="Times New Roman"/>
          <w:sz w:val="24"/>
        </w:rPr>
        <w:t xml:space="preserve">The same Conflict-of-Interest text is also disclosed within the manuscript itself, in the ACKNOWLEDGMENT section of </w:t>
      </w:r>
      <w:r>
        <w:rPr>
          <w:rFonts w:ascii="Times New Roman" w:hAnsi="Times New Roman" w:eastAsia="Times New Roman"/>
          <w:i/>
          <w:sz w:val="24"/>
        </w:rPr>
        <w:t>manuscript_ieee.docx</w:t>
      </w:r>
      <w:r>
        <w:rPr>
          <w:rFonts w:ascii="Times New Roman" w:hAnsi="Times New Roman" w:eastAsia="Times New Roman"/>
          <w:sz w:val="24"/>
        </w:rPr>
        <w:t xml:space="preserve">, in compliance with </w:t>
      </w:r>
      <w:r>
        <w:rPr>
          <w:rFonts w:ascii="Times New Roman" w:hAnsi="Times New Roman" w:eastAsia="Times New Roman"/>
          <w:i/>
          <w:sz w:val="24"/>
        </w:rPr>
        <w:t>IEEE Access</w:t>
      </w:r>
      <w:r>
        <w:rPr>
          <w:rFonts w:ascii="Times New Roman" w:hAnsi="Times New Roman" w:eastAsia="Times New Roman"/>
          <w:sz w:val="24"/>
        </w:rPr>
        <w:t>'s requirement that conflict-of-interest disclosures appear both as a separate document and within the manuscript body.</w:t>
      </w:r>
    </w:p>
    <w:p>
      <w:pPr>
        <w:spacing w:line="276" w:lineRule="auto" w:after="120"/>
      </w:pPr>
      <w:r>
        <w:rPr>
          <w:rFonts w:ascii="Times New Roman" w:hAnsi="Times New Roman" w:eastAsia="Times New Roman"/>
          <w:b/>
          <w:sz w:val="24"/>
        </w:rPr>
        <w:t>Statement</w:t>
      </w:r>
    </w:p>
    <w:p>
      <w:pPr>
        <w:spacing w:line="276" w:lineRule="auto" w:after="120"/>
      </w:pPr>
      <w:r>
        <w:rPr>
          <w:rFonts w:ascii="Times New Roman" w:hAnsi="Times New Roman" w:eastAsia="Times New Roman"/>
          <w:sz w:val="24"/>
        </w:rPr>
        <w:t>I confirm that the disclosure above is complete and accurate. To my knowledge, no other relationships, financial or non-financial, could be perceived as influencing the work reported in this manuscript.</w:t>
      </w:r>
    </w:p>
    <w:p>
      <w:pPr>
        <w:spacing w:line="276" w:lineRule="auto" w:after="120"/>
      </w:pPr>
    </w:p>
    <w:p>
      <w:pPr>
        <w:spacing w:line="276" w:lineRule="auto" w:after="120"/>
      </w:pPr>
      <w:r>
        <w:rPr>
          <w:rFonts w:ascii="Times New Roman" w:hAnsi="Times New Roman" w:eastAsia="Times New Roman"/>
          <w:b/>
          <w:sz w:val="24"/>
        </w:rPr>
        <w:t>Signed:</w:t>
      </w:r>
    </w:p>
    <w:p>
      <w:pPr>
        <w:spacing w:line="276" w:lineRule="auto" w:after="120"/>
      </w:pPr>
      <w:r>
        <w:rPr>
          <w:rFonts w:ascii="Times New Roman" w:hAnsi="Times New Roman" w:eastAsia="Times New Roman"/>
          <w:sz w:val="24"/>
        </w:rPr>
        <w:t>Eisuke Tokiwa Founder, SUNBLAZE Co., Ltd. Nishi-Shinjuku 3-3-13, Shinjuku-ku, Tokyo 160-0023, Japan eisuke.tokiwa@sunblaze.jp ORCID: 0009-0009-7124-6669</w:t>
      </w:r>
    </w:p>
    <w:p>
      <w:pPr>
        <w:spacing w:line="276" w:lineRule="auto" w:after="120"/>
      </w:pPr>
      <w:r>
        <w:rPr>
          <w:rFonts w:ascii="Times New Roman" w:hAnsi="Times New Roman" w:eastAsia="Times New Roman"/>
          <w:sz w:val="24"/>
        </w:rPr>
        <w:t>Date: [to be filled at submission]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