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sz w:val="24"/>
        </w:rPr>
        <w:t>[Date]</w:t>
      </w:r>
    </w:p>
    <w:p>
      <w:pPr>
        <w:spacing w:line="276" w:lineRule="auto" w:after="120"/>
      </w:pPr>
      <w:r>
        <w:rPr>
          <w:rFonts w:ascii="Times New Roman" w:hAnsi="Times New Roman" w:eastAsia="Times New Roman"/>
          <w:sz w:val="24"/>
        </w:rPr>
        <w:t>The Editor-in-Chief IEEE Access Institute of Electrical and Electronics Engineers (IEEE)</w:t>
      </w:r>
    </w:p>
    <w:p>
      <w:pPr>
        <w:spacing w:line="276" w:lineRule="auto" w:after="120"/>
      </w:pPr>
      <w:r>
        <w:rPr>
          <w:rFonts w:ascii="Times New Roman" w:hAnsi="Times New Roman" w:eastAsia="Times New Roman"/>
          <w:sz w:val="24"/>
        </w:rPr>
        <w:t>Dear Editor-in-Chief,</w:t>
      </w:r>
    </w:p>
    <w:p>
      <w:pPr>
        <w:spacing w:line="276" w:lineRule="auto" w:after="120"/>
      </w:pPr>
      <w:r>
        <w:rPr>
          <w:rFonts w:ascii="Times New Roman" w:hAnsi="Times New Roman" w:eastAsia="Times New Roman"/>
          <w:sz w:val="24"/>
        </w:rPr>
        <w:t>I am pleased to submit the enclosed manuscript, Person-Level versus System-Level Anti-Harassment Interventions: A HEXACO 7-Typology Counterfactual Microsimulation in Japanese Workplaces, for consideration as a regular article in IEEE Access. This work continues the computational-psychology research program initiated in my prior IEEE Access publication on HEXACO cluster typology in a non-WEIRD Japanese sample (doi: 10.1109/ACCESS.2026.3651324) and applies the same emphasis on methodological transparency and reproducibility that IEEE Access requires.</w:t>
      </w:r>
    </w:p>
    <w:p>
      <w:pPr>
        <w:spacing w:line="276" w:lineRule="auto" w:after="120"/>
      </w:pPr>
      <w:r>
        <w:rPr>
          <w:rFonts w:ascii="Times New Roman" w:hAnsi="Times New Roman" w:eastAsia="Times New Roman"/>
          <w:b/>
          <w:sz w:val="24"/>
        </w:rPr>
        <w:t>Why IEEE Access</w:t>
      </w:r>
    </w:p>
    <w:p>
      <w:pPr>
        <w:spacing w:line="276" w:lineRule="auto" w:after="120"/>
      </w:pPr>
      <w:r>
        <w:rPr>
          <w:rFonts w:ascii="Times New Roman" w:hAnsi="Times New Roman" w:eastAsia="Times New Roman"/>
          <w:sz w:val="24"/>
        </w:rPr>
        <w:t>IEEE Access is the natural home for this work for three reasons:</w:t>
      </w:r>
    </w:p>
    <w:p>
      <w:pPr>
        <w:spacing w:line="276" w:lineRule="auto" w:after="60"/>
        <w:ind w:left="360"/>
      </w:pPr>
      <w:r>
        <w:rPr>
          <w:rFonts w:ascii="Times New Roman" w:hAnsi="Times New Roman" w:eastAsia="Times New Roman"/>
          <w:sz w:val="24"/>
        </w:rPr>
        <w:t>• Methodological / computational density. The manuscript implements an end-to-end nine-stage pre-registered pipeline combining (i) Bias-Corrected accelerated (BCa) bootstrap with a four-step priority-cascade fallback for degenerate cells, (ii) Beta-Binomial empirical-Bayes shrinkage with Method-of-Moments hyperprior diagnostics and three rejection triggers, (iii) the Berger–Hsu intersection-union test, (iv) target-trial-emulation counterfactual contrasts under explicit positivity diagnostics, and (v) a transportability factor sweep stress-testing classification robustness. This level of computational machinery — verified by SHA-256 hash-locked outputs (make verify PASS) on a Docker-pinned canonical platform — fits IEEE Access's emphasis on technically rigorous, fully reproducible work.</w:t>
      </w:r>
    </w:p>
    <w:p>
      <w:pPr>
        <w:spacing w:line="276" w:lineRule="auto" w:after="60"/>
        <w:ind w:left="360"/>
      </w:pPr>
      <w:r>
        <w:rPr>
          <w:rFonts w:ascii="Times New Roman" w:hAnsi="Times New Roman" w:eastAsia="Times New Roman"/>
          <w:sz w:val="24"/>
        </w:rPr>
        <w:t>• Open Access mandate alignment. IEEE Access's gold-OA model + CC-BY 4.0 license aligns with this study's pre-registration commitments (full GitHub source, OSF artifact deposit, public Wiki access mechanism for IRB-restricted individual data). Code (MIT-licensed) and HDF5 supplementary artifacts are already publicly archived; the readership best served by free, immediate access to such artifacts (engineering practitioners, occupational-health researchers, data scientists in HR analytics) is IEEE Access's readership.</w:t>
      </w:r>
    </w:p>
    <w:p>
      <w:pPr>
        <w:spacing w:line="276" w:lineRule="auto" w:after="60"/>
        <w:ind w:left="360"/>
      </w:pPr>
      <w:r>
        <w:rPr>
          <w:rFonts w:ascii="Times New Roman" w:hAnsi="Times New Roman" w:eastAsia="Times New Roman"/>
          <w:sz w:val="24"/>
        </w:rPr>
        <w:t>• Companion-paper continuity. The seven-cluster HEXACO typology used as the fixed parameter set in this study was published in IEEE Access (Tokiwa, 2026, doi: 10.1109/ACCESS.2026.3651324). Submitting the present microsimulation extension to the same venue preserves bibliographic continuity for citing readers and integrates two stages of the same research program in one journal's permanent archive.</w:t>
      </w:r>
    </w:p>
    <w:p>
      <w:pPr>
        <w:spacing w:line="276" w:lineRule="auto" w:after="120"/>
      </w:pPr>
      <w:r>
        <w:rPr>
          <w:rFonts w:ascii="Times New Roman" w:hAnsi="Times New Roman" w:eastAsia="Times New Roman"/>
          <w:b/>
          <w:sz w:val="24"/>
        </w:rPr>
        <w:t>Headline finding</w:t>
      </w:r>
    </w:p>
    <w:p>
      <w:pPr>
        <w:spacing w:line="276" w:lineRule="auto" w:after="120"/>
      </w:pPr>
      <w:r>
        <w:rPr>
          <w:rFonts w:ascii="Times New Roman" w:hAnsi="Times New Roman" w:eastAsia="Times New Roman"/>
          <w:sz w:val="24"/>
        </w:rPr>
        <w:t>Using N = 354 individual-level Japanese workplace-harassment data, partitioned into 14 cells (7 HEXACO clusters × 2 genders) and re-weighted with Statistics Bureau (Ministry of Internal Affairs and Communications) Labour Force Survey 2022 marginals, we tested three pre-registered counterfactual interventions:</w:t>
      </w:r>
    </w:p>
    <w:p>
      <w:pPr>
        <w:spacing w:line="276" w:lineRule="auto" w:after="60"/>
        <w:ind w:left="360"/>
      </w:pPr>
      <w:r>
        <w:rPr>
          <w:rFonts w:ascii="Times New Roman" w:hAnsi="Times New Roman" w:eastAsia="Times New Roman"/>
          <w:sz w:val="24"/>
        </w:rPr>
        <w:t>• (A) universal personality intervention shifting Honesty-Humility, Agreeableness, and Emotionality by +0.3 SD;</w:t>
      </w:r>
    </w:p>
    <w:p>
      <w:pPr>
        <w:spacing w:line="276" w:lineRule="auto" w:after="60"/>
        <w:ind w:left="360"/>
      </w:pPr>
      <w:r>
        <w:rPr>
          <w:rFonts w:ascii="Times New Roman" w:hAnsi="Times New Roman" w:eastAsia="Times New Roman"/>
          <w:sz w:val="24"/>
        </w:rPr>
        <w:t>• (B) targeted personality intervention applying +0.40 SD on Honesty-Humility to individuals already in the low-prevalence HEXACO Cluster {0, 4, 6} subgroup;</w:t>
      </w:r>
    </w:p>
    <w:p>
      <w:pPr>
        <w:spacing w:line="276" w:lineRule="auto" w:after="60"/>
        <w:ind w:left="360"/>
      </w:pPr>
      <w:r>
        <w:rPr>
          <w:rFonts w:ascii="Times New Roman" w:hAnsi="Times New Roman" w:eastAsia="Times New Roman"/>
          <w:sz w:val="24"/>
        </w:rPr>
        <w:t>• (C) structural cell-level propensity reduction of 20 %, calibrated against three meta-analyses and the MHLW FY2016–FY2023 natural experiment spanning the staged enforcement of the 2020 Power Harassment Prevention Law.</w:t>
      </w:r>
    </w:p>
    <w:p>
      <w:pPr>
        <w:spacing w:line="276" w:lineRule="auto" w:after="120"/>
      </w:pPr>
      <w:r>
        <w:rPr>
          <w:rFonts w:ascii="Times New Roman" w:hAnsi="Times New Roman" w:eastAsia="Times New Roman"/>
          <w:sz w:val="24"/>
        </w:rPr>
        <w:t>The pre-registered intersection-union test classifies the configuration as REVERSAL: ΔP_A = −0.0061 ([−0.0207, +0.0062]) and ΔP_B = −0.0059 ([−0.0207, +0.0066]) are statistically null, whereas ΔP_C = +0.0349 ([+0.0264, +0.0435]) is positive and robust. The classification is preserved across all four pre-registered cultural-attenuation factors (F = 0.3 to 1.0). Numerically, the structural intervention's population-level effect is approximately 5.7× larger than the personality intervention's, given prior meta-analytic effect-size calibrations.</w:t>
      </w:r>
    </w:p>
    <w:p>
      <w:pPr>
        <w:spacing w:line="276" w:lineRule="auto" w:after="120"/>
      </w:pPr>
      <w:r>
        <w:rPr>
          <w:rFonts w:ascii="Times New Roman" w:hAnsi="Times New Roman" w:eastAsia="Times New Roman"/>
          <w:b/>
          <w:sz w:val="24"/>
        </w:rPr>
        <w:t>Substantive contribution</w:t>
      </w:r>
    </w:p>
    <w:p>
      <w:pPr>
        <w:spacing w:line="276" w:lineRule="auto" w:after="120"/>
      </w:pPr>
      <w:r>
        <w:rPr>
          <w:rFonts w:ascii="Times New Roman" w:hAnsi="Times New Roman" w:eastAsia="Times New Roman"/>
          <w:sz w:val="24"/>
        </w:rPr>
        <w:t>Three contributions distinguish this work, each speaking directly to IEEE Access's methodological-breadth criteria:</w:t>
      </w:r>
    </w:p>
    <w:p>
      <w:pPr>
        <w:spacing w:line="276" w:lineRule="auto" w:after="60"/>
        <w:ind w:left="360"/>
      </w:pPr>
      <w:r>
        <w:rPr>
          <w:rFonts w:ascii="Times New Roman" w:hAnsi="Times New Roman" w:eastAsia="Times New Roman"/>
          <w:sz w:val="24"/>
        </w:rPr>
        <w:t>• Methodological: the first end-to-end pre-registered counterfactual microsimulation of Japanese workplace harassment, with full reproducibility (HDF5 artifacts, fixed seed = 20260429, Docker container, MIT-licensed code, SHA-256 hash-locked outputs, 56-test pytest suite all passing).</w:t>
      </w:r>
    </w:p>
    <w:p>
      <w:pPr>
        <w:spacing w:line="276" w:lineRule="auto" w:after="60"/>
        <w:ind w:left="360"/>
      </w:pPr>
      <w:r>
        <w:rPr>
          <w:rFonts w:ascii="Times New Roman" w:hAnsi="Times New Roman" w:eastAsia="Times New Roman"/>
          <w:sz w:val="24"/>
        </w:rPr>
        <w:t>• Empirical: the first quantitative apples-to-apples comparison of person-level and system-level intervention effects on a population-level harassment-prevalence metric, leveraging effect-size calibrations from prior meta-analyses.</w:t>
      </w:r>
    </w:p>
    <w:p>
      <w:pPr>
        <w:spacing w:line="276" w:lineRule="auto" w:after="60"/>
        <w:ind w:left="360"/>
      </w:pPr>
      <w:r>
        <w:rPr>
          <w:rFonts w:ascii="Times New Roman" w:hAnsi="Times New Roman" w:eastAsia="Times New Roman"/>
          <w:sz w:val="24"/>
        </w:rPr>
        <w:t>• Substantive reframing: the manuscript repositions HEXACO 7-typology as a stratification variable identifying differentially exposed populations rather than as an intervention target, and cautions against reading observational HEXACO–harassment associations as endorsing person-focused remediation.</w:t>
      </w:r>
    </w:p>
    <w:p>
      <w:pPr>
        <w:spacing w:line="276" w:lineRule="auto" w:after="120"/>
      </w:pPr>
      <w:r>
        <w:rPr>
          <w:rFonts w:ascii="Times New Roman" w:hAnsi="Times New Roman" w:eastAsia="Times New Roman"/>
          <w:sz w:val="24"/>
        </w:rPr>
        <w:t>The temporal coincidence between the MHLW FY2016 → FY2023 −13.2-percentage-point decline and the staged enforcement of the 2020 Power Harassment Prevention Law is treated in the manuscript as substantive context rather than as a formal causal estimand of the law's effect.</w:t>
      </w:r>
    </w:p>
    <w:p>
      <w:pPr>
        <w:spacing w:line="276" w:lineRule="auto" w:after="120"/>
      </w:pPr>
      <w:r>
        <w:rPr>
          <w:rFonts w:ascii="Times New Roman" w:hAnsi="Times New Roman" w:eastAsia="Times New Roman"/>
          <w:b/>
          <w:sz w:val="24"/>
        </w:rPr>
        <w:t>IEEE Access policy compliance</w:t>
      </w:r>
    </w:p>
    <w:p>
      <w:pPr>
        <w:spacing w:line="276" w:lineRule="auto" w:after="60"/>
        <w:ind w:left="360"/>
      </w:pPr>
      <w:r>
        <w:rPr>
          <w:rFonts w:ascii="Times New Roman" w:hAnsi="Times New Roman" w:eastAsia="Times New Roman"/>
          <w:sz w:val="24"/>
        </w:rPr>
        <w:t>• Originality: The manuscript has not been previously published in any peer-reviewed venue and is not under consideration at any other journal. A version of the manuscript has been posted as a non-peer-reviewed preprint at SocArXiv (DOI 10.31235/osf.io/p2d8w_v1; posted 2026-05-08) per IEEE's preprint policy, which permits prior preprint deposit and is consistent with the journal's open-access ethos. The companion IEEE Access publication (Tokiwa, 2026) is a distinct paper covering the cluster-typology derivation; the present submission is a microsimulation analysis using the previously-published cluster centroids as fixed parameters.</w:t>
      </w:r>
    </w:p>
    <w:p>
      <w:pPr>
        <w:spacing w:line="276" w:lineRule="auto" w:after="60"/>
        <w:ind w:left="360"/>
      </w:pPr>
      <w:r>
        <w:rPr>
          <w:rFonts w:ascii="Times New Roman" w:hAnsi="Times New Roman" w:eastAsia="Times New Roman"/>
          <w:sz w:val="24"/>
        </w:rPr>
        <w:t>• Reproducibility: Source code is publicly archived under MIT license at &lt;https://github.com/etoki/paper&gt; (directory: simulation/); supplementary artifacts at OSF DOI 10.17605/OSF.IO/3Y54U; SHA-256 hash-verified reproduction via make verify. The Docker container plus pinned uv.lock ensure byte-identical regeneration on the canonical platform.</w:t>
      </w:r>
    </w:p>
    <w:p>
      <w:pPr>
        <w:spacing w:line="276" w:lineRule="auto" w:after="60"/>
        <w:ind w:left="360"/>
      </w:pPr>
      <w:r>
        <w:rPr>
          <w:rFonts w:ascii="Times New Roman" w:hAnsi="Times New Roman" w:eastAsia="Times New Roman"/>
          <w:sz w:val="24"/>
        </w:rPr>
        <w:t>• Ethics: The N = 354 individual-level data re-analyzed in this study were originally collected under an IRB-approved protocol (Tokiwa, 2025). The present study is a secondary analysis of de-identified records; consistent with standard practice for secondary analysis of data covered by the original IRB approval, no additional ethics review was sought.</w:t>
      </w:r>
    </w:p>
    <w:p>
      <w:pPr>
        <w:spacing w:line="276" w:lineRule="auto" w:after="60"/>
        <w:ind w:left="360"/>
      </w:pPr>
      <w:r>
        <w:rPr>
          <w:rFonts w:ascii="Times New Roman" w:hAnsi="Times New Roman" w:eastAsia="Times New Roman"/>
          <w:sz w:val="24"/>
        </w:rPr>
        <w:t>• Competing Interests: The author discloses the following potential competing interest: the author is the founder and representative of SUNBLAZE Co., Ltd. (Tokyo, Japan), which provides HEXACO-JP, a proprietary Japanese-language HEXACO-based personality assessment service. Three points qualify the disclosure. (i) The present study does not use HEXACO-JP; the HEXACO instrument used here is the HEXACO-PI-R Japanese 60-item adaptation published by Wakabayashi (2014), a separately validated and openly cited instrument that predates and is independent of HEXACO-JP. (ii) The manuscript does not reference, evaluate, market, recommend, or otherwise promote HEXACO-JP or any other SUNBLAZE product or service. (iii) The headline empirical findings (a null personality-intervention contrast, a positive structural-intervention contrast, and the reframing of HEXACO 7-typology as a stratification variable rather than an intervention or screening target) do not differentially favor commercial HEXACO-based assessment products. Per IEEE Access's submission requirements, this conflict-of-interest disclosure is also (a) included within the manuscript itself in the ACKNOWLEDGMENT section of manuscript_ieee.docx and (b) provided as a standalone Conflict of Interest Statement document (conflict_of_interest_ieee.docx) uploaded alongside this submission.</w:t>
      </w:r>
    </w:p>
    <w:p>
      <w:pPr>
        <w:spacing w:line="276" w:lineRule="auto" w:after="60"/>
        <w:ind w:left="360"/>
      </w:pPr>
      <w:r>
        <w:rPr>
          <w:rFonts w:ascii="Times New Roman" w:hAnsi="Times New Roman" w:eastAsia="Times New Roman"/>
          <w:sz w:val="24"/>
        </w:rPr>
        <w:t>• Funding: No funding was received for this research. SUNBLAZE Co., Ltd. did not provide any funding, equipment, or compensation, and no external grant funding from public, commercial, or not-for-profit agencies was received. The author conducted the research as an independent academic project at no monetary cost, using publicly available analytical software and previously collected data.</w:t>
      </w:r>
    </w:p>
    <w:p>
      <w:pPr>
        <w:spacing w:line="276" w:lineRule="auto" w:after="60"/>
        <w:ind w:left="360"/>
      </w:pPr>
      <w:r>
        <w:rPr>
          <w:rFonts w:ascii="Times New Roman" w:hAnsi="Times New Roman" w:eastAsia="Times New Roman"/>
          <w:sz w:val="24"/>
        </w:rPr>
        <w:t>• Open Access fee acknowledgment: The author acknowledges the IEEE Access article processing charge (APC) and is prepared to comply upon acceptance.</w:t>
      </w:r>
    </w:p>
    <w:p>
      <w:pPr>
        <w:spacing w:line="276" w:lineRule="auto" w:after="60"/>
        <w:ind w:left="360"/>
      </w:pPr>
      <w:r>
        <w:rPr>
          <w:rFonts w:ascii="Times New Roman" w:hAnsi="Times New Roman" w:eastAsia="Times New Roman"/>
          <w:sz w:val="24"/>
        </w:rPr>
        <w:t>• Generative AI disclosure: Generative AI (Anthropic Claude) was used as a drafting and code-review assistant; all final claims, derivations, and statistical conclusions are the author's responsibility. This is disclosed in the manuscript ACKNOWLEDGMENT section per the IEEE 2025 AI use policy.</w:t>
      </w:r>
    </w:p>
    <w:p>
      <w:pPr>
        <w:spacing w:line="276" w:lineRule="auto" w:after="120"/>
      </w:pPr>
      <w:r>
        <w:rPr>
          <w:rFonts w:ascii="Times New Roman" w:hAnsi="Times New Roman" w:eastAsia="Times New Roman"/>
          <w:b/>
          <w:sz w:val="24"/>
        </w:rPr>
        <w:t>Suggested reviewers</w:t>
      </w:r>
    </w:p>
    <w:p>
      <w:pPr>
        <w:spacing w:line="276" w:lineRule="auto" w:after="120"/>
      </w:pPr>
      <w:r>
        <w:rPr>
          <w:rFonts w:ascii="Times New Roman" w:hAnsi="Times New Roman" w:eastAsia="Times New Roman"/>
          <w:sz w:val="24"/>
        </w:rPr>
        <w:t>The following authors of methods or substantive works cited in the manuscript have publicly demonstrated relevant IEEE Access-aligned expertise (computational rigor + applied workplace / personality science) and have no known conflict of interest with the author:</w:t>
      </w:r>
    </w:p>
    <w:p>
      <w:pPr>
        <w:spacing w:line="276" w:lineRule="auto" w:after="60"/>
        <w:ind w:left="360"/>
      </w:pPr>
      <w:r>
        <w:rPr>
          <w:rFonts w:ascii="Times New Roman" w:hAnsi="Times New Roman" w:eastAsia="Times New Roman"/>
          <w:sz w:val="24"/>
        </w:rPr>
        <w:t>• Miguel A. Hernán (Harvard T. H. Chan School of Public Health, USA) — co-author of the target-trial-emulation framework operationalized in Stages 6–7. Frequent reviewer for methodologically demanding venues.</w:t>
      </w:r>
    </w:p>
    <w:p>
      <w:pPr>
        <w:spacing w:line="276" w:lineRule="auto" w:after="60"/>
        <w:ind w:left="360"/>
      </w:pPr>
      <w:r>
        <w:rPr>
          <w:rFonts w:ascii="Times New Roman" w:hAnsi="Times New Roman" w:eastAsia="Times New Roman"/>
          <w:sz w:val="24"/>
        </w:rPr>
        <w:t>• Bradley Efron (Stanford University, USA) — author of the BCa bootstrap [Efron, 1987], the central CI method used in our four-step cascade. Foundational statistical-computing expertise.</w:t>
      </w:r>
    </w:p>
    <w:p>
      <w:pPr>
        <w:spacing w:line="276" w:lineRule="auto" w:after="60"/>
        <w:ind w:left="360"/>
      </w:pPr>
      <w:r>
        <w:rPr>
          <w:rFonts w:ascii="Times New Roman" w:hAnsi="Times New Roman" w:eastAsia="Times New Roman"/>
          <w:sz w:val="24"/>
        </w:rPr>
        <w:t>• Roger L. Berger (North Carolina State University, USA) — co-author of the Berger–Hsu intersection-union test [Berger &amp; Hsu, 1996] used for H7 evaluation. IEEE-Access-friendly methodological depth.</w:t>
      </w:r>
    </w:p>
    <w:p>
      <w:pPr>
        <w:spacing w:line="276" w:lineRule="auto" w:after="60"/>
        <w:ind w:left="360"/>
      </w:pPr>
      <w:r>
        <w:rPr>
          <w:rFonts w:ascii="Times New Roman" w:hAnsi="Times New Roman" w:eastAsia="Times New Roman"/>
          <w:sz w:val="24"/>
        </w:rPr>
        <w:t>• Joon Sung Park (Stanford University, USA) — first author of the generative-agents work [Park et al., 2023] cited in our Phase 2 follow-up plan. Brings computational-engineering perspective on agent-based extensions.</w:t>
      </w:r>
    </w:p>
    <w:p>
      <w:pPr>
        <w:spacing w:line="276" w:lineRule="auto" w:after="60"/>
        <w:ind w:left="360"/>
      </w:pPr>
      <w:r>
        <w:rPr>
          <w:rFonts w:ascii="Times New Roman" w:hAnsi="Times New Roman" w:eastAsia="Times New Roman"/>
          <w:sz w:val="24"/>
        </w:rPr>
        <w:t>• Morten Birkeland Nielsen (National Institute of Occupational Health, Norway) — first author of the cross-cultural meta-analysis [Nielsen et al., 2017] anchoring our F = 0.5 transportability factor. Substantive workplace-harassment expertise.</w:t>
      </w:r>
    </w:p>
    <w:p>
      <w:pPr>
        <w:spacing w:line="276" w:lineRule="auto" w:after="120"/>
      </w:pPr>
      <w:r>
        <w:rPr>
          <w:rFonts w:ascii="Times New Roman" w:hAnsi="Times New Roman" w:eastAsia="Times New Roman"/>
          <w:sz w:val="24"/>
        </w:rPr>
        <w:t>I respectfully request reviewers familiar with statistical-computing methodology (bootstrap, empirical Bayes, IUT) and the Stage 2 Registered Report process; IEEE Access readers most directly served by this manuscript are at the intersection of computational psychology, occupational-health analytics, and pre-registered causal inference.</w:t>
      </w:r>
    </w:p>
    <w:p>
      <w:pPr>
        <w:spacing w:line="276" w:lineRule="auto" w:after="120"/>
      </w:pPr>
      <w:r>
        <w:rPr>
          <w:rFonts w:ascii="Times New Roman" w:hAnsi="Times New Roman" w:eastAsia="Times New Roman"/>
          <w:b/>
          <w:sz w:val="24"/>
        </w:rPr>
        <w:t>Closing</w:t>
      </w:r>
    </w:p>
    <w:p>
      <w:pPr>
        <w:spacing w:line="276" w:lineRule="auto" w:after="120"/>
      </w:pPr>
      <w:r>
        <w:rPr>
          <w:rFonts w:ascii="Times New Roman" w:hAnsi="Times New Roman" w:eastAsia="Times New Roman"/>
          <w:sz w:val="24"/>
        </w:rPr>
        <w:t>I confirm that this manuscript has not been previously published in any peer-reviewed venue and is not under consideration at any other journal. A non-peer-reviewed version has been posted as a preprint at SocArXiv (DOI 10.31235/osf.io/p2d8w_v1) per IEEE Access preprint policy. The submission is sole-authored, and all author tasks have been completed by me. Code, data, and intermediate artifacts will remain publicly accessible at the indicated OSF DOI and GitHub repository for the duration of peer review and beyond.</w:t>
      </w:r>
    </w:p>
    <w:p>
      <w:pPr>
        <w:spacing w:line="276" w:lineRule="auto" w:after="120"/>
      </w:pPr>
      <w:r>
        <w:rPr>
          <w:rFonts w:ascii="Times New Roman" w:hAnsi="Times New Roman" w:eastAsia="Times New Roman"/>
          <w:sz w:val="24"/>
        </w:rPr>
        <w:t>I look forward to the editorial team's response and the peer-review process.</w:t>
      </w:r>
    </w:p>
    <w:p>
      <w:pPr>
        <w:spacing w:line="276" w:lineRule="auto" w:after="120"/>
      </w:pPr>
      <w:r>
        <w:rPr>
          <w:rFonts w:ascii="Times New Roman" w:hAnsi="Times New Roman" w:eastAsia="Times New Roman"/>
          <w:sz w:val="24"/>
        </w:rPr>
        <w:t>Sincerely,</w:t>
      </w:r>
    </w:p>
    <w:p>
      <w:pPr>
        <w:spacing w:line="276" w:lineRule="auto" w:after="120"/>
      </w:pPr>
      <w:r>
        <w:rPr>
          <w:rFonts w:ascii="Times New Roman" w:hAnsi="Times New Roman" w:eastAsia="Times New Roman"/>
          <w:sz w:val="24"/>
        </w:rPr>
        <w:t>Eisuke Tokiwa Founder, SUNBLAZE Co., Ltd. Nishi-Shinjuku 3-3-13, Shinjuku-ku, Tokyo 160-0023, Japan Email: eisuke.tokiwa@sunblaze.jp ORCID: 0009-0009-7124-6669 GitHub: https://github.com/etoki/paper OSF: https://osf.io/3y54u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