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Helvetica Neue" w:hAnsi="Helvetica Neue" w:eastAsia="Helvetica Neue"/>
          <w:color w:val="000000"/>
          <w:sz w:val="14"/>
        </w:rPr>
        <w:t>Date of publication xxxx 00, 0000, date of current version xxxx 00, 0000.</w:t>
      </w:r>
    </w:p>
    <w:p>
      <w:pPr>
        <w:spacing w:line="240" w:lineRule="auto" w:before="0" w:after="160"/>
      </w:pPr>
      <w:r>
        <w:rPr>
          <w:rFonts w:ascii="Times New Roman" w:hAnsi="Times New Roman" w:eastAsia="Times New Roman"/>
          <w:color w:val="000000"/>
          <w:sz w:val="12"/>
        </w:rPr>
        <w:t>Digital Object Identifier 10.1109/ACCESS.20XX.Doi Number</w:t>
      </w:r>
    </w:p>
    <w:p>
      <w:pPr>
        <w:spacing w:line="240" w:lineRule="auto" w:before="0" w:after="200"/>
        <w:jc w:val="left"/>
      </w:pPr>
      <w:r>
        <w:rPr>
          <w:rFonts w:ascii="Helvetica Neue" w:hAnsi="Helvetica Neue" w:eastAsia="Helvetica Neue"/>
          <w:b/>
          <w:color w:val="00629B"/>
          <w:sz w:val="44"/>
        </w:rPr>
        <w:t>Person-Level versus System-Level Anti-Harassment Interventions: A HEXACO 7-Typology Counterfactual Microsimulation in Japanese Workplaces</w:t>
      </w:r>
    </w:p>
    <w:p>
      <w:pPr>
        <w:spacing w:line="240" w:lineRule="auto" w:before="0" w:after="40"/>
        <w:jc w:val="left"/>
      </w:pPr>
      <w:r>
        <w:rPr>
          <w:rFonts w:ascii="Helvetica Neue" w:hAnsi="Helvetica Neue" w:eastAsia="Helvetica Neue"/>
          <w:b/>
          <w:color w:val="000000"/>
          <w:sz w:val="20"/>
        </w:rPr>
        <w:t>E. Tokiwa</w:t>
      </w:r>
      <w:r>
        <w:rPr>
          <w:rFonts w:ascii="Helvetica Neue" w:hAnsi="Helvetica Neue" w:eastAsia="Helvetica Neue"/>
          <w:b/>
          <w:color w:val="000000"/>
          <w:sz w:val="14"/>
          <w:vertAlign w:val="superscript"/>
        </w:rPr>
        <w:t>1</w:t>
      </w:r>
    </w:p>
    <w:p>
      <w:pPr>
        <w:spacing w:line="240" w:lineRule="auto" w:before="0" w:after="40"/>
      </w:pPr>
      <w:r>
        <w:rPr>
          <w:rFonts w:ascii="Times New Roman" w:hAnsi="Times New Roman" w:eastAsia="Times New Roman"/>
          <w:color w:val="000000"/>
          <w:sz w:val="14"/>
          <w:vertAlign w:val="superscript"/>
        </w:rPr>
        <w:t>1</w:t>
      </w:r>
      <w:r>
        <w:rPr>
          <w:rFonts w:ascii="Times New Roman" w:hAnsi="Times New Roman" w:eastAsia="Times New Roman"/>
          <w:color w:val="000000"/>
          <w:sz w:val="14"/>
        </w:rPr>
        <w:t>SUNBLAZE Co., Ltd., Nishi-Shinjuku 3-3-13, Shinjuku-ku, Tokyo 160-0023, Japan</w:t>
      </w:r>
    </w:p>
    <w:p>
      <w:pPr>
        <w:spacing w:line="240" w:lineRule="auto" w:before="0" w:after="40"/>
      </w:pPr>
      <w:r>
        <w:rPr>
          <w:rFonts w:ascii="Times New Roman" w:hAnsi="Times New Roman" w:eastAsia="Times New Roman"/>
          <w:color w:val="000000"/>
          <w:sz w:val="15"/>
        </w:rPr>
        <w:t>Corresponding author: E. Tokiwa (e-mail: eisuke.tokiwa@sunblaze.jp).</w:t>
      </w:r>
    </w:p>
    <w:p>
      <w:pPr>
        <w:spacing w:line="240" w:lineRule="auto" w:before="0" w:after="40"/>
        <w:jc w:val="both"/>
      </w:pPr>
      <w:r>
        <w:rPr>
          <w:rFonts w:ascii="Times New Roman" w:hAnsi="Times New Roman" w:eastAsia="Times New Roman"/>
          <w:color w:val="000000"/>
          <w:sz w:val="16"/>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w:t>
      </w:r>
    </w:p>
    <w:p>
      <w:pPr>
        <w:spacing w:line="240" w:lineRule="auto" w:before="0" w:after="200"/>
        <w:jc w:val="left"/>
      </w:pPr>
      <w:r>
        <w:rPr>
          <w:rFonts w:ascii="Times New Roman" w:hAnsi="Times New Roman" w:eastAsia="Times New Roman"/>
          <w:sz w:val="14"/>
        </w:rPr>
        <w:t>© 2026 The Authors. This work is licensed under a Creative Commons Attribution 4.0 License. For more information, see https://creativecommons.org/licenses/by/4.0/. VOLUME XX, 2026</w:t>
      </w:r>
    </w:p>
    <w:p>
      <w:pPr>
        <w:spacing w:line="240" w:lineRule="auto" w:before="0" w:after="80"/>
        <w:jc w:val="both"/>
      </w:pPr>
      <w:r>
        <w:rPr>
          <w:rFonts w:ascii="Helvetica Neue" w:hAnsi="Helvetica Neue" w:eastAsia="Helvetica Neue"/>
          <w:b/>
          <w:color w:val="00629B"/>
          <w:sz w:val="20"/>
        </w:rPr>
        <w:t>ABSTRACT</w:t>
      </w:r>
      <w:r>
        <w:rPr>
          <w:rFonts w:ascii="Times New Roman" w:hAnsi="Times New Roman" w:eastAsia="Times New Roman"/>
          <w:color w:val="000000"/>
          <w:sz w:val="20"/>
        </w:rPr>
        <w:t xml:space="preserve"> 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240" w:lineRule="auto" w:before="0" w:after="200"/>
        <w:jc w:val="both"/>
      </w:pPr>
      <w:r>
        <w:rPr>
          <w:rFonts w:ascii="Helvetica Neue" w:hAnsi="Helvetica Neue" w:eastAsia="Helvetica Neue"/>
          <w:b/>
          <w:color w:val="00629B"/>
          <w:sz w:val="20"/>
        </w:rPr>
        <w:t>INDEX TERMS</w:t>
      </w:r>
      <w:r>
        <w:rPr>
          <w:rFonts w:ascii="Times New Roman" w:hAnsi="Times New Roman" w:eastAsia="Times New Roman"/>
          <w:color w:val="000000"/>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160" w:after="80"/>
        <w:jc w:val="left"/>
      </w:pPr>
      <w:r>
        <w:rPr>
          <w:rFonts w:ascii="Helvetica Neue" w:hAnsi="Helvetica Neue" w:eastAsia="Helvetica Neue"/>
          <w:b/>
          <w:color w:val="00629B"/>
          <w:sz w:val="18"/>
        </w:rPr>
        <w:t>I. INTRODUCTION</w:t>
      </w:r>
    </w:p>
    <w:p>
      <w:pPr>
        <w:spacing w:line="240" w:lineRule="auto" w:before="0" w:after="0"/>
        <w:ind w:firstLine="180"/>
        <w:jc w:val="both"/>
      </w:pPr>
      <w:r>
        <w:rPr>
          <w:rFonts w:ascii="Times New Roman" w:hAnsi="Times New Roman" w:eastAsia="Times New Roman"/>
          <w:color w:val="000000"/>
          <w:sz w:val="20"/>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[1].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240" w:lineRule="auto" w:before="0" w:after="0"/>
        <w:ind w:firstLine="180"/>
        <w:jc w:val="both"/>
      </w:pPr>
      <w:r>
        <w:rPr>
          <w:rFonts w:ascii="Times New Roman" w:hAnsi="Times New Roman" w:eastAsia="Times New Roman"/>
          <w:color w:val="000000"/>
          <w:sz w:val="20"/>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240" w:lineRule="auto" w:before="0" w:after="0"/>
        <w:ind w:firstLine="180"/>
        <w:jc w:val="both"/>
      </w:pPr>
      <w:r>
        <w:rPr>
          <w:rFonts w:ascii="Times New Roman" w:hAnsi="Times New Roman" w:eastAsia="Times New Roman"/>
          <w:color w:val="000000"/>
          <w:sz w:val="20"/>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240" w:lineRule="auto" w:before="160" w:after="80"/>
        <w:jc w:val="left"/>
      </w:pPr>
      <w:r>
        <w:rPr>
          <w:rFonts w:ascii="Helvetica Neue" w:hAnsi="Helvetica Neue" w:eastAsia="Helvetica Neue"/>
          <w:b/>
          <w:color w:val="00629B"/>
          <w:sz w:val="18"/>
        </w:rPr>
        <w:t>II. BACKGROUND AND HISTORY</w:t>
      </w:r>
    </w:p>
    <w:p>
      <w:pPr>
        <w:spacing w:line="240" w:lineRule="auto" w:before="80" w:after="40"/>
      </w:pPr>
      <w:r>
        <w:rPr>
          <w:rFonts w:ascii="Times New Roman" w:hAnsi="Times New Roman" w:eastAsia="Times New Roman"/>
          <w:b/>
          <w:color w:val="000000"/>
          <w:sz w:val="20"/>
        </w:rPr>
        <w:t>A. Workplace harassment as a public-health and policy problem</w:t>
      </w:r>
    </w:p>
    <w:p>
      <w:pPr>
        <w:spacing w:line="240" w:lineRule="auto" w:before="0" w:after="0"/>
        <w:ind w:firstLine="180"/>
        <w:jc w:val="both"/>
      </w:pPr>
      <w:r>
        <w:rPr>
          <w:rFonts w:ascii="Times New Roman" w:hAnsi="Times New Roman" w:eastAsia="Times New Roman"/>
          <w:color w:val="000000"/>
          <w:sz w:val="20"/>
        </w:rPr>
        <w:t>Workplace harassment has been associated with elevated risk of psychiatric morbidity, voluntary turnover, and reduced labor productivity in industrialized economies [2], [3]. In Japan, the Ministry of Health, Labour and Welfare (MHLW) has documented past-three-year power-harassment victimization rates of 32.5% in FY2016, 31.4% in FY2020, and 19.3% in FY2023 [1].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240" w:lineRule="auto" w:before="0" w:after="0"/>
        <w:ind w:firstLine="180"/>
        <w:jc w:val="both"/>
      </w:pPr>
      <w:r>
        <w:rPr>
          <w:rFonts w:ascii="Times New Roman" w:hAnsi="Times New Roman" w:eastAsia="Times New Roman"/>
          <w:color w:val="000000"/>
          <w:sz w:val="20"/>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[4], [5]. The former framing treats harassment as primarily driven by individual disposition; the latter treats it as primarily driven by environmental affordance. Despite extensive research linking personality traits to bullying and harassment [6], [7], the relative population-level magnitude of plausible person-level and system-level intervention contrasts has not been quantitatively compared in a counterfactually formal framework calibrated against prior meta-analytic effect sizes.</w:t>
      </w:r>
    </w:p>
    <w:p>
      <w:pPr>
        <w:spacing w:line="240" w:lineRule="auto" w:before="80" w:after="40"/>
      </w:pPr>
      <w:r>
        <w:rPr>
          <w:rFonts w:ascii="Times New Roman" w:hAnsi="Times New Roman" w:eastAsia="Times New Roman"/>
          <w:b/>
          <w:color w:val="000000"/>
          <w:sz w:val="20"/>
        </w:rPr>
        <w:t>B. HEXACO 7-typology and its prior connection to workplace harassment</w:t>
      </w:r>
    </w:p>
    <w:p>
      <w:pPr>
        <w:spacing w:line="240" w:lineRule="auto" w:before="0" w:after="0"/>
        <w:ind w:firstLine="180"/>
        <w:jc w:val="both"/>
      </w:pPr>
      <w:r>
        <w:rPr>
          <w:rFonts w:ascii="Times New Roman" w:hAnsi="Times New Roman" w:eastAsia="Times New Roman"/>
          <w:color w:val="000000"/>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color w:val="000000"/>
          <w:sz w:val="20"/>
        </w:rPr>
        <w:t>In a companion study, the author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color w:val="000000"/>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80" w:after="40"/>
      </w:pPr>
      <w:r>
        <w:rPr>
          <w:rFonts w:ascii="Times New Roman" w:hAnsi="Times New Roman" w:eastAsia="Times New Roman"/>
          <w:b/>
          <w:color w:val="000000"/>
          <w:sz w:val="20"/>
        </w:rPr>
        <w:t>C. Microsimulation as a methodological bridge</w:t>
      </w:r>
    </w:p>
    <w:p>
      <w:pPr>
        <w:spacing w:line="240" w:lineRule="auto" w:before="0" w:after="0"/>
        <w:ind w:firstLine="180"/>
        <w:jc w:val="both"/>
      </w:pPr>
      <w:r>
        <w:rPr>
          <w:rFonts w:ascii="Times New Roman" w:hAnsi="Times New Roman" w:eastAsia="Times New Roman"/>
          <w:color w:val="000000"/>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color w:val="000000"/>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color w:val="000000"/>
          <w:sz w:val="20"/>
        </w:rPr>
        <w:t>Counterfactual contrasts are formulated using the Pearl [33] do-operator. Specifically, we define three pre-registered interventions:</w:t>
      </w:r>
    </w:p>
    <w:p>
      <w:pPr>
        <w:pStyle w:val="ListBullet"/>
        <w:spacing w:line="240" w:lineRule="auto" w:before="0" w:after="0"/>
        <w:jc w:val="both"/>
      </w:pPr>
      <w:r>
        <w:rPr>
          <w:rFonts w:ascii="Times New Roman" w:hAnsi="Times New Roman" w:eastAsia="Times New Roman"/>
          <w:color w:val="000000"/>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color w:val="000000"/>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color w:val="000000"/>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color w:val="000000"/>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80" w:after="40"/>
      </w:pPr>
      <w:r>
        <w:rPr>
          <w:rFonts w:ascii="Times New Roman" w:hAnsi="Times New Roman" w:eastAsia="Times New Roman"/>
          <w:b/>
          <w:color w:val="000000"/>
          <w:sz w:val="20"/>
        </w:rPr>
        <w:t>D. Hypotheses</w:t>
      </w:r>
    </w:p>
    <w:p>
      <w:pPr>
        <w:spacing w:line="240" w:lineRule="auto" w:before="0" w:after="0"/>
        <w:ind w:firstLine="180"/>
        <w:jc w:val="both"/>
      </w:pPr>
      <w:r>
        <w:rPr>
          <w:rFonts w:ascii="Times New Roman" w:hAnsi="Times New Roman" w:eastAsia="Times New Roman"/>
          <w:color w:val="000000"/>
          <w:sz w:val="20"/>
        </w:rPr>
        <w:t>The pre-registration (v2.0) specifies seven primary hypotheses:</w:t>
      </w:r>
    </w:p>
    <w:p>
      <w:pPr>
        <w:pStyle w:val="ListBullet"/>
        <w:spacing w:line="240" w:lineRule="auto" w:before="0" w:after="0"/>
        <w:jc w:val="both"/>
      </w:pPr>
      <w:r>
        <w:rPr>
          <w:rFonts w:ascii="Times New Roman" w:hAnsi="Times New Roman" w:eastAsia="Times New Roman"/>
          <w:color w:val="000000"/>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color w:val="000000"/>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color w:val="000000"/>
          <w:sz w:val="20"/>
        </w:rPr>
        <w:t>H3 (centroid concordance): The 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color w:val="000000"/>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color w:val="000000"/>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color w:val="000000"/>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color w:val="000000"/>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80" w:after="40"/>
      </w:pPr>
      <w:r>
        <w:rPr>
          <w:rFonts w:ascii="Times New Roman" w:hAnsi="Times New Roman" w:eastAsia="Times New Roman"/>
          <w:b/>
          <w:color w:val="000000"/>
          <w:sz w:val="20"/>
        </w:rPr>
        <w:t>E. Purpose and significance of the present study</w:t>
      </w:r>
    </w:p>
    <w:p>
      <w:pPr>
        <w:spacing w:line="240" w:lineRule="auto" w:before="0" w:after="0"/>
        <w:ind w:firstLine="180"/>
        <w:jc w:val="both"/>
      </w:pPr>
      <w:r>
        <w:rPr>
          <w:rFonts w:ascii="Times New Roman" w:hAnsi="Times New Roman" w:eastAsia="Times New Roman"/>
          <w:color w:val="000000"/>
          <w:sz w:val="20"/>
        </w:rPr>
        <w:t>This study makes four scientific contributions:</w:t>
      </w:r>
    </w:p>
    <w:p>
      <w:pPr>
        <w:pStyle w:val="ListBullet"/>
        <w:spacing w:line="240" w:lineRule="auto" w:before="0" w:after="0"/>
        <w:jc w:val="both"/>
      </w:pPr>
      <w:r>
        <w:rPr>
          <w:rFonts w:ascii="Times New Roman" w:hAnsi="Times New Roman" w:eastAsia="Times New Roman"/>
          <w:color w:val="000000"/>
          <w:sz w:val="20"/>
        </w:rPr>
        <w:t>Methodological: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[14] and Tokiwa [13]; deposit details are provided in Methods (Data availability).</w:t>
      </w:r>
    </w:p>
    <w:p>
      <w:pPr>
        <w:pStyle w:val="ListBullet"/>
        <w:spacing w:line="240" w:lineRule="auto" w:before="0" w:after="0"/>
        <w:jc w:val="both"/>
      </w:pPr>
      <w:r>
        <w:rPr>
          <w:rFonts w:ascii="Times New Roman" w:hAnsi="Times New Roman" w:eastAsia="Times New Roman"/>
          <w:color w:val="000000"/>
          <w:sz w:val="20"/>
        </w:rPr>
        <w:t>Empirical: It provides a quantitative apples-to-apples comparison of person-level and system-level intervention contrasts on Japanese workplace-harassment prevalence, with each counterfactual calibrated to effect sizes drawn from prior meta-analyses.</w:t>
      </w:r>
    </w:p>
    <w:p>
      <w:pPr>
        <w:pStyle w:val="ListBullet"/>
        <w:spacing w:line="240" w:lineRule="auto" w:before="0" w:after="0"/>
        <w:jc w:val="both"/>
      </w:pPr>
      <w:r>
        <w:rPr>
          <w:rFonts w:ascii="Times New Roman" w:hAnsi="Times New Roman" w:eastAsia="Times New Roman"/>
          <w:color w:val="000000"/>
          <w:sz w:val="20"/>
        </w:rPr>
        <w:t>Theoretical: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w:t>
      </w:r>
    </w:p>
    <w:p>
      <w:pPr>
        <w:pStyle w:val="ListBullet"/>
        <w:spacing w:line="240" w:lineRule="auto" w:before="0" w:after="0"/>
        <w:jc w:val="both"/>
      </w:pPr>
      <w:r>
        <w:rPr>
          <w:rFonts w:ascii="Times New Roman" w:hAnsi="Times New Roman" w:eastAsia="Times New Roman"/>
          <w:color w:val="000000"/>
          <w:sz w:val="20"/>
        </w:rPr>
        <w:t>Substantive: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240" w:lineRule="auto" w:before="160" w:after="80"/>
        <w:jc w:val="left"/>
      </w:pPr>
      <w:r>
        <w:rPr>
          <w:rFonts w:ascii="Helvetica Neue" w:hAnsi="Helvetica Neue" w:eastAsia="Helvetica Neue"/>
          <w:b/>
          <w:color w:val="00629B"/>
          <w:sz w:val="18"/>
        </w:rPr>
        <w:t>III. METHODS</w:t>
      </w:r>
    </w:p>
    <w:p>
      <w:pPr>
        <w:spacing w:line="240" w:lineRule="auto" w:before="80" w:after="40"/>
      </w:pPr>
      <w:r>
        <w:rPr>
          <w:rFonts w:ascii="Times New Roman" w:hAnsi="Times New Roman" w:eastAsia="Times New Roman"/>
          <w:b/>
          <w:color w:val="000000"/>
          <w:sz w:val="20"/>
        </w:rPr>
        <w:t>A. Data sources</w:t>
      </w:r>
    </w:p>
    <w:p>
      <w:pPr>
        <w:spacing w:line="240" w:lineRule="auto" w:before="40" w:after="40"/>
      </w:pPr>
      <w:r>
        <w:rPr>
          <w:rFonts w:ascii="Helvetica Neue" w:hAnsi="Helvetica Neue" w:eastAsia="Helvetica Neue"/>
          <w:b/>
          <w:i/>
          <w:color w:val="58595B"/>
          <w:sz w:val="18"/>
        </w:rPr>
        <w:t>1) Individual-level harassment data (N = 354):</w:t>
      </w:r>
    </w:p>
    <w:p>
      <w:pPr>
        <w:spacing w:line="240" w:lineRule="auto" w:before="0" w:after="0"/>
        <w:ind w:firstLine="180"/>
        <w:jc w:val="both"/>
      </w:pPr>
      <w:r>
        <w:rPr>
          <w:rFonts w:ascii="Times New Roman" w:hAnsi="Times New Roman" w:eastAsia="Times New Roman"/>
          <w:color w:val="000000"/>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color w:val="000000"/>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color w:val="000000"/>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color w:val="000000"/>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color w:val="000000"/>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color w:val="000000"/>
          <w:sz w:val="20"/>
        </w:rPr>
        <w:t>Demographics: binary self-reported gender (0 = female, 1 = male), age (continuous), prefecture-level region (categorical).</w:t>
      </w:r>
    </w:p>
    <w:p>
      <w:pPr>
        <w:spacing w:line="240" w:lineRule="auto" w:before="40" w:after="40"/>
      </w:pPr>
      <w:r>
        <w:rPr>
          <w:rFonts w:ascii="Helvetica Neue" w:hAnsi="Helvetica Neue" w:eastAsia="Helvetica Neue"/>
          <w:b/>
          <w:i/>
          <w:color w:val="58595B"/>
          <w:sz w:val="18"/>
        </w:rPr>
        <w:t>2) Cluster centroids [13] (N = 13,668):</w:t>
      </w:r>
    </w:p>
    <w:p>
      <w:pPr>
        <w:spacing w:line="240" w:lineRule="auto" w:before="0" w:after="0"/>
        <w:ind w:firstLine="180"/>
        <w:jc w:val="both"/>
      </w:pPr>
      <w:r>
        <w:rPr>
          <w:rFonts w:ascii="Times New Roman" w:hAnsi="Times New Roman" w:eastAsia="Times New Roman"/>
          <w:color w:val="000000"/>
          <w:sz w:val="20"/>
        </w:rPr>
        <w:t>Seven HEXACO cluster centroids were taken from the previously published Tokiwa [13] clustering of N = 13,668 Japanese respondents. Per pre-registration,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40" w:after="40"/>
      </w:pPr>
      <w:r>
        <w:rPr>
          <w:rFonts w:ascii="Helvetica Neue" w:hAnsi="Helvetica Neue" w:eastAsia="Helvetica Neue"/>
          <w:b/>
          <w:i/>
          <w:color w:val="58595B"/>
          <w:sz w:val="18"/>
        </w:rPr>
        <w:t>3) Population reweighting (Statistics Bureau Labor Force Survey 2022):</w:t>
      </w:r>
    </w:p>
    <w:p>
      <w:pPr>
        <w:spacing w:line="240" w:lineRule="auto" w:before="0" w:after="0"/>
        <w:ind w:firstLine="180"/>
        <w:jc w:val="both"/>
      </w:pPr>
      <w:r>
        <w:rPr>
          <w:rFonts w:ascii="Times New Roman" w:hAnsi="Times New Roman" w:eastAsia="Times New Roman"/>
          <w:color w:val="000000"/>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40" w:after="40"/>
      </w:pPr>
      <w:r>
        <w:rPr>
          <w:rFonts w:ascii="Helvetica Neue" w:hAnsi="Helvetica Neue" w:eastAsia="Helvetica Neue"/>
          <w:b/>
          <w:i/>
          <w:color w:val="58595B"/>
          <w:sz w:val="18"/>
        </w:rPr>
        <w:t>4) MHLW power-harassment victimization targets:</w:t>
      </w:r>
    </w:p>
    <w:p>
      <w:pPr>
        <w:spacing w:line="240" w:lineRule="auto" w:before="0" w:after="0"/>
        <w:ind w:firstLine="180"/>
        <w:jc w:val="both"/>
      </w:pPr>
      <w:r>
        <w:rPr>
          <w:rFonts w:ascii="Times New Roman" w:hAnsi="Times New Roman" w:eastAsia="Times New Roman"/>
          <w:color w:val="000000"/>
          <w:sz w:val="20"/>
        </w:rPr>
        <w:t>Past-three-year power-harassment victimization rates from three MHLW Workplace Harassment Surveys [1] serve as external validation targets for H1:</w:t>
      </w:r>
    </w:p>
    <w:p>
      <w:pPr>
        <w:pStyle w:val="ListBullet"/>
        <w:spacing w:line="240" w:lineRule="auto" w:before="0" w:after="0"/>
        <w:jc w:val="both"/>
      </w:pPr>
      <w:r>
        <w:rPr>
          <w:rFonts w:ascii="Times New Roman" w:hAnsi="Times New Roman" w:eastAsia="Times New Roman"/>
          <w:color w:val="000000"/>
          <w:sz w:val="20"/>
        </w:rPr>
        <w:t>FY2016 (32.5%) — pre-law, primary target;</w:t>
      </w:r>
    </w:p>
    <w:p>
      <w:pPr>
        <w:pStyle w:val="ListBullet"/>
        <w:spacing w:line="240" w:lineRule="auto" w:before="0" w:after="0"/>
        <w:jc w:val="both"/>
      </w:pPr>
      <w:r>
        <w:rPr>
          <w:rFonts w:ascii="Times New Roman" w:hAnsi="Times New Roman" w:eastAsia="Times New Roman"/>
          <w:color w:val="000000"/>
          <w:sz w:val="20"/>
        </w:rPr>
        <w:t>FY2020 (31.4%) — transition period, secondary target;</w:t>
      </w:r>
    </w:p>
    <w:p>
      <w:pPr>
        <w:pStyle w:val="ListBullet"/>
        <w:spacing w:line="240" w:lineRule="auto" w:before="0" w:after="0"/>
        <w:jc w:val="both"/>
      </w:pPr>
      <w:r>
        <w:rPr>
          <w:rFonts w:ascii="Times New Roman" w:hAnsi="Times New Roman" w:eastAsia="Times New Roman"/>
          <w:color w:val="000000"/>
          <w:sz w:val="20"/>
        </w:rPr>
        <w:t>FY2023 (19.3%) — post-law, secondary target.</w:t>
      </w:r>
    </w:p>
    <w:p>
      <w:pPr>
        <w:spacing w:line="240" w:lineRule="auto" w:before="80" w:after="40"/>
      </w:pPr>
      <w:r>
        <w:rPr>
          <w:rFonts w:ascii="Times New Roman" w:hAnsi="Times New Roman" w:eastAsia="Times New Roman"/>
          <w:b/>
          <w:color w:val="000000"/>
          <w:sz w:val="20"/>
        </w:rPr>
        <w:t>B. Pre-registered analytic pipeline</w:t>
      </w:r>
    </w:p>
    <w:p>
      <w:pPr>
        <w:spacing w:line="240" w:lineRule="auto" w:before="0" w:after="0"/>
        <w:ind w:firstLine="180"/>
        <w:jc w:val="both"/>
      </w:pPr>
      <w:r>
        <w:rPr>
          <w:rFonts w:ascii="Times New Roman" w:hAnsi="Times New Roman" w:eastAsia="Times New Roman"/>
          <w:color w:val="000000"/>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40" w:after="40"/>
      </w:pPr>
      <w:r>
        <w:rPr>
          <w:rFonts w:ascii="Helvetica Neue" w:hAnsi="Helvetica Neue" w:eastAsia="Helvetica Neue"/>
          <w:b/>
          <w:i/>
          <w:color w:val="58595B"/>
          <w:sz w:val="18"/>
        </w:rPr>
        <w:t>1) Stage 0: Type assignment, cell propensity, and 28-cell empirical Bayes:</w:t>
      </w:r>
    </w:p>
    <w:p>
      <w:pPr>
        <w:spacing w:line="240" w:lineRule="auto" w:before="0" w:after="0"/>
        <w:ind w:firstLine="180"/>
        <w:jc w:val="both"/>
      </w:pPr>
      <w:r>
        <w:rPr>
          <w:rFonts w:ascii="Times New Roman" w:hAnsi="Times New Roman" w:eastAsia="Times New Roman"/>
          <w:color w:val="000000"/>
          <w:sz w:val="20"/>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color w:val="000000"/>
          <w:sz w:val="20"/>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pStyle w:val="ListBullet"/>
        <w:spacing w:line="240" w:lineRule="auto" w:before="0" w:after="0"/>
        <w:jc w:val="both"/>
      </w:pPr>
      <w:r>
        <w:rPr>
          <w:rFonts w:ascii="Times New Roman" w:hAnsi="Times New Roman" w:eastAsia="Times New Roman"/>
          <w:color w:val="000000"/>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color w:val="000000"/>
          <w:sz w:val="20"/>
        </w:rPr>
        <w:t>BCa [27] (Bias-Corrected accelerated) with the jackknife acceleration parameter â when |a| ≤ 10;</w:t>
      </w:r>
    </w:p>
    <w:p>
      <w:pPr>
        <w:pStyle w:val="ListBullet"/>
        <w:spacing w:line="240" w:lineRule="auto" w:before="0" w:after="0"/>
        <w:jc w:val="both"/>
      </w:pPr>
      <w:r>
        <w:rPr>
          <w:rFonts w:ascii="Times New Roman" w:hAnsi="Times New Roman" w:eastAsia="Times New Roman"/>
          <w:color w:val="000000"/>
          <w:sz w:val="20"/>
        </w:rPr>
        <w:t>BC (bias-corrected only) when BCa fails or |a| &gt; 10;</w:t>
      </w:r>
    </w:p>
    <w:p>
      <w:pPr>
        <w:pStyle w:val="ListBullet"/>
        <w:spacing w:line="240" w:lineRule="auto" w:before="0" w:after="0"/>
        <w:jc w:val="both"/>
      </w:pPr>
      <w:r>
        <w:rPr>
          <w:rFonts w:ascii="Times New Roman" w:hAnsi="Times New Roman" w:eastAsia="Times New Roman"/>
          <w:color w:val="000000"/>
          <w:sz w:val="20"/>
        </w:rPr>
        <w:t>Percentile as a final fallback.</w:t>
      </w:r>
    </w:p>
    <w:p>
      <w:pPr>
        <w:spacing w:line="240" w:lineRule="auto" w:before="0" w:after="0"/>
        <w:ind w:firstLine="180"/>
        <w:jc w:val="both"/>
      </w:pPr>
      <w:r>
        <w:rPr>
          <w:rFonts w:ascii="Times New Roman" w:hAnsi="Times New Roman" w:eastAsia="Times New Roman"/>
          <w:color w:val="000000"/>
          <w:sz w:val="20"/>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240" w:lineRule="auto" w:before="40" w:after="40"/>
      </w:pPr>
      <w:r>
        <w:rPr>
          <w:rFonts w:ascii="Helvetica Neue" w:hAnsi="Helvetica Neue" w:eastAsia="Helvetica Neue"/>
          <w:b/>
          <w:i/>
          <w:color w:val="58595B"/>
          <w:sz w:val="18"/>
        </w:rPr>
        <w:t>2) Stage 1: National prevalence aggregation:</w:t>
      </w:r>
    </w:p>
    <w:p>
      <w:pPr>
        <w:spacing w:line="240" w:lineRule="auto" w:before="0" w:after="0"/>
        <w:ind w:firstLine="180"/>
        <w:jc w:val="both"/>
      </w:pPr>
      <w:r>
        <w:rPr>
          <w:rFonts w:ascii="Times New Roman" w:hAnsi="Times New Roman" w:eastAsia="Times New Roman"/>
          <w:color w:val="000000"/>
          <w:sz w:val="20"/>
        </w:rPr>
        <w:t>The national prevalence is computed as the weighted sum P̂_t = Σ_c (p̂_c × W_c) / Σ_c W_c, where W_c is the cluster × gender population weight. Cluster proportions remain at the Tokiwa [13]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240" w:lineRule="auto" w:before="40" w:after="40"/>
      </w:pPr>
      <w:r>
        <w:rPr>
          <w:rFonts w:ascii="Helvetica Neue" w:hAnsi="Helvetica Neue" w:eastAsia="Helvetica Neue"/>
          <w:b/>
          <w:i/>
          <w:color w:val="58595B"/>
          <w:sz w:val="18"/>
        </w:rPr>
        <w:t>3) Stage 2: H1 four-tier classification:</w:t>
      </w:r>
    </w:p>
    <w:p>
      <w:pPr>
        <w:spacing w:line="240" w:lineRule="auto" w:before="0" w:after="0"/>
        <w:ind w:firstLine="180"/>
        <w:jc w:val="both"/>
      </w:pPr>
      <w:r>
        <w:rPr>
          <w:rFonts w:ascii="Times New Roman" w:hAnsi="Times New Roman" w:eastAsia="Times New Roman"/>
          <w:color w:val="000000"/>
          <w:sz w:val="20"/>
        </w:rPr>
        <w:t>Per the v2.0 master Section 5.4, the four-tier H1 hierarchy is:</w:t>
      </w:r>
    </w:p>
    <w:p>
      <w:pPr>
        <w:pStyle w:val="ListBullet"/>
        <w:spacing w:line="240" w:lineRule="auto" w:before="0" w:after="0"/>
        <w:jc w:val="both"/>
      </w:pPr>
      <w:r>
        <w:rPr>
          <w:rFonts w:ascii="Times New Roman" w:hAnsi="Times New Roman" w:eastAsia="Times New Roman"/>
          <w:color w:val="000000"/>
          <w:sz w:val="20"/>
        </w:rPr>
        <w:t>Strict SUCCESS: point MAPE_FY2016 ≤ 30% AND CI upper bound ≤ 30%</w:t>
      </w:r>
    </w:p>
    <w:p>
      <w:pPr>
        <w:pStyle w:val="ListBullet"/>
        <w:spacing w:line="240" w:lineRule="auto" w:before="0" w:after="0"/>
        <w:jc w:val="both"/>
      </w:pPr>
      <w:r>
        <w:rPr>
          <w:rFonts w:ascii="Times New Roman" w:hAnsi="Times New Roman" w:eastAsia="Times New Roman"/>
          <w:color w:val="000000"/>
          <w:sz w:val="20"/>
        </w:rPr>
        <w:t>Standard SUCCESS: point MAPE ≤ 30% (CI upper bound &gt; 30% permitted)</w:t>
      </w:r>
    </w:p>
    <w:p>
      <w:pPr>
        <w:pStyle w:val="ListBullet"/>
        <w:spacing w:line="240" w:lineRule="auto" w:before="0" w:after="0"/>
        <w:jc w:val="both"/>
      </w:pPr>
      <w:r>
        <w:rPr>
          <w:rFonts w:ascii="Times New Roman" w:hAnsi="Times New Roman" w:eastAsia="Times New Roman"/>
          <w:color w:val="000000"/>
          <w:sz w:val="20"/>
        </w:rPr>
        <w:t>PARTIAL SUCCESS: 30% &lt; point MAPE ≤ 60%</w:t>
      </w:r>
    </w:p>
    <w:p>
      <w:pPr>
        <w:pStyle w:val="ListBullet"/>
        <w:spacing w:line="240" w:lineRule="auto" w:before="0" w:after="0"/>
        <w:jc w:val="both"/>
      </w:pPr>
      <w:r>
        <w:rPr>
          <w:rFonts w:ascii="Times New Roman" w:hAnsi="Times New Roman" w:eastAsia="Times New Roman"/>
          <w:color w:val="000000"/>
          <w:sz w:val="20"/>
        </w:rPr>
        <w:t>FAILURE: point MAPE &gt; 60%</w:t>
      </w:r>
    </w:p>
    <w:p>
      <w:pPr>
        <w:spacing w:line="240" w:lineRule="auto" w:before="0" w:after="0"/>
        <w:ind w:firstLine="180"/>
        <w:jc w:val="both"/>
      </w:pPr>
      <w:r>
        <w:rPr>
          <w:rFonts w:ascii="Times New Roman" w:hAnsi="Times New Roman" w:eastAsia="Times New Roman"/>
          <w:color w:val="000000"/>
          <w:sz w:val="20"/>
        </w:rPr>
        <w:t>Per the pre-registered headline-bootstrap rule, the national MAPE bootstrap uses B = 10,000; per-cell bootstrap remains at B = 2,000.</w:t>
      </w:r>
    </w:p>
    <w:p>
      <w:pPr>
        <w:spacing w:line="240" w:lineRule="auto" w:before="40" w:after="40"/>
      </w:pPr>
      <w:r>
        <w:rPr>
          <w:rFonts w:ascii="Helvetica Neue" w:hAnsi="Helvetica Neue" w:eastAsia="Helvetica Neue"/>
          <w:b/>
          <w:i/>
          <w:color w:val="58595B"/>
          <w:sz w:val="18"/>
        </w:rPr>
        <w:t>4) Stage 3: Sensitivity sweep:</w:t>
      </w:r>
    </w:p>
    <w:p>
      <w:pPr>
        <w:spacing w:line="240" w:lineRule="auto" w:before="0" w:after="0"/>
        <w:ind w:firstLine="180"/>
        <w:jc w:val="both"/>
      </w:pPr>
      <w:r>
        <w:rPr>
          <w:rFonts w:ascii="Times New Roman" w:hAnsi="Times New Roman" w:eastAsia="Times New Roman"/>
          <w:color w:val="000000"/>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color w:val="000000"/>
          <w:sz w:val="20"/>
        </w:rPr>
        <w:t>Binarization threshold ∈ {mean + 0.25 SD, mean + 0.5 SD (main), mean + 1.0 SD};</w:t>
      </w:r>
    </w:p>
    <w:p>
      <w:pPr>
        <w:pStyle w:val="ListBullet"/>
        <w:spacing w:line="240" w:lineRule="auto" w:before="0" w:after="0"/>
        <w:jc w:val="both"/>
      </w:pPr>
      <w:r>
        <w:rPr>
          <w:rFonts w:ascii="Times New Roman" w:hAnsi="Times New Roman" w:eastAsia="Times New Roman"/>
          <w:color w:val="000000"/>
          <w:sz w:val="20"/>
        </w:rPr>
        <w:t>Soft-assignment τ factor ∈ {0.5, 1.0, 2.0} × median NN distance;</w:t>
      </w:r>
    </w:p>
    <w:p>
      <w:pPr>
        <w:pStyle w:val="ListBullet"/>
        <w:spacing w:line="240" w:lineRule="auto" w:before="0" w:after="0"/>
        <w:jc w:val="both"/>
      </w:pPr>
      <w:r>
        <w:rPr>
          <w:rFonts w:ascii="Times New Roman" w:hAnsi="Times New Roman" w:eastAsia="Times New Roman"/>
          <w:color w:val="000000"/>
          <w:sz w:val="20"/>
        </w:rPr>
        <w:t>Empirical Bayes shrinkage scale ∈ {0.5×, 1.0× (main), 2.0×} prior pseudocount;</w:t>
      </w:r>
    </w:p>
    <w:p>
      <w:pPr>
        <w:pStyle w:val="ListBullet"/>
        <w:spacing w:line="240" w:lineRule="auto" w:before="0" w:after="0"/>
        <w:jc w:val="both"/>
      </w:pPr>
      <w:r>
        <w:rPr>
          <w:rFonts w:ascii="Times New Roman" w:hAnsi="Times New Roman" w:eastAsia="Times New Roman"/>
          <w:color w:val="000000"/>
          <w:sz w:val="20"/>
        </w:rPr>
        <w:t>Cluster-proportion mass shift ∈ {−0.10, 0.0 (main), +0.10} (proxy for cluster-mass uncertainty under the pre-registered sensitivity specification; the full Cartesian sweep is deferred to follow-up work due to combinatorial cost).</w:t>
      </w:r>
    </w:p>
    <w:p>
      <w:pPr>
        <w:spacing w:line="240" w:lineRule="auto" w:before="40" w:after="40"/>
      </w:pPr>
      <w:r>
        <w:rPr>
          <w:rFonts w:ascii="Helvetica Neue" w:hAnsi="Helvetica Neue" w:eastAsia="Helvetica Neue"/>
          <w:b/>
          <w:i/>
          <w:color w:val="58595B"/>
          <w:sz w:val="18"/>
        </w:rPr>
        <w:t>5) Stage 4: Baseline comparison and H2 ordinal trend:</w:t>
      </w:r>
    </w:p>
    <w:p>
      <w:pPr>
        <w:spacing w:line="240" w:lineRule="auto" w:before="0" w:after="0"/>
        <w:ind w:firstLine="180"/>
        <w:jc w:val="both"/>
      </w:pPr>
      <w:r>
        <w:rPr>
          <w:rFonts w:ascii="Times New Roman" w:hAnsi="Times New Roman" w:eastAsia="Times New Roman"/>
          <w:color w:val="000000"/>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color w:val="000000"/>
          <w:sz w:val="20"/>
        </w:rPr>
        <w:t>B0: predicts MHLW grand mean (uniform);</w:t>
      </w:r>
    </w:p>
    <w:p>
      <w:pPr>
        <w:pStyle w:val="ListBullet"/>
        <w:spacing w:line="240" w:lineRule="auto" w:before="0" w:after="0"/>
        <w:jc w:val="both"/>
      </w:pPr>
      <w:r>
        <w:rPr>
          <w:rFonts w:ascii="Times New Roman" w:hAnsi="Times New Roman" w:eastAsia="Times New Roman"/>
          <w:color w:val="000000"/>
          <w:sz w:val="20"/>
        </w:rPr>
        <w:t>B1: gender-only logistic regression;</w:t>
      </w:r>
    </w:p>
    <w:p>
      <w:pPr>
        <w:pStyle w:val="ListBullet"/>
        <w:spacing w:line="240" w:lineRule="auto" w:before="0" w:after="0"/>
        <w:jc w:val="both"/>
      </w:pPr>
      <w:r>
        <w:rPr>
          <w:rFonts w:ascii="Times New Roman" w:hAnsi="Times New Roman" w:eastAsia="Times New Roman"/>
          <w:color w:val="000000"/>
          <w:sz w:val="20"/>
        </w:rPr>
        <w:t>B2: HEXACO 6-domain logistic regression;</w:t>
      </w:r>
    </w:p>
    <w:p>
      <w:pPr>
        <w:pStyle w:val="ListBullet"/>
        <w:spacing w:line="240" w:lineRule="auto" w:before="0" w:after="0"/>
        <w:jc w:val="both"/>
      </w:pPr>
      <w:r>
        <w:rPr>
          <w:rFonts w:ascii="Times New Roman" w:hAnsi="Times New Roman" w:eastAsia="Times New Roman"/>
          <w:color w:val="000000"/>
          <w:sz w:val="20"/>
        </w:rPr>
        <w:t>B3: 14-cell conditional propensity (the main pipeline);</w:t>
      </w:r>
    </w:p>
    <w:p>
      <w:pPr>
        <w:pStyle w:val="ListBullet"/>
        <w:spacing w:line="240" w:lineRule="auto" w:before="0" w:after="0"/>
        <w:jc w:val="both"/>
      </w:pPr>
      <w:r>
        <w:rPr>
          <w:rFonts w:ascii="Times New Roman" w:hAnsi="Times New Roman" w:eastAsia="Times New Roman"/>
          <w:color w:val="000000"/>
          <w:sz w:val="20"/>
        </w:rPr>
        <w:t>B4: extended with age and age × cluster interactions (industry breakdown deferred to follow-up under the cluster-proportion limitation discussed in §Data availability).</w:t>
      </w:r>
    </w:p>
    <w:p>
      <w:pPr>
        <w:spacing w:line="240" w:lineRule="auto" w:before="0" w:after="0"/>
        <w:ind w:firstLine="180"/>
        <w:jc w:val="both"/>
      </w:pPr>
      <w:r>
        <w:rPr>
          <w:rFonts w:ascii="Times New Roman" w:hAnsi="Times New Roman" w:eastAsia="Times New Roman"/>
          <w:color w:val="000000"/>
          <w:sz w:val="20"/>
        </w:rPr>
        <w:t>H2 is tested via the Bonferroni-Holm-corrected family of pairwise inequalities (B0–B1, B1–B2, B2–B3, B3–B4) with a one-sided α = 0.05; Page's L (1963) ordinal trend test is reported as a pre-registered auxiliary statistic.</w:t>
      </w:r>
    </w:p>
    <w:p>
      <w:pPr>
        <w:spacing w:line="240" w:lineRule="auto" w:before="40" w:after="40"/>
      </w:pPr>
      <w:r>
        <w:rPr>
          <w:rFonts w:ascii="Helvetica Neue" w:hAnsi="Helvetica Neue" w:eastAsia="Helvetica Neue"/>
          <w:b/>
          <w:i/>
          <w:color w:val="58595B"/>
          <w:sz w:val="18"/>
        </w:rPr>
        <w:t>6) Stage 5: Common-method-variance diagnostic:</w:t>
      </w:r>
    </w:p>
    <w:p>
      <w:pPr>
        <w:spacing w:line="240" w:lineRule="auto" w:before="0" w:after="0"/>
        <w:ind w:firstLine="180"/>
        <w:jc w:val="both"/>
      </w:pPr>
      <w:r>
        <w:rPr>
          <w:rFonts w:ascii="Times New Roman" w:hAnsi="Times New Roman" w:eastAsia="Times New Roman"/>
          <w:color w:val="000000"/>
          <w:sz w:val="20"/>
        </w:rPr>
        <w:t>CMV is assessed via Harman's single-factor test [28]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240" w:lineRule="auto" w:before="40" w:after="40"/>
      </w:pPr>
      <w:r>
        <w:rPr>
          <w:rFonts w:ascii="Helvetica Neue" w:hAnsi="Helvetica Neue" w:eastAsia="Helvetica Neue"/>
          <w:b/>
          <w:i/>
          <w:color w:val="58595B"/>
          <w:sz w:val="18"/>
        </w:rPr>
        <w:t>7) Stage 6: Target trial PICO documentation:</w:t>
      </w:r>
    </w:p>
    <w:p>
      <w:pPr>
        <w:spacing w:line="240" w:lineRule="auto" w:before="0" w:after="0"/>
        <w:ind w:firstLine="180"/>
        <w:jc w:val="both"/>
      </w:pPr>
      <w:r>
        <w:rPr>
          <w:rFonts w:ascii="Times New Roman" w:hAnsi="Times New Roman" w:eastAsia="Times New Roman"/>
          <w:color w:val="000000"/>
          <w:sz w:val="20"/>
        </w:rPr>
        <w:t>Stage 6 produces a metadata-only artifact documenting the target trial [17] PICO and four identifying assumptions: consistency, exchangeability, positivity, and SUTVA (strengthened with the Hudgens and Halloran (2008) peer-effect framework, per pre-registration).</w:t>
      </w:r>
    </w:p>
    <w:p>
      <w:pPr>
        <w:spacing w:line="240" w:lineRule="auto" w:before="40" w:after="40"/>
      </w:pPr>
      <w:r>
        <w:rPr>
          <w:rFonts w:ascii="Helvetica Neue" w:hAnsi="Helvetica Neue" w:eastAsia="Helvetica Neue"/>
          <w:b/>
          <w:i/>
          <w:color w:val="58595B"/>
          <w:sz w:val="18"/>
        </w:rPr>
        <w:t>8) Stage 7: Counterfactual ΔP_A, ΔP_B, ΔP_C and H7 IUT:</w:t>
      </w:r>
    </w:p>
    <w:p>
      <w:pPr>
        <w:spacing w:line="240" w:lineRule="auto" w:before="0" w:after="0"/>
        <w:ind w:firstLine="180"/>
        <w:jc w:val="both"/>
      </w:pPr>
      <w:r>
        <w:rPr>
          <w:rFonts w:ascii="Times New Roman" w:hAnsi="Times New Roman" w:eastAsia="Times New Roman"/>
          <w:color w:val="000000"/>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240" w:lineRule="auto" w:before="0" w:after="0"/>
        <w:ind w:firstLine="180"/>
        <w:jc w:val="both"/>
      </w:pPr>
      <w:r>
        <w:rPr>
          <w:rFonts w:ascii="Times New Roman" w:hAnsi="Times New Roman" w:eastAsia="Times New Roman"/>
          <w:color w:val="000000"/>
          <w:sz w:val="20"/>
        </w:rPr>
        <w:t>Counterfactual B applies a +0.40 SD shift in Honesty-Humility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240" w:lineRule="auto" w:before="0" w:after="0"/>
        <w:ind w:firstLine="180"/>
        <w:jc w:val="both"/>
      </w:pPr>
      <w:r>
        <w:rPr>
          <w:rFonts w:ascii="Times New Roman" w:hAnsi="Times New Roman" w:eastAsia="Times New Roman"/>
          <w:color w:val="000000"/>
          <w:sz w:val="20"/>
        </w:rPr>
        <w:t>Counterfactual C multiplies cell-level propensity by 0.80 uniformly across all cells while leaving HEXACO scores unchanged. The 20% reduction is calibrated against three meta-analyses [5], [21], [22] and the MHLW FY2016–FY2023 natural experiment (32.5% → 19.3%; −13.2 pp ≈ −40.6% relative). Positivity for C is trivially preserved (ρ ≡ 1) per pre-registration.</w:t>
      </w:r>
    </w:p>
    <w:p>
      <w:pPr>
        <w:spacing w:line="240" w:lineRule="auto" w:before="0" w:after="0"/>
        <w:ind w:firstLine="180"/>
        <w:jc w:val="both"/>
      </w:pPr>
      <w:r>
        <w:rPr>
          <w:rFonts w:ascii="Times New Roman" w:hAnsi="Times New Roman" w:eastAsia="Times New Roman"/>
          <w:color w:val="000000"/>
          <w:sz w:val="20"/>
        </w:rPr>
        <w:t>The H7 intersection-union test [29] computes one-sided 95% lower bounds L_BA and L_BC for ΔP_B − ΔP_A and ΔP_B − ΔP_C, respectively, with bootstrap-resampled cell data (B = 2,000). The configuration is classified per the pre-registered priority cascade:</w:t>
      </w:r>
    </w:p>
    <w:p>
      <w:pPr>
        <w:pStyle w:val="ListBullet"/>
        <w:spacing w:line="240" w:lineRule="auto" w:before="0" w:after="0"/>
        <w:jc w:val="both"/>
      </w:pPr>
      <w:r>
        <w:rPr>
          <w:rFonts w:ascii="Times New Roman" w:hAnsi="Times New Roman" w:eastAsia="Times New Roman"/>
          <w:color w:val="000000"/>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color w:val="000000"/>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color w:val="000000"/>
          <w:sz w:val="20"/>
        </w:rPr>
        <w:t>PARTIAL: exactly one of L_BA, L_BC &gt; 0;</w:t>
      </w:r>
    </w:p>
    <w:p>
      <w:pPr>
        <w:pStyle w:val="ListBullet"/>
        <w:spacing w:line="240" w:lineRule="auto" w:before="0" w:after="0"/>
        <w:jc w:val="both"/>
      </w:pPr>
      <w:r>
        <w:rPr>
          <w:rFonts w:ascii="Times New Roman" w:hAnsi="Times New Roman" w:eastAsia="Times New Roman"/>
          <w:color w:val="000000"/>
          <w:sz w:val="20"/>
        </w:rPr>
        <w:t>AMBIGUOUS: neither lower bound &gt; 0 (CIs allow zero or reversal).</w:t>
      </w:r>
    </w:p>
    <w:p>
      <w:pPr>
        <w:spacing w:line="240" w:lineRule="auto" w:before="40" w:after="40"/>
      </w:pPr>
      <w:r>
        <w:rPr>
          <w:rFonts w:ascii="Helvetica Neue" w:hAnsi="Helvetica Neue" w:eastAsia="Helvetica Neue"/>
          <w:b/>
          <w:i/>
          <w:color w:val="58595B"/>
          <w:sz w:val="18"/>
        </w:rPr>
        <w:t>9) Stage 8: Transportability factor sweep:</w:t>
      </w:r>
    </w:p>
    <w:p>
      <w:pPr>
        <w:spacing w:line="240" w:lineRule="auto" w:before="0" w:after="0"/>
        <w:ind w:firstLine="180"/>
        <w:jc w:val="both"/>
      </w:pPr>
      <w:r>
        <w:rPr>
          <w:rFonts w:ascii="Times New Roman" w:hAnsi="Times New Roman" w:eastAsia="Times New Roman"/>
          <w:color w:val="000000"/>
          <w:sz w:val="20"/>
        </w:rPr>
        <w:t>Per the pre-registered cultural-attenuation sweep,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color w:val="000000"/>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color w:val="000000"/>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color w:val="000000"/>
          <w:sz w:val="20"/>
        </w:rPr>
        <w:t>F = 0.7: Mild attenuation (intermediate);</w:t>
      </w:r>
    </w:p>
    <w:p>
      <w:pPr>
        <w:pStyle w:val="ListBullet"/>
        <w:spacing w:line="240" w:lineRule="auto" w:before="0" w:after="0"/>
        <w:jc w:val="both"/>
      </w:pPr>
      <w:r>
        <w:rPr>
          <w:rFonts w:ascii="Times New Roman" w:hAnsi="Times New Roman" w:eastAsia="Times New Roman"/>
          <w:color w:val="000000"/>
          <w:sz w:val="20"/>
        </w:rPr>
        <w:t>F = 1.0: Reference (no attenuation).</w:t>
      </w:r>
    </w:p>
    <w:p>
      <w:pPr>
        <w:spacing w:line="240" w:lineRule="auto" w:before="0" w:after="0"/>
        <w:ind w:firstLine="180"/>
        <w:jc w:val="both"/>
      </w:pPr>
      <w:r>
        <w:rPr>
          <w:rFonts w:ascii="Times New Roman" w:hAnsi="Times New Roman" w:eastAsia="Times New Roman"/>
          <w:color w:val="000000"/>
          <w:sz w:val="20"/>
        </w:rPr>
        <w:t>H7 is re-classified per attenuated factor to verify robustness.</w:t>
      </w:r>
    </w:p>
    <w:p>
      <w:pPr>
        <w:spacing w:line="240" w:lineRule="auto" w:before="80" w:after="40"/>
      </w:pPr>
      <w:r>
        <w:rPr>
          <w:rFonts w:ascii="Times New Roman" w:hAnsi="Times New Roman" w:eastAsia="Times New Roman"/>
          <w:b/>
          <w:color w:val="000000"/>
          <w:sz w:val="20"/>
        </w:rPr>
        <w:t>C. Reproducibility</w:t>
      </w:r>
    </w:p>
    <w:p>
      <w:pPr>
        <w:spacing w:line="240" w:lineRule="auto" w:before="0" w:after="0"/>
        <w:ind w:firstLine="180"/>
        <w:jc w:val="both"/>
      </w:pPr>
      <w:r>
        <w:rPr>
          <w:rFonts w:ascii="Times New Roman" w:hAnsi="Times New Roman" w:eastAsia="Times New Roman"/>
          <w:color w:val="000000"/>
          <w:sz w:val="20"/>
        </w:rPr>
        <w:t>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reproduce Makefile target encapsulate the full pipeline. A 56-test pytest suite (including the loader tests for the Statistics Bureau Labour Force Survey data activated under Phase 1) guards against regression in core utilities.</w:t>
      </w:r>
    </w:p>
    <w:p>
      <w:pPr>
        <w:spacing w:line="240" w:lineRule="auto" w:before="80" w:after="40"/>
      </w:pPr>
      <w:r>
        <w:rPr>
          <w:rFonts w:ascii="Times New Roman" w:hAnsi="Times New Roman" w:eastAsia="Times New Roman"/>
          <w:b/>
          <w:color w:val="000000"/>
          <w:sz w:val="20"/>
        </w:rPr>
        <w:t>D. Software and statistical environment</w:t>
      </w:r>
    </w:p>
    <w:p>
      <w:pPr>
        <w:spacing w:line="240" w:lineRule="auto" w:before="0" w:after="0"/>
        <w:ind w:firstLine="180"/>
        <w:jc w:val="both"/>
      </w:pPr>
      <w:r>
        <w:rPr>
          <w:rFonts w:ascii="Times New Roman" w:hAnsi="Times New Roman" w:eastAsia="Times New Roman"/>
          <w:color w:val="000000"/>
          <w:sz w:val="20"/>
        </w:rPr>
        <w:t>Analysis was conducted in Python 3.11.15 using NumPy 2.x, SciPy 1.x, pandas 2.x, scikit-learn 1.x, h5py 3.x, and statsmodels 0.14.x (full pinned versions in the project's pyproject.toml).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240" w:lineRule="auto" w:before="80" w:after="40"/>
      </w:pPr>
      <w:r>
        <w:rPr>
          <w:rFonts w:ascii="Times New Roman" w:hAnsi="Times New Roman" w:eastAsia="Times New Roman"/>
          <w:b/>
          <w:color w:val="000000"/>
          <w:sz w:val="20"/>
        </w:rPr>
        <w:t>E. Data availability</w:t>
      </w:r>
    </w:p>
    <w:p>
      <w:pPr>
        <w:spacing w:line="240" w:lineRule="auto" w:before="0" w:after="0"/>
        <w:ind w:firstLine="180"/>
        <w:jc w:val="both"/>
      </w:pPr>
      <w:r>
        <w:rPr>
          <w:rFonts w:ascii="Times New Roman" w:hAnsi="Times New Roman" w:eastAsia="Times New Roman"/>
          <w:color w:val="000000"/>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color w:val="000000"/>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color w:val="000000"/>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color w:val="000000"/>
          <w:sz w:val="20"/>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240" w:lineRule="auto" w:before="0" w:after="0"/>
        <w:jc w:val="both"/>
      </w:pPr>
      <w:r>
        <w:rPr>
          <w:rFonts w:ascii="Times New Roman" w:hAnsi="Times New Roman" w:eastAsia="Times New Roman"/>
          <w:color w:val="000000"/>
          <w:sz w:val="20"/>
        </w:rPr>
        <w:t>Pre-registration: v2.0 master document, v1.1 → v2.0 public diff, and the Section 6.5 Level 1 Methods Clarifications Log are publicly accessible at the v2.0 registration page (osf.io/3y54u, DOI 10.17605/OSF.IO/3Y54U).</w:t>
      </w:r>
    </w:p>
    <w:p>
      <w:pPr>
        <w:spacing w:line="240" w:lineRule="auto" w:before="160" w:after="80"/>
        <w:jc w:val="left"/>
      </w:pPr>
      <w:r>
        <w:rPr>
          <w:rFonts w:ascii="Helvetica Neue" w:hAnsi="Helvetica Neue" w:eastAsia="Helvetica Neue"/>
          <w:b/>
          <w:color w:val="00629B"/>
          <w:sz w:val="18"/>
        </w:rPr>
        <w:t>IV. RESULTS</w:t>
      </w:r>
    </w:p>
    <w:p>
      <w:pPr>
        <w:spacing w:line="240" w:lineRule="auto" w:before="80" w:after="40"/>
      </w:pPr>
      <w:r>
        <w:rPr>
          <w:rFonts w:ascii="Times New Roman" w:hAnsi="Times New Roman" w:eastAsia="Times New Roman"/>
          <w:b/>
          <w:color w:val="000000"/>
          <w:sz w:val="20"/>
        </w:rPr>
        <w:t>A. Sample characteristics and 14-cell propensity (Stage 0)</w:t>
      </w:r>
    </w:p>
    <w:p>
      <w:pPr>
        <w:spacing w:line="240" w:lineRule="auto" w:before="0" w:after="0"/>
        <w:ind w:firstLine="180"/>
        <w:jc w:val="both"/>
      </w:pPr>
      <w:r>
        <w:rPr>
          <w:rFonts w:ascii="Times New Roman" w:hAnsi="Times New Roman" w:eastAsia="Times New Roman"/>
          <w:color w:val="000000"/>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color w:val="000000"/>
          <w:sz w:val="20"/>
        </w:rPr>
        <w:t>Per-cell 95% confidence intervals followed the four-step priority cascade described in Methods (Stage 0 specification). Of the 14 cells, 13 were resolved at the BCa stage and 1 cell (cluster × gender index 11; N = 12, X = 0) was resolved at the Clopper-Pearson stage as the cascade prescribes for degenerate cells (X_c ∈ {0, N_c}). No cells required the BC or Percentile fallbacks, confirming that the pre-registered priority cascade operates as designed for the realized data structure.</w:t>
      </w:r>
    </w:p>
    <w:p>
      <w:pPr>
        <w:spacing w:line="240" w:lineRule="auto" w:before="80" w:after="40"/>
      </w:pPr>
      <w:r>
        <w:rPr>
          <w:rFonts w:ascii="Times New Roman" w:hAnsi="Times New Roman" w:eastAsia="Times New Roman"/>
          <w:b/>
          <w:color w:val="000000"/>
          <w:sz w:val="20"/>
        </w:rPr>
        <w:t>B. National prevalence and H1 four-tier classification (Stages 1–2)</w:t>
      </w:r>
    </w:p>
    <w:p>
      <w:pPr>
        <w:spacing w:line="240" w:lineRule="auto" w:before="0" w:after="0"/>
        <w:ind w:firstLine="180"/>
        <w:jc w:val="both"/>
      </w:pPr>
      <w:r>
        <w:rPr>
          <w:rFonts w:ascii="Times New Roman" w:hAnsi="Times New Roman" w:eastAsia="Times New Roman"/>
          <w:color w:val="000000"/>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color w:val="000000"/>
          <w:sz w:val="20"/>
        </w:rPr>
        <w:t>Per the pre-registered four-tier judgment hierarchy, the H1 results across three MHLW validation periods are summarized in Table 1.</w:t>
      </w:r>
    </w:p>
    <w:p>
      <w:pPr>
        <w:spacing w:line="240" w:lineRule="auto" w:before="120" w:after="0"/>
        <w:jc w:val="center"/>
      </w:pPr>
      <w:r>
        <w:rPr>
          <w:rFonts w:ascii="Times New Roman" w:hAnsi="Times New Roman" w:eastAsia="Times New Roman"/>
          <w:color w:val="000000"/>
          <w:sz w:val="16"/>
        </w:rPr>
        <w:t>TABLE 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73"/>
        <w:gridCol w:w="1673"/>
        <w:gridCol w:w="1673"/>
        <w:gridCol w:w="1673"/>
        <w:gridCol w:w="1673"/>
        <w:gridCol w:w="1673"/>
      </w:tblGrid>
      <w:tr>
        <w:tc>
          <w:tcPr>
            <w:tcW w:type="dxa" w:w="10038"/>
            <w:gridSpan w:val="6"/>
          </w:tcPr>
          <w:p>
            <w:pPr>
              <w:spacing w:line="240" w:lineRule="auto" w:before="0" w:after="0"/>
              <w:jc w:val="center"/>
            </w:pPr>
            <w:r>
              <w:rPr>
                <w:rFonts w:ascii="Times New Roman" w:hAnsi="Times New Roman" w:eastAsia="Times New Roman"/>
                <w:color w:val="000000"/>
                <w:sz w:val="14"/>
              </w:rPr>
              <w:t>MEAN ABSOLUTE PERCENTAGE ERROR (MAPE) OF MODEL-BASED NATIONAL PREVALENCE AGAINST MHLW SURVEY TARGETS, WITH BOOTSTRAP 95% CONFIDENCE INTERVALS (B = 10,000 CELL-STRATIFIED)</w:t>
            </w:r>
          </w:p>
        </w:tc>
      </w:tr>
      <w:tr>
        <w:tc>
          <w:tcPr>
            <w:tcW w:type="dxa" w:w="1673"/>
          </w:tcPr>
          <w:p>
            <w:pPr>
              <w:spacing w:line="240" w:lineRule="auto" w:before="0" w:after="0"/>
              <w:jc w:val="center"/>
            </w:pPr>
            <w:r>
              <w:rPr>
                <w:rFonts w:ascii="Times New Roman" w:hAnsi="Times New Roman" w:eastAsia="Times New Roman"/>
                <w:b/>
                <w:color w:val="000000"/>
                <w:sz w:val="14"/>
              </w:rPr>
              <w:t>Period (MHLW)</w:t>
            </w:r>
          </w:p>
        </w:tc>
        <w:tc>
          <w:tcPr>
            <w:tcW w:type="dxa" w:w="1673"/>
          </w:tcPr>
          <w:p>
            <w:pPr>
              <w:spacing w:line="240" w:lineRule="auto" w:before="0" w:after="0"/>
              <w:jc w:val="center"/>
            </w:pPr>
            <w:r>
              <w:rPr>
                <w:rFonts w:ascii="Times New Roman" w:hAnsi="Times New Roman" w:eastAsia="Times New Roman"/>
                <w:b/>
                <w:color w:val="000000"/>
                <w:sz w:val="14"/>
              </w:rPr>
              <w:t>Observed</w:t>
            </w:r>
          </w:p>
        </w:tc>
        <w:tc>
          <w:tcPr>
            <w:tcW w:type="dxa" w:w="1673"/>
          </w:tcPr>
          <w:p>
            <w:pPr>
              <w:spacing w:line="240" w:lineRule="auto" w:before="0" w:after="0"/>
              <w:jc w:val="center"/>
            </w:pPr>
            <w:r>
              <w:rPr>
                <w:rFonts w:ascii="Times New Roman" w:hAnsi="Times New Roman" w:eastAsia="Times New Roman"/>
                <w:b/>
                <w:color w:val="000000"/>
                <w:sz w:val="14"/>
              </w:rPr>
              <w:t>Predicted</w:t>
            </w:r>
          </w:p>
        </w:tc>
        <w:tc>
          <w:tcPr>
            <w:tcW w:type="dxa" w:w="1673"/>
          </w:tcPr>
          <w:p>
            <w:pPr>
              <w:spacing w:line="240" w:lineRule="auto" w:before="0" w:after="0"/>
              <w:jc w:val="center"/>
            </w:pPr>
            <w:r>
              <w:rPr>
                <w:rFonts w:ascii="Times New Roman" w:hAnsi="Times New Roman" w:eastAsia="Times New Roman"/>
                <w:b/>
                <w:color w:val="000000"/>
                <w:sz w:val="14"/>
              </w:rPr>
              <w:t>MAPE</w:t>
            </w:r>
          </w:p>
        </w:tc>
        <w:tc>
          <w:tcPr>
            <w:tcW w:type="dxa" w:w="1673"/>
          </w:tcPr>
          <w:p>
            <w:pPr>
              <w:spacing w:line="240" w:lineRule="auto" w:before="0" w:after="0"/>
              <w:jc w:val="center"/>
            </w:pPr>
            <w:r>
              <w:rPr>
                <w:rFonts w:ascii="Times New Roman" w:hAnsi="Times New Roman" w:eastAsia="Times New Roman"/>
                <w:b/>
                <w:color w:val="000000"/>
                <w:sz w:val="14"/>
              </w:rPr>
              <w:t>95% CI</w:t>
            </w:r>
          </w:p>
        </w:tc>
        <w:tc>
          <w:tcPr>
            <w:tcW w:type="dxa" w:w="1673"/>
          </w:tcPr>
          <w:p>
            <w:pPr>
              <w:spacing w:line="240" w:lineRule="auto" w:before="0" w:after="0"/>
              <w:jc w:val="center"/>
            </w:pPr>
            <w:r>
              <w:rPr>
                <w:rFonts w:ascii="Times New Roman" w:hAnsi="Times New Roman" w:eastAsia="Times New Roman"/>
                <w:b/>
                <w:color w:val="000000"/>
                <w:sz w:val="14"/>
              </w:rPr>
              <w:t>Tier</w:t>
            </w:r>
          </w:p>
        </w:tc>
      </w:tr>
      <w:tr>
        <w:tc>
          <w:tcPr>
            <w:tcW w:type="dxa" w:w="1673"/>
          </w:tcPr>
          <w:p>
            <w:pPr>
              <w:spacing w:line="240" w:lineRule="auto" w:before="0" w:after="0"/>
              <w:jc w:val="left"/>
            </w:pPr>
            <w:r>
              <w:rPr>
                <w:rFonts w:ascii="Times New Roman" w:hAnsi="Times New Roman" w:eastAsia="Times New Roman"/>
                <w:color w:val="000000"/>
                <w:sz w:val="14"/>
              </w:rPr>
              <w:t>FY2016 (32.5%, primary)</w:t>
            </w:r>
          </w:p>
        </w:tc>
        <w:tc>
          <w:tcPr>
            <w:tcW w:type="dxa" w:w="1673"/>
          </w:tcPr>
          <w:p>
            <w:pPr>
              <w:spacing w:line="240" w:lineRule="auto" w:before="0" w:after="0"/>
              <w:jc w:val="right"/>
            </w:pPr>
            <w:r>
              <w:rPr>
                <w:rFonts w:ascii="Times New Roman" w:hAnsi="Times New Roman" w:eastAsia="Times New Roman"/>
                <w:color w:val="000000"/>
                <w:sz w:val="14"/>
              </w:rPr>
              <w:t>0.325</w:t>
            </w:r>
          </w:p>
        </w:tc>
        <w:tc>
          <w:tcPr>
            <w:tcW w:type="dxa" w:w="1673"/>
          </w:tcPr>
          <w:p>
            <w:pPr>
              <w:spacing w:line="240" w:lineRule="auto" w:before="0" w:after="0"/>
              <w:jc w:val="right"/>
            </w:pPr>
            <w:r>
              <w:rPr>
                <w:rFonts w:ascii="Times New Roman" w:hAnsi="Times New Roman" w:eastAsia="Times New Roman"/>
                <w:color w:val="000000"/>
                <w:sz w:val="14"/>
              </w:rPr>
              <w:t>0.1744</w:t>
            </w:r>
          </w:p>
        </w:tc>
        <w:tc>
          <w:tcPr>
            <w:tcW w:type="dxa" w:w="1673"/>
          </w:tcPr>
          <w:p>
            <w:pPr>
              <w:spacing w:line="240" w:lineRule="auto" w:before="0" w:after="0"/>
              <w:jc w:val="right"/>
            </w:pPr>
            <w:r>
              <w:rPr>
                <w:rFonts w:ascii="Times New Roman" w:hAnsi="Times New Roman" w:eastAsia="Times New Roman"/>
                <w:color w:val="000000"/>
                <w:sz w:val="14"/>
              </w:rPr>
              <w:t>46.34%</w:t>
            </w:r>
          </w:p>
        </w:tc>
        <w:tc>
          <w:tcPr>
            <w:tcW w:type="dxa" w:w="1673"/>
          </w:tcPr>
          <w:p>
            <w:pPr>
              <w:spacing w:line="240" w:lineRule="auto" w:before="0" w:after="0"/>
              <w:jc w:val="left"/>
            </w:pPr>
            <w:r>
              <w:rPr>
                <w:rFonts w:ascii="Times New Roman" w:hAnsi="Times New Roman" w:eastAsia="Times New Roman"/>
                <w:color w:val="000000"/>
                <w:sz w:val="14"/>
              </w:rPr>
              <w:t>[32.36, 59.30]</w:t>
            </w:r>
          </w:p>
        </w:tc>
        <w:tc>
          <w:tcPr>
            <w:tcW w:type="dxa" w:w="1673"/>
          </w:tcPr>
          <w:p>
            <w:pPr>
              <w:spacing w:line="240" w:lineRule="auto" w:before="0" w:after="0"/>
              <w:jc w:val="left"/>
            </w:pPr>
            <w:r>
              <w:rPr>
                <w:rFonts w:ascii="Times New Roman" w:hAnsi="Times New Roman" w:eastAsia="Times New Roman"/>
                <w:color w:val="000000"/>
                <w:sz w:val="14"/>
              </w:rPr>
              <w:t>PARTIAL SUCCESS</w:t>
            </w:r>
          </w:p>
        </w:tc>
      </w:tr>
      <w:tr>
        <w:tc>
          <w:tcPr>
            <w:tcW w:type="dxa" w:w="1673"/>
          </w:tcPr>
          <w:p>
            <w:pPr>
              <w:spacing w:line="240" w:lineRule="auto" w:before="0" w:after="0"/>
              <w:jc w:val="left"/>
            </w:pPr>
            <w:r>
              <w:rPr>
                <w:rFonts w:ascii="Times New Roman" w:hAnsi="Times New Roman" w:eastAsia="Times New Roman"/>
                <w:color w:val="000000"/>
                <w:sz w:val="14"/>
              </w:rPr>
              <w:t>FY2020 (31.4%, secondary)</w:t>
            </w:r>
          </w:p>
        </w:tc>
        <w:tc>
          <w:tcPr>
            <w:tcW w:type="dxa" w:w="1673"/>
          </w:tcPr>
          <w:p>
            <w:pPr>
              <w:spacing w:line="240" w:lineRule="auto" w:before="0" w:after="0"/>
              <w:jc w:val="right"/>
            </w:pPr>
            <w:r>
              <w:rPr>
                <w:rFonts w:ascii="Times New Roman" w:hAnsi="Times New Roman" w:eastAsia="Times New Roman"/>
                <w:color w:val="000000"/>
                <w:sz w:val="14"/>
              </w:rPr>
              <w:t>0.314</w:t>
            </w:r>
          </w:p>
        </w:tc>
        <w:tc>
          <w:tcPr>
            <w:tcW w:type="dxa" w:w="1673"/>
          </w:tcPr>
          <w:p>
            <w:pPr>
              <w:spacing w:line="240" w:lineRule="auto" w:before="0" w:after="0"/>
              <w:jc w:val="right"/>
            </w:pPr>
            <w:r>
              <w:rPr>
                <w:rFonts w:ascii="Times New Roman" w:hAnsi="Times New Roman" w:eastAsia="Times New Roman"/>
                <w:color w:val="000000"/>
                <w:sz w:val="14"/>
              </w:rPr>
              <w:t>0.1744</w:t>
            </w:r>
          </w:p>
        </w:tc>
        <w:tc>
          <w:tcPr>
            <w:tcW w:type="dxa" w:w="1673"/>
          </w:tcPr>
          <w:p>
            <w:pPr>
              <w:spacing w:line="240" w:lineRule="auto" w:before="0" w:after="0"/>
              <w:jc w:val="right"/>
            </w:pPr>
            <w:r>
              <w:rPr>
                <w:rFonts w:ascii="Times New Roman" w:hAnsi="Times New Roman" w:eastAsia="Times New Roman"/>
                <w:color w:val="000000"/>
                <w:sz w:val="14"/>
              </w:rPr>
              <w:t>44.46%</w:t>
            </w:r>
          </w:p>
        </w:tc>
        <w:tc>
          <w:tcPr>
            <w:tcW w:type="dxa" w:w="1673"/>
          </w:tcPr>
          <w:p>
            <w:pPr>
              <w:spacing w:line="240" w:lineRule="auto" w:before="0" w:after="0"/>
              <w:jc w:val="left"/>
            </w:pPr>
            <w:r>
              <w:rPr>
                <w:rFonts w:ascii="Times New Roman" w:hAnsi="Times New Roman" w:eastAsia="Times New Roman"/>
                <w:color w:val="000000"/>
                <w:sz w:val="14"/>
              </w:rPr>
              <w:t>[30.00, 57.88]</w:t>
            </w:r>
          </w:p>
        </w:tc>
        <w:tc>
          <w:tcPr>
            <w:tcW w:type="dxa" w:w="1673"/>
          </w:tcPr>
          <w:p>
            <w:pPr>
              <w:spacing w:line="240" w:lineRule="auto" w:before="0" w:after="0"/>
              <w:jc w:val="left"/>
            </w:pPr>
            <w:r>
              <w:rPr>
                <w:rFonts w:ascii="Times New Roman" w:hAnsi="Times New Roman" w:eastAsia="Times New Roman"/>
                <w:color w:val="000000"/>
                <w:sz w:val="14"/>
              </w:rPr>
              <w:t>PARTIAL SUCCESS</w:t>
            </w:r>
          </w:p>
        </w:tc>
      </w:tr>
      <w:tr>
        <w:tc>
          <w:tcPr>
            <w:tcW w:type="dxa" w:w="1673"/>
          </w:tcPr>
          <w:p>
            <w:pPr>
              <w:spacing w:line="240" w:lineRule="auto" w:before="0" w:after="0"/>
              <w:jc w:val="left"/>
            </w:pPr>
            <w:r>
              <w:rPr>
                <w:rFonts w:ascii="Times New Roman" w:hAnsi="Times New Roman" w:eastAsia="Times New Roman"/>
                <w:color w:val="000000"/>
                <w:sz w:val="14"/>
              </w:rPr>
              <w:t>FY2023 (19.3%, secondary)</w:t>
            </w:r>
          </w:p>
        </w:tc>
        <w:tc>
          <w:tcPr>
            <w:tcW w:type="dxa" w:w="1673"/>
          </w:tcPr>
          <w:p>
            <w:pPr>
              <w:spacing w:line="240" w:lineRule="auto" w:before="0" w:after="0"/>
              <w:jc w:val="right"/>
            </w:pPr>
            <w:r>
              <w:rPr>
                <w:rFonts w:ascii="Times New Roman" w:hAnsi="Times New Roman" w:eastAsia="Times New Roman"/>
                <w:color w:val="000000"/>
                <w:sz w:val="14"/>
              </w:rPr>
              <w:t>0.193</w:t>
            </w:r>
          </w:p>
        </w:tc>
        <w:tc>
          <w:tcPr>
            <w:tcW w:type="dxa" w:w="1673"/>
          </w:tcPr>
          <w:p>
            <w:pPr>
              <w:spacing w:line="240" w:lineRule="auto" w:before="0" w:after="0"/>
              <w:jc w:val="right"/>
            </w:pPr>
            <w:r>
              <w:rPr>
                <w:rFonts w:ascii="Times New Roman" w:hAnsi="Times New Roman" w:eastAsia="Times New Roman"/>
                <w:color w:val="000000"/>
                <w:sz w:val="14"/>
              </w:rPr>
              <w:t>0.1744</w:t>
            </w:r>
          </w:p>
        </w:tc>
        <w:tc>
          <w:tcPr>
            <w:tcW w:type="dxa" w:w="1673"/>
          </w:tcPr>
          <w:p>
            <w:pPr>
              <w:spacing w:line="240" w:lineRule="auto" w:before="0" w:after="0"/>
              <w:jc w:val="right"/>
            </w:pPr>
            <w:r>
              <w:rPr>
                <w:rFonts w:ascii="Times New Roman" w:hAnsi="Times New Roman" w:eastAsia="Times New Roman"/>
                <w:color w:val="000000"/>
                <w:sz w:val="14"/>
              </w:rPr>
              <w:t>9.65%</w:t>
            </w:r>
          </w:p>
        </w:tc>
        <w:tc>
          <w:tcPr>
            <w:tcW w:type="dxa" w:w="1673"/>
          </w:tcPr>
          <w:p>
            <w:pPr>
              <w:spacing w:line="240" w:lineRule="auto" w:before="0" w:after="0"/>
              <w:jc w:val="left"/>
            </w:pPr>
            <w:r>
              <w:rPr>
                <w:rFonts w:ascii="Times New Roman" w:hAnsi="Times New Roman" w:eastAsia="Times New Roman"/>
                <w:color w:val="000000"/>
                <w:sz w:val="14"/>
              </w:rPr>
              <w:t>[0.52, 31.52]</w:t>
            </w:r>
          </w:p>
        </w:tc>
        <w:tc>
          <w:tcPr>
            <w:tcW w:type="dxa" w:w="1673"/>
          </w:tcPr>
          <w:p>
            <w:pPr>
              <w:spacing w:line="240" w:lineRule="auto" w:before="0" w:after="0"/>
              <w:jc w:val="left"/>
            </w:pPr>
            <w:r>
              <w:rPr>
                <w:rFonts w:ascii="Times New Roman" w:hAnsi="Times New Roman" w:eastAsia="Times New Roman"/>
                <w:color w:val="000000"/>
                <w:sz w:val="14"/>
              </w:rPr>
              <w:t>Standard SUCCESS</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Primary outcome: power harassment.</w:t>
      </w:r>
    </w:p>
    <w:p>
      <w:pPr>
        <w:spacing w:line="240" w:lineRule="auto" w:before="0" w:after="0"/>
        <w:ind w:firstLine="180"/>
        <w:jc w:val="both"/>
      </w:pPr>
      <w:r>
        <w:rPr>
          <w:rFonts w:ascii="Times New Roman" w:hAnsi="Times New Roman" w:eastAsia="Times New Roman"/>
          <w:color w:val="000000"/>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80" w:after="40"/>
      </w:pPr>
      <w:r>
        <w:rPr>
          <w:rFonts w:ascii="Times New Roman" w:hAnsi="Times New Roman" w:eastAsia="Times New Roman"/>
          <w:b/>
          <w:color w:val="000000"/>
          <w:sz w:val="20"/>
        </w:rPr>
        <w:t>C. Sensitivity sweep (Stage 3)</w:t>
      </w:r>
    </w:p>
    <w:p>
      <w:pPr>
        <w:spacing w:line="240" w:lineRule="auto" w:before="0" w:after="0"/>
        <w:ind w:firstLine="180"/>
        <w:jc w:val="both"/>
      </w:pPr>
      <w:r>
        <w:rPr>
          <w:rFonts w:ascii="Times New Roman" w:hAnsi="Times New Roman" w:eastAsia="Times New Roman"/>
          <w:color w:val="000000"/>
          <w:sz w:val="20"/>
        </w:rPr>
        <w:t>The pre-registered one-at-a-time sweep over four parameter families produced 13 rows. Results are presented in Table 2.</w:t>
      </w:r>
    </w:p>
    <w:p>
      <w:pPr>
        <w:spacing w:line="240" w:lineRule="auto" w:before="120" w:after="0"/>
        <w:jc w:val="center"/>
      </w:pPr>
      <w:r>
        <w:rPr>
          <w:rFonts w:ascii="Times New Roman" w:hAnsi="Times New Roman" w:eastAsia="Times New Roman"/>
          <w:color w:val="000000"/>
          <w:sz w:val="16"/>
        </w:rPr>
        <w:t>TABLE 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OAT SENSITIVITY SWEEP AROUND MAIN CONFIGURATION</w:t>
            </w:r>
          </w:p>
        </w:tc>
      </w:tr>
      <w:tr>
        <w:tc>
          <w:tcPr>
            <w:tcW w:type="dxa" w:w="2008"/>
          </w:tcPr>
          <w:p>
            <w:pPr>
              <w:spacing w:line="240" w:lineRule="auto" w:before="0" w:after="0"/>
              <w:jc w:val="center"/>
            </w:pPr>
            <w:r>
              <w:rPr>
                <w:rFonts w:ascii="Times New Roman" w:hAnsi="Times New Roman" w:eastAsia="Times New Roman"/>
                <w:b/>
                <w:color w:val="000000"/>
                <w:sz w:val="14"/>
              </w:rPr>
              <w:t>Family</w:t>
            </w:r>
          </w:p>
        </w:tc>
        <w:tc>
          <w:tcPr>
            <w:tcW w:type="dxa" w:w="2008"/>
          </w:tcPr>
          <w:p>
            <w:pPr>
              <w:spacing w:line="240" w:lineRule="auto" w:before="0" w:after="0"/>
              <w:jc w:val="center"/>
            </w:pPr>
            <w:r>
              <w:rPr>
                <w:rFonts w:ascii="Times New Roman" w:hAnsi="Times New Roman" w:eastAsia="Times New Roman"/>
                <w:b/>
                <w:color w:val="000000"/>
                <w:sz w:val="14"/>
              </w:rPr>
              <w:t>Value</w:t>
            </w:r>
          </w:p>
        </w:tc>
        <w:tc>
          <w:tcPr>
            <w:tcW w:type="dxa" w:w="2008"/>
          </w:tcPr>
          <w:p>
            <w:pPr>
              <w:spacing w:line="240" w:lineRule="auto" w:before="0" w:after="0"/>
              <w:jc w:val="center"/>
            </w:pPr>
            <w:r>
              <w:rPr>
                <w:rFonts w:ascii="Times New Roman" w:hAnsi="Times New Roman" w:eastAsia="Times New Roman"/>
                <w:b/>
                <w:color w:val="000000"/>
                <w:sz w:val="14"/>
              </w:rPr>
              <w:t>MAPE</w:t>
            </w:r>
          </w:p>
        </w:tc>
        <w:tc>
          <w:tcPr>
            <w:tcW w:type="dxa" w:w="2008"/>
          </w:tcPr>
          <w:p>
            <w:pPr>
              <w:spacing w:line="240" w:lineRule="auto" w:before="0" w:after="0"/>
              <w:jc w:val="center"/>
            </w:pPr>
            <w:r>
              <w:rPr>
                <w:rFonts w:ascii="Times New Roman" w:hAnsi="Times New Roman" w:eastAsia="Times New Roman"/>
                <w:b/>
                <w:color w:val="000000"/>
                <w:sz w:val="14"/>
              </w:rPr>
              <w:t>95% CI</w:t>
            </w:r>
          </w:p>
        </w:tc>
        <w:tc>
          <w:tcPr>
            <w:tcW w:type="dxa" w:w="2008"/>
          </w:tcPr>
          <w:p>
            <w:pPr>
              <w:spacing w:line="240" w:lineRule="auto" w:before="0" w:after="0"/>
              <w:jc w:val="center"/>
            </w:pPr>
            <w:r>
              <w:rPr>
                <w:rFonts w:ascii="Times New Roman" w:hAnsi="Times New Roman" w:eastAsia="Times New Roman"/>
                <w:b/>
                <w:color w:val="000000"/>
                <w:sz w:val="14"/>
              </w:rPr>
              <w:t>Tier</w:t>
            </w:r>
          </w:p>
        </w:tc>
      </w:tr>
      <w:tr>
        <w:tc>
          <w:tcPr>
            <w:tcW w:type="dxa" w:w="2008"/>
          </w:tcPr>
          <w:p>
            <w:pPr>
              <w:spacing w:line="240" w:lineRule="auto" w:before="0" w:after="0"/>
              <w:jc w:val="left"/>
            </w:pPr>
            <w:r>
              <w:rPr>
                <w:rFonts w:ascii="Times New Roman" w:hAnsi="Times New Roman" w:eastAsia="Times New Roman"/>
                <w:color w:val="000000"/>
                <w:sz w:val="14"/>
              </w:rPr>
              <w:t>Baseline</w:t>
            </w:r>
          </w:p>
        </w:tc>
        <w:tc>
          <w:tcPr>
            <w:tcW w:type="dxa" w:w="2008"/>
          </w:tcPr>
          <w:p>
            <w:pPr>
              <w:spacing w:line="240" w:lineRule="auto" w:before="0" w:after="0"/>
              <w:jc w:val="left"/>
            </w:pPr>
            <w:r>
              <w:rPr>
                <w:rFonts w:ascii="Times New Roman" w:hAnsi="Times New Roman" w:eastAsia="Times New Roman"/>
                <w:color w:val="000000"/>
                <w:sz w:val="14"/>
              </w:rPr>
              <w:t>main_v2.0</w:t>
            </w:r>
          </w:p>
        </w:tc>
        <w:tc>
          <w:tcPr>
            <w:tcW w:type="dxa" w:w="2008"/>
          </w:tcPr>
          <w:p>
            <w:pPr>
              <w:spacing w:line="240" w:lineRule="auto" w:before="0" w:after="0"/>
              <w:jc w:val="right"/>
            </w:pPr>
            <w:r>
              <w:rPr>
                <w:rFonts w:ascii="Times New Roman" w:hAnsi="Times New Roman" w:eastAsia="Times New Roman"/>
                <w:color w:val="000000"/>
                <w:sz w:val="14"/>
              </w:rPr>
              <w:t>45.51%</w:t>
            </w:r>
          </w:p>
        </w:tc>
        <w:tc>
          <w:tcPr>
            <w:tcW w:type="dxa" w:w="2008"/>
          </w:tcPr>
          <w:p>
            <w:pPr>
              <w:spacing w:line="240" w:lineRule="auto" w:before="0" w:after="0"/>
              <w:jc w:val="left"/>
            </w:pPr>
            <w:r>
              <w:rPr>
                <w:rFonts w:ascii="Times New Roman" w:hAnsi="Times New Roman" w:eastAsia="Times New Roman"/>
                <w:color w:val="000000"/>
                <w:sz w:val="14"/>
              </w:rPr>
              <w:t>[31.5, 59.5]</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Binarization</w:t>
            </w:r>
          </w:p>
        </w:tc>
        <w:tc>
          <w:tcPr>
            <w:tcW w:type="dxa" w:w="2008"/>
          </w:tcPr>
          <w:p>
            <w:pPr>
              <w:spacing w:line="240" w:lineRule="auto" w:before="0" w:after="0"/>
              <w:jc w:val="left"/>
            </w:pPr>
            <w:r>
              <w:rPr>
                <w:rFonts w:ascii="Times New Roman" w:hAnsi="Times New Roman" w:eastAsia="Times New Roman"/>
                <w:color w:val="000000"/>
                <w:sz w:val="14"/>
              </w:rPr>
              <w:t>mean+0.25 SD</w:t>
            </w:r>
          </w:p>
        </w:tc>
        <w:tc>
          <w:tcPr>
            <w:tcW w:type="dxa" w:w="2008"/>
          </w:tcPr>
          <w:p>
            <w:pPr>
              <w:spacing w:line="240" w:lineRule="auto" w:before="0" w:after="0"/>
              <w:jc w:val="right"/>
            </w:pPr>
            <w:r>
              <w:rPr>
                <w:rFonts w:ascii="Times New Roman" w:hAnsi="Times New Roman" w:eastAsia="Times New Roman"/>
                <w:color w:val="000000"/>
                <w:sz w:val="14"/>
              </w:rPr>
              <w:t>29.58%</w:t>
            </w:r>
          </w:p>
        </w:tc>
        <w:tc>
          <w:tcPr>
            <w:tcW w:type="dxa" w:w="2008"/>
          </w:tcPr>
          <w:p>
            <w:pPr>
              <w:spacing w:line="240" w:lineRule="auto" w:before="0" w:after="0"/>
              <w:jc w:val="left"/>
            </w:pPr>
            <w:r>
              <w:rPr>
                <w:rFonts w:ascii="Times New Roman" w:hAnsi="Times New Roman" w:eastAsia="Times New Roman"/>
                <w:color w:val="000000"/>
                <w:sz w:val="14"/>
              </w:rPr>
              <w:t>[13.7, 45.2]</w:t>
            </w:r>
          </w:p>
        </w:tc>
        <w:tc>
          <w:tcPr>
            <w:tcW w:type="dxa" w:w="2008"/>
          </w:tcPr>
          <w:p>
            <w:pPr>
              <w:spacing w:line="240" w:lineRule="auto" w:before="0" w:after="0"/>
              <w:jc w:val="left"/>
            </w:pPr>
            <w:r>
              <w:rPr>
                <w:rFonts w:ascii="Times New Roman" w:hAnsi="Times New Roman" w:eastAsia="Times New Roman"/>
                <w:color w:val="000000"/>
                <w:sz w:val="14"/>
              </w:rPr>
              <w:t>Standard SUCCESS</w:t>
            </w:r>
          </w:p>
        </w:tc>
      </w:tr>
      <w:tr>
        <w:tc>
          <w:tcPr>
            <w:tcW w:type="dxa" w:w="2008"/>
          </w:tcPr>
          <w:p>
            <w:pPr>
              <w:spacing w:line="240" w:lineRule="auto" w:before="0" w:after="0"/>
              <w:jc w:val="left"/>
            </w:pPr>
            <w:r>
              <w:rPr>
                <w:rFonts w:ascii="Times New Roman" w:hAnsi="Times New Roman" w:eastAsia="Times New Roman"/>
                <w:color w:val="000000"/>
                <w:sz w:val="14"/>
              </w:rPr>
              <w:t>Binarization</w:t>
            </w:r>
          </w:p>
        </w:tc>
        <w:tc>
          <w:tcPr>
            <w:tcW w:type="dxa" w:w="2008"/>
          </w:tcPr>
          <w:p>
            <w:pPr>
              <w:spacing w:line="240" w:lineRule="auto" w:before="0" w:after="0"/>
              <w:jc w:val="left"/>
            </w:pPr>
            <w:r>
              <w:rPr>
                <w:rFonts w:ascii="Times New Roman" w:hAnsi="Times New Roman" w:eastAsia="Times New Roman"/>
                <w:color w:val="000000"/>
                <w:sz w:val="14"/>
              </w:rPr>
              <w:t>mean+0.5 SD (main)</w:t>
            </w:r>
          </w:p>
        </w:tc>
        <w:tc>
          <w:tcPr>
            <w:tcW w:type="dxa" w:w="2008"/>
          </w:tcPr>
          <w:p>
            <w:pPr>
              <w:spacing w:line="240" w:lineRule="auto" w:before="0" w:after="0"/>
              <w:jc w:val="right"/>
            </w:pPr>
            <w:r>
              <w:rPr>
                <w:rFonts w:ascii="Times New Roman" w:hAnsi="Times New Roman" w:eastAsia="Times New Roman"/>
                <w:color w:val="000000"/>
                <w:sz w:val="14"/>
              </w:rPr>
              <w:t>45.51%</w:t>
            </w:r>
          </w:p>
        </w:tc>
        <w:tc>
          <w:tcPr>
            <w:tcW w:type="dxa" w:w="2008"/>
          </w:tcPr>
          <w:p>
            <w:pPr>
              <w:spacing w:line="240" w:lineRule="auto" w:before="0" w:after="0"/>
              <w:jc w:val="left"/>
            </w:pPr>
            <w:r>
              <w:rPr>
                <w:rFonts w:ascii="Times New Roman" w:hAnsi="Times New Roman" w:eastAsia="Times New Roman"/>
                <w:color w:val="000000"/>
                <w:sz w:val="14"/>
              </w:rPr>
              <w:t>[30.5, 59.2]</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Binarization</w:t>
            </w:r>
          </w:p>
        </w:tc>
        <w:tc>
          <w:tcPr>
            <w:tcW w:type="dxa" w:w="2008"/>
          </w:tcPr>
          <w:p>
            <w:pPr>
              <w:spacing w:line="240" w:lineRule="auto" w:before="0" w:after="0"/>
              <w:jc w:val="left"/>
            </w:pPr>
            <w:r>
              <w:rPr>
                <w:rFonts w:ascii="Times New Roman" w:hAnsi="Times New Roman" w:eastAsia="Times New Roman"/>
                <w:color w:val="000000"/>
                <w:sz w:val="14"/>
              </w:rPr>
              <w:t>mean+1.0 SD</w:t>
            </w:r>
          </w:p>
        </w:tc>
        <w:tc>
          <w:tcPr>
            <w:tcW w:type="dxa" w:w="2008"/>
          </w:tcPr>
          <w:p>
            <w:pPr>
              <w:spacing w:line="240" w:lineRule="auto" w:before="0" w:after="0"/>
              <w:jc w:val="right"/>
            </w:pPr>
            <w:r>
              <w:rPr>
                <w:rFonts w:ascii="Times New Roman" w:hAnsi="Times New Roman" w:eastAsia="Times New Roman"/>
                <w:color w:val="000000"/>
                <w:sz w:val="14"/>
              </w:rPr>
              <w:t>48.95%</w:t>
            </w:r>
          </w:p>
        </w:tc>
        <w:tc>
          <w:tcPr>
            <w:tcW w:type="dxa" w:w="2008"/>
          </w:tcPr>
          <w:p>
            <w:pPr>
              <w:spacing w:line="240" w:lineRule="auto" w:before="0" w:after="0"/>
              <w:jc w:val="left"/>
            </w:pPr>
            <w:r>
              <w:rPr>
                <w:rFonts w:ascii="Times New Roman" w:hAnsi="Times New Roman" w:eastAsia="Times New Roman"/>
                <w:color w:val="000000"/>
                <w:sz w:val="14"/>
              </w:rPr>
              <w:t>[34.0, 62.4]</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Soft τ × median NN</w:t>
            </w:r>
          </w:p>
        </w:tc>
        <w:tc>
          <w:tcPr>
            <w:tcW w:type="dxa" w:w="2008"/>
          </w:tcPr>
          <w:p>
            <w:pPr>
              <w:spacing w:line="240" w:lineRule="auto" w:before="0" w:after="0"/>
              <w:jc w:val="left"/>
            </w:pPr>
            <w:r>
              <w:rPr>
                <w:rFonts w:ascii="Times New Roman" w:hAnsi="Times New Roman" w:eastAsia="Times New Roman"/>
                <w:color w:val="000000"/>
                <w:sz w:val="14"/>
              </w:rPr>
              <w:t>0.5×</w:t>
            </w:r>
          </w:p>
        </w:tc>
        <w:tc>
          <w:tcPr>
            <w:tcW w:type="dxa" w:w="2008"/>
          </w:tcPr>
          <w:p>
            <w:pPr>
              <w:spacing w:line="240" w:lineRule="auto" w:before="0" w:after="0"/>
              <w:jc w:val="right"/>
            </w:pPr>
            <w:r>
              <w:rPr>
                <w:rFonts w:ascii="Times New Roman" w:hAnsi="Times New Roman" w:eastAsia="Times New Roman"/>
                <w:color w:val="000000"/>
                <w:sz w:val="14"/>
              </w:rPr>
              <w:t>45.04%</w:t>
            </w:r>
          </w:p>
        </w:tc>
        <w:tc>
          <w:tcPr>
            <w:tcW w:type="dxa" w:w="2008"/>
          </w:tcPr>
          <w:p>
            <w:pPr>
              <w:spacing w:line="240" w:lineRule="auto" w:before="0" w:after="0"/>
              <w:jc w:val="left"/>
            </w:pPr>
            <w:r>
              <w:rPr>
                <w:rFonts w:ascii="Times New Roman" w:hAnsi="Times New Roman" w:eastAsia="Times New Roman"/>
                <w:color w:val="000000"/>
                <w:sz w:val="14"/>
              </w:rPr>
              <w:t>[43.8, 46.3]</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Soft τ × median NN</w:t>
            </w:r>
          </w:p>
        </w:tc>
        <w:tc>
          <w:tcPr>
            <w:tcW w:type="dxa" w:w="2008"/>
          </w:tcPr>
          <w:p>
            <w:pPr>
              <w:spacing w:line="240" w:lineRule="auto" w:before="0" w:after="0"/>
              <w:jc w:val="left"/>
            </w:pPr>
            <w:r>
              <w:rPr>
                <w:rFonts w:ascii="Times New Roman" w:hAnsi="Times New Roman" w:eastAsia="Times New Roman"/>
                <w:color w:val="000000"/>
                <w:sz w:val="14"/>
              </w:rPr>
              <w:t>1.0×</w:t>
            </w:r>
          </w:p>
        </w:tc>
        <w:tc>
          <w:tcPr>
            <w:tcW w:type="dxa" w:w="2008"/>
          </w:tcPr>
          <w:p>
            <w:pPr>
              <w:spacing w:line="240" w:lineRule="auto" w:before="0" w:after="0"/>
              <w:jc w:val="right"/>
            </w:pPr>
            <w:r>
              <w:rPr>
                <w:rFonts w:ascii="Times New Roman" w:hAnsi="Times New Roman" w:eastAsia="Times New Roman"/>
                <w:color w:val="000000"/>
                <w:sz w:val="14"/>
              </w:rPr>
              <w:t>45.22%</w:t>
            </w:r>
          </w:p>
        </w:tc>
        <w:tc>
          <w:tcPr>
            <w:tcW w:type="dxa" w:w="2008"/>
          </w:tcPr>
          <w:p>
            <w:pPr>
              <w:spacing w:line="240" w:lineRule="auto" w:before="0" w:after="0"/>
              <w:jc w:val="left"/>
            </w:pPr>
            <w:r>
              <w:rPr>
                <w:rFonts w:ascii="Times New Roman" w:hAnsi="Times New Roman" w:eastAsia="Times New Roman"/>
                <w:color w:val="000000"/>
                <w:sz w:val="14"/>
              </w:rPr>
              <w:t>[43.9, 46.5]</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Soft τ × median NN</w:t>
            </w:r>
          </w:p>
        </w:tc>
        <w:tc>
          <w:tcPr>
            <w:tcW w:type="dxa" w:w="2008"/>
          </w:tcPr>
          <w:p>
            <w:pPr>
              <w:spacing w:line="240" w:lineRule="auto" w:before="0" w:after="0"/>
              <w:jc w:val="left"/>
            </w:pPr>
            <w:r>
              <w:rPr>
                <w:rFonts w:ascii="Times New Roman" w:hAnsi="Times New Roman" w:eastAsia="Times New Roman"/>
                <w:color w:val="000000"/>
                <w:sz w:val="14"/>
              </w:rPr>
              <w:t>2.0×</w:t>
            </w:r>
          </w:p>
        </w:tc>
        <w:tc>
          <w:tcPr>
            <w:tcW w:type="dxa" w:w="2008"/>
          </w:tcPr>
          <w:p>
            <w:pPr>
              <w:spacing w:line="240" w:lineRule="auto" w:before="0" w:after="0"/>
              <w:jc w:val="right"/>
            </w:pPr>
            <w:r>
              <w:rPr>
                <w:rFonts w:ascii="Times New Roman" w:hAnsi="Times New Roman" w:eastAsia="Times New Roman"/>
                <w:color w:val="000000"/>
                <w:sz w:val="14"/>
              </w:rPr>
              <w:t>45.24%</w:t>
            </w:r>
          </w:p>
        </w:tc>
        <w:tc>
          <w:tcPr>
            <w:tcW w:type="dxa" w:w="2008"/>
          </w:tcPr>
          <w:p>
            <w:pPr>
              <w:spacing w:line="240" w:lineRule="auto" w:before="0" w:after="0"/>
              <w:jc w:val="left"/>
            </w:pPr>
            <w:r>
              <w:rPr>
                <w:rFonts w:ascii="Times New Roman" w:hAnsi="Times New Roman" w:eastAsia="Times New Roman"/>
                <w:color w:val="000000"/>
                <w:sz w:val="14"/>
              </w:rPr>
              <w:t>[43.9, 46.4]</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EB scale</w:t>
            </w:r>
          </w:p>
        </w:tc>
        <w:tc>
          <w:tcPr>
            <w:tcW w:type="dxa" w:w="2008"/>
          </w:tcPr>
          <w:p>
            <w:pPr>
              <w:spacing w:line="240" w:lineRule="auto" w:before="0" w:after="0"/>
              <w:jc w:val="left"/>
            </w:pPr>
            <w:r>
              <w:rPr>
                <w:rFonts w:ascii="Times New Roman" w:hAnsi="Times New Roman" w:eastAsia="Times New Roman"/>
                <w:color w:val="000000"/>
                <w:sz w:val="14"/>
              </w:rPr>
              <w:t>0.5× pseudocount</w:t>
            </w:r>
          </w:p>
        </w:tc>
        <w:tc>
          <w:tcPr>
            <w:tcW w:type="dxa" w:w="2008"/>
          </w:tcPr>
          <w:p>
            <w:pPr>
              <w:spacing w:line="240" w:lineRule="auto" w:before="0" w:after="0"/>
              <w:jc w:val="right"/>
            </w:pPr>
            <w:r>
              <w:rPr>
                <w:rFonts w:ascii="Times New Roman" w:hAnsi="Times New Roman" w:eastAsia="Times New Roman"/>
                <w:color w:val="000000"/>
                <w:sz w:val="14"/>
              </w:rPr>
              <w:t>45.90%</w:t>
            </w:r>
          </w:p>
        </w:tc>
        <w:tc>
          <w:tcPr>
            <w:tcW w:type="dxa" w:w="2008"/>
          </w:tcPr>
          <w:p>
            <w:pPr>
              <w:spacing w:line="240" w:lineRule="auto" w:before="0" w:after="0"/>
              <w:jc w:val="left"/>
            </w:pPr>
            <w:r>
              <w:rPr>
                <w:rFonts w:ascii="Times New Roman" w:hAnsi="Times New Roman" w:eastAsia="Times New Roman"/>
                <w:color w:val="000000"/>
                <w:sz w:val="14"/>
              </w:rPr>
              <w:t>[32.1, 58.7]</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EB scale</w:t>
            </w:r>
          </w:p>
        </w:tc>
        <w:tc>
          <w:tcPr>
            <w:tcW w:type="dxa" w:w="2008"/>
          </w:tcPr>
          <w:p>
            <w:pPr>
              <w:spacing w:line="240" w:lineRule="auto" w:before="0" w:after="0"/>
              <w:jc w:val="left"/>
            </w:pPr>
            <w:r>
              <w:rPr>
                <w:rFonts w:ascii="Times New Roman" w:hAnsi="Times New Roman" w:eastAsia="Times New Roman"/>
                <w:color w:val="000000"/>
                <w:sz w:val="14"/>
              </w:rPr>
              <w:t>1.0× (main)</w:t>
            </w:r>
          </w:p>
        </w:tc>
        <w:tc>
          <w:tcPr>
            <w:tcW w:type="dxa" w:w="2008"/>
          </w:tcPr>
          <w:p>
            <w:pPr>
              <w:spacing w:line="240" w:lineRule="auto" w:before="0" w:after="0"/>
              <w:jc w:val="right"/>
            </w:pPr>
            <w:r>
              <w:rPr>
                <w:rFonts w:ascii="Times New Roman" w:hAnsi="Times New Roman" w:eastAsia="Times New Roman"/>
                <w:color w:val="000000"/>
                <w:sz w:val="14"/>
              </w:rPr>
              <w:t>45.51%</w:t>
            </w:r>
          </w:p>
        </w:tc>
        <w:tc>
          <w:tcPr>
            <w:tcW w:type="dxa" w:w="2008"/>
          </w:tcPr>
          <w:p>
            <w:pPr>
              <w:spacing w:line="240" w:lineRule="auto" w:before="0" w:after="0"/>
              <w:jc w:val="left"/>
            </w:pPr>
            <w:r>
              <w:rPr>
                <w:rFonts w:ascii="Times New Roman" w:hAnsi="Times New Roman" w:eastAsia="Times New Roman"/>
                <w:color w:val="000000"/>
                <w:sz w:val="14"/>
              </w:rPr>
              <w:t>[31.4, 59.0]</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EB scale</w:t>
            </w:r>
          </w:p>
        </w:tc>
        <w:tc>
          <w:tcPr>
            <w:tcW w:type="dxa" w:w="2008"/>
          </w:tcPr>
          <w:p>
            <w:pPr>
              <w:spacing w:line="240" w:lineRule="auto" w:before="0" w:after="0"/>
              <w:jc w:val="left"/>
            </w:pPr>
            <w:r>
              <w:rPr>
                <w:rFonts w:ascii="Times New Roman" w:hAnsi="Times New Roman" w:eastAsia="Times New Roman"/>
                <w:color w:val="000000"/>
                <w:sz w:val="14"/>
              </w:rPr>
              <w:t>2.0× pseudocount</w:t>
            </w:r>
          </w:p>
        </w:tc>
        <w:tc>
          <w:tcPr>
            <w:tcW w:type="dxa" w:w="2008"/>
          </w:tcPr>
          <w:p>
            <w:pPr>
              <w:spacing w:line="240" w:lineRule="auto" w:before="0" w:after="0"/>
              <w:jc w:val="right"/>
            </w:pPr>
            <w:r>
              <w:rPr>
                <w:rFonts w:ascii="Times New Roman" w:hAnsi="Times New Roman" w:eastAsia="Times New Roman"/>
                <w:color w:val="000000"/>
                <w:sz w:val="14"/>
              </w:rPr>
              <w:t>45.80%</w:t>
            </w:r>
          </w:p>
        </w:tc>
        <w:tc>
          <w:tcPr>
            <w:tcW w:type="dxa" w:w="2008"/>
          </w:tcPr>
          <w:p>
            <w:pPr>
              <w:spacing w:line="240" w:lineRule="auto" w:before="0" w:after="0"/>
              <w:jc w:val="left"/>
            </w:pPr>
            <w:r>
              <w:rPr>
                <w:rFonts w:ascii="Times New Roman" w:hAnsi="Times New Roman" w:eastAsia="Times New Roman"/>
                <w:color w:val="000000"/>
                <w:sz w:val="14"/>
              </w:rPr>
              <w:t>[32.3, 58.9]</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Cluster mass shift δ</w:t>
            </w:r>
          </w:p>
        </w:tc>
        <w:tc>
          <w:tcPr>
            <w:tcW w:type="dxa" w:w="2008"/>
          </w:tcPr>
          <w:p>
            <w:pPr>
              <w:spacing w:line="240" w:lineRule="auto" w:before="0" w:after="0"/>
              <w:jc w:val="left"/>
            </w:pPr>
            <w:r>
              <w:rPr>
                <w:rFonts w:ascii="Times New Roman" w:hAnsi="Times New Roman" w:eastAsia="Times New Roman"/>
                <w:color w:val="000000"/>
                <w:sz w:val="14"/>
              </w:rPr>
              <w:t>−0.10 high−low</w:t>
            </w:r>
          </w:p>
        </w:tc>
        <w:tc>
          <w:tcPr>
            <w:tcW w:type="dxa" w:w="2008"/>
          </w:tcPr>
          <w:p>
            <w:pPr>
              <w:spacing w:line="240" w:lineRule="auto" w:before="0" w:after="0"/>
              <w:jc w:val="right"/>
            </w:pPr>
            <w:r>
              <w:rPr>
                <w:rFonts w:ascii="Times New Roman" w:hAnsi="Times New Roman" w:eastAsia="Times New Roman"/>
                <w:color w:val="000000"/>
                <w:sz w:val="14"/>
              </w:rPr>
              <w:t>56.47%</w:t>
            </w:r>
          </w:p>
        </w:tc>
        <w:tc>
          <w:tcPr>
            <w:tcW w:type="dxa" w:w="2008"/>
          </w:tcPr>
          <w:p>
            <w:pPr>
              <w:spacing w:line="240" w:lineRule="auto" w:before="0" w:after="0"/>
              <w:jc w:val="left"/>
            </w:pPr>
            <w:r>
              <w:rPr>
                <w:rFonts w:ascii="Times New Roman" w:hAnsi="Times New Roman" w:eastAsia="Times New Roman"/>
                <w:color w:val="000000"/>
                <w:sz w:val="14"/>
              </w:rPr>
              <w:t>[42.8, 68.8]</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Cluster mass shift δ</w:t>
            </w:r>
          </w:p>
        </w:tc>
        <w:tc>
          <w:tcPr>
            <w:tcW w:type="dxa" w:w="2008"/>
          </w:tcPr>
          <w:p>
            <w:pPr>
              <w:spacing w:line="240" w:lineRule="auto" w:before="0" w:after="0"/>
              <w:jc w:val="left"/>
            </w:pPr>
            <w:r>
              <w:rPr>
                <w:rFonts w:ascii="Times New Roman" w:hAnsi="Times New Roman" w:eastAsia="Times New Roman"/>
                <w:color w:val="000000"/>
                <w:sz w:val="14"/>
              </w:rPr>
              <w:t>0.0 (main)</w:t>
            </w:r>
          </w:p>
        </w:tc>
        <w:tc>
          <w:tcPr>
            <w:tcW w:type="dxa" w:w="2008"/>
          </w:tcPr>
          <w:p>
            <w:pPr>
              <w:spacing w:line="240" w:lineRule="auto" w:before="0" w:after="0"/>
              <w:jc w:val="right"/>
            </w:pPr>
            <w:r>
              <w:rPr>
                <w:rFonts w:ascii="Times New Roman" w:hAnsi="Times New Roman" w:eastAsia="Times New Roman"/>
                <w:color w:val="000000"/>
                <w:sz w:val="14"/>
              </w:rPr>
              <w:t>45.51%</w:t>
            </w:r>
          </w:p>
        </w:tc>
        <w:tc>
          <w:tcPr>
            <w:tcW w:type="dxa" w:w="2008"/>
          </w:tcPr>
          <w:p>
            <w:pPr>
              <w:spacing w:line="240" w:lineRule="auto" w:before="0" w:after="0"/>
              <w:jc w:val="left"/>
            </w:pPr>
            <w:r>
              <w:rPr>
                <w:rFonts w:ascii="Times New Roman" w:hAnsi="Times New Roman" w:eastAsia="Times New Roman"/>
                <w:color w:val="000000"/>
                <w:sz w:val="14"/>
              </w:rPr>
              <w:t>[31.4, 59.2]</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Cluster mass shift δ</w:t>
            </w:r>
          </w:p>
        </w:tc>
        <w:tc>
          <w:tcPr>
            <w:tcW w:type="dxa" w:w="2008"/>
          </w:tcPr>
          <w:p>
            <w:pPr>
              <w:spacing w:line="240" w:lineRule="auto" w:before="0" w:after="0"/>
              <w:jc w:val="left"/>
            </w:pPr>
            <w:r>
              <w:rPr>
                <w:rFonts w:ascii="Times New Roman" w:hAnsi="Times New Roman" w:eastAsia="Times New Roman"/>
                <w:color w:val="000000"/>
                <w:sz w:val="14"/>
              </w:rPr>
              <w:t>+0.10 high−low</w:t>
            </w:r>
          </w:p>
        </w:tc>
        <w:tc>
          <w:tcPr>
            <w:tcW w:type="dxa" w:w="2008"/>
          </w:tcPr>
          <w:p>
            <w:pPr>
              <w:spacing w:line="240" w:lineRule="auto" w:before="0" w:after="0"/>
              <w:jc w:val="right"/>
            </w:pPr>
            <w:r>
              <w:rPr>
                <w:rFonts w:ascii="Times New Roman" w:hAnsi="Times New Roman" w:eastAsia="Times New Roman"/>
                <w:color w:val="000000"/>
                <w:sz w:val="14"/>
              </w:rPr>
              <w:t>34.55%</w:t>
            </w:r>
          </w:p>
        </w:tc>
        <w:tc>
          <w:tcPr>
            <w:tcW w:type="dxa" w:w="2008"/>
          </w:tcPr>
          <w:p>
            <w:pPr>
              <w:spacing w:line="240" w:lineRule="auto" w:before="0" w:after="0"/>
              <w:jc w:val="left"/>
            </w:pPr>
            <w:r>
              <w:rPr>
                <w:rFonts w:ascii="Times New Roman" w:hAnsi="Times New Roman" w:eastAsia="Times New Roman"/>
                <w:color w:val="000000"/>
                <w:sz w:val="14"/>
              </w:rPr>
              <w:t>[16.6, 51.8]</w:t>
            </w:r>
          </w:p>
        </w:tc>
        <w:tc>
          <w:tcPr>
            <w:tcW w:type="dxa" w:w="2008"/>
          </w:tcPr>
          <w:p>
            <w:pPr>
              <w:spacing w:line="240" w:lineRule="auto" w:before="0" w:after="0"/>
              <w:jc w:val="left"/>
            </w:pPr>
            <w:r>
              <w:rPr>
                <w:rFonts w:ascii="Times New Roman" w:hAnsi="Times New Roman" w:eastAsia="Times New Roman"/>
                <w:color w:val="000000"/>
                <w:sz w:val="14"/>
              </w:rPr>
              <w:t>PARTIAL</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per row, percentile CI on FY2016 MAPE. The baseline row uses the locked v2.0 main configuration; all other rows hold remaining parameters at main while varying the indicated family.</w:t>
      </w:r>
    </w:p>
    <w:p>
      <w:pPr>
        <w:spacing w:line="240" w:lineRule="auto" w:before="0" w:after="0"/>
        <w:ind w:firstLine="180"/>
        <w:jc w:val="both"/>
      </w:pPr>
      <w:r>
        <w:rPr>
          <w:rFonts w:ascii="Times New Roman" w:hAnsi="Times New Roman" w:eastAsia="Times New Roman"/>
          <w:color w:val="000000"/>
          <w:sz w:val="20"/>
        </w:rPr>
        <w:t>Two parameter families show substantial sensitivity:</w:t>
      </w:r>
    </w:p>
    <w:p>
      <w:pPr>
        <w:pStyle w:val="ListBullet"/>
        <w:spacing w:line="240" w:lineRule="auto" w:before="0" w:after="0"/>
        <w:jc w:val="both"/>
      </w:pPr>
      <w:r>
        <w:rPr>
          <w:rFonts w:ascii="Times New Roman" w:hAnsi="Times New Roman" w:eastAsia="Times New Roman"/>
          <w:color w:val="000000"/>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color w:val="000000"/>
          <w:sz w:val="20"/>
        </w:rPr>
        <w:t>Cluster proportion mass shift (range: 34.55% to 56.47%): underscores the centrality of the Tokiwa [13] cluster proportions to the conclusion (acknowledged as a pre-registered limitation, since cluster membership is not measured in the Labour Force Survey and the cluster mass cannot be re-weighted).</w:t>
      </w:r>
    </w:p>
    <w:p>
      <w:pPr>
        <w:spacing w:line="240" w:lineRule="auto" w:before="0" w:after="0"/>
        <w:ind w:firstLine="180"/>
        <w:jc w:val="both"/>
      </w:pPr>
      <w:r>
        <w:rPr>
          <w:rFonts w:ascii="Times New Roman" w:hAnsi="Times New Roman" w:eastAsia="Times New Roman"/>
          <w:color w:val="000000"/>
          <w:sz w:val="20"/>
        </w:rPr>
        <w:t>Two parameter families show negligible sensitivity:</w:t>
      </w:r>
    </w:p>
    <w:p>
      <w:pPr>
        <w:pStyle w:val="ListBullet"/>
        <w:spacing w:line="240" w:lineRule="auto" w:before="0" w:after="0"/>
        <w:jc w:val="both"/>
      </w:pPr>
      <w:r>
        <w:rPr>
          <w:rFonts w:ascii="Times New Roman" w:hAnsi="Times New Roman" w:eastAsia="Times New Roman"/>
          <w:color w:val="000000"/>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color w:val="000000"/>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color w:val="000000"/>
          <w:sz w:val="20"/>
        </w:rPr>
        <w:t>The two stable axes provide affirmative robustness evidence; the two sensitive axes circumscribe the assumptions on which the conclusion explicitly depends.</w:t>
      </w:r>
    </w:p>
    <w:p>
      <w:pPr>
        <w:spacing w:line="240" w:lineRule="auto" w:before="80" w:after="40"/>
      </w:pPr>
      <w:r>
        <w:rPr>
          <w:rFonts w:ascii="Times New Roman" w:hAnsi="Times New Roman" w:eastAsia="Times New Roman"/>
          <w:b/>
          <w:color w:val="000000"/>
          <w:sz w:val="20"/>
        </w:rPr>
        <w:t>D. Baseline comparison and H2 ordinal trend (Stage 4)</w:t>
      </w:r>
    </w:p>
    <w:p>
      <w:pPr>
        <w:spacing w:line="240" w:lineRule="auto" w:before="0" w:after="0"/>
        <w:ind w:firstLine="180"/>
        <w:jc w:val="both"/>
      </w:pPr>
      <w:r>
        <w:rPr>
          <w:rFonts w:ascii="Times New Roman" w:hAnsi="Times New Roman" w:eastAsia="Times New Roman"/>
          <w:color w:val="000000"/>
          <w:sz w:val="20"/>
        </w:rPr>
        <w:t>The pre-registered B0–B4 baseline ladder yielded the following MAPE_FY2016 estimates (Table 3).</w:t>
      </w:r>
    </w:p>
    <w:p>
      <w:pPr>
        <w:spacing w:line="240" w:lineRule="auto" w:before="120" w:after="0"/>
        <w:jc w:val="center"/>
      </w:pPr>
      <w:r>
        <w:rPr>
          <w:rFonts w:ascii="Times New Roman" w:hAnsi="Times New Roman" w:eastAsia="Times New Roman"/>
          <w:color w:val="000000"/>
          <w:sz w:val="16"/>
        </w:rPr>
        <w:t>TABLE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0"/>
        <w:gridCol w:w="2510"/>
        <w:gridCol w:w="2510"/>
        <w:gridCol w:w="2510"/>
      </w:tblGrid>
      <w:tr>
        <w:tc>
          <w:tcPr>
            <w:tcW w:type="dxa" w:w="10040"/>
            <w:gridSpan w:val="4"/>
          </w:tcPr>
          <w:p>
            <w:pPr>
              <w:spacing w:line="240" w:lineRule="auto" w:before="0" w:after="0"/>
              <w:jc w:val="center"/>
            </w:pPr>
            <w:r>
              <w:rPr>
                <w:rFonts w:ascii="Times New Roman" w:hAnsi="Times New Roman" w:eastAsia="Times New Roman"/>
                <w:color w:val="000000"/>
                <w:sz w:val="14"/>
              </w:rPr>
              <w:t>BASELINE COMPARISON FOR H2</w:t>
            </w:r>
          </w:p>
        </w:tc>
      </w:tr>
      <w:tr>
        <w:tc>
          <w:tcPr>
            <w:tcW w:type="dxa" w:w="2510"/>
          </w:tcPr>
          <w:p>
            <w:pPr>
              <w:spacing w:line="240" w:lineRule="auto" w:before="0" w:after="0"/>
              <w:jc w:val="center"/>
            </w:pPr>
            <w:r>
              <w:rPr>
                <w:rFonts w:ascii="Times New Roman" w:hAnsi="Times New Roman" w:eastAsia="Times New Roman"/>
                <w:b/>
                <w:color w:val="000000"/>
                <w:sz w:val="14"/>
              </w:rPr>
              <w:t>Baseline</w:t>
            </w:r>
          </w:p>
        </w:tc>
        <w:tc>
          <w:tcPr>
            <w:tcW w:type="dxa" w:w="2510"/>
          </w:tcPr>
          <w:p>
            <w:pPr>
              <w:spacing w:line="240" w:lineRule="auto" w:before="0" w:after="0"/>
              <w:jc w:val="center"/>
            </w:pPr>
            <w:r>
              <w:rPr>
                <w:rFonts w:ascii="Times New Roman" w:hAnsi="Times New Roman" w:eastAsia="Times New Roman"/>
                <w:b/>
                <w:color w:val="000000"/>
                <w:sz w:val="14"/>
              </w:rPr>
              <w:t>Description</w:t>
            </w:r>
          </w:p>
        </w:tc>
        <w:tc>
          <w:tcPr>
            <w:tcW w:type="dxa" w:w="2510"/>
          </w:tcPr>
          <w:p>
            <w:pPr>
              <w:spacing w:line="240" w:lineRule="auto" w:before="0" w:after="0"/>
              <w:jc w:val="center"/>
            </w:pPr>
            <w:r>
              <w:rPr>
                <w:rFonts w:ascii="Times New Roman" w:hAnsi="Times New Roman" w:eastAsia="Times New Roman"/>
                <w:b/>
                <w:color w:val="000000"/>
                <w:sz w:val="14"/>
              </w:rPr>
              <w:t>MAPE</w:t>
            </w:r>
          </w:p>
        </w:tc>
        <w:tc>
          <w:tcPr>
            <w:tcW w:type="dxa" w:w="2510"/>
          </w:tcPr>
          <w:p>
            <w:pPr>
              <w:spacing w:line="240" w:lineRule="auto" w:before="0" w:after="0"/>
              <w:jc w:val="center"/>
            </w:pPr>
            <w:r>
              <w:rPr>
                <w:rFonts w:ascii="Times New Roman" w:hAnsi="Times New Roman" w:eastAsia="Times New Roman"/>
                <w:b/>
                <w:color w:val="000000"/>
                <w:sz w:val="14"/>
              </w:rPr>
              <w:t>95% CI</w:t>
            </w:r>
          </w:p>
        </w:tc>
      </w:tr>
      <w:tr>
        <w:tc>
          <w:tcPr>
            <w:tcW w:type="dxa" w:w="2510"/>
          </w:tcPr>
          <w:p>
            <w:pPr>
              <w:spacing w:line="240" w:lineRule="auto" w:before="0" w:after="0"/>
              <w:jc w:val="left"/>
            </w:pPr>
            <w:r>
              <w:rPr>
                <w:rFonts w:ascii="Times New Roman" w:hAnsi="Times New Roman" w:eastAsia="Times New Roman"/>
                <w:color w:val="000000"/>
                <w:sz w:val="14"/>
              </w:rPr>
              <w:t>B0</w:t>
            </w:r>
          </w:p>
        </w:tc>
        <w:tc>
          <w:tcPr>
            <w:tcW w:type="dxa" w:w="2510"/>
          </w:tcPr>
          <w:p>
            <w:pPr>
              <w:spacing w:line="240" w:lineRule="auto" w:before="0" w:after="0"/>
              <w:jc w:val="left"/>
            </w:pPr>
            <w:r>
              <w:rPr>
                <w:rFonts w:ascii="Times New Roman" w:hAnsi="Times New Roman" w:eastAsia="Times New Roman"/>
                <w:color w:val="000000"/>
                <w:sz w:val="14"/>
              </w:rPr>
              <w:t>Uniform = MHLW grand mean</w:t>
            </w:r>
          </w:p>
        </w:tc>
        <w:tc>
          <w:tcPr>
            <w:tcW w:type="dxa" w:w="2510"/>
          </w:tcPr>
          <w:p>
            <w:pPr>
              <w:spacing w:line="240" w:lineRule="auto" w:before="0" w:after="0"/>
              <w:jc w:val="right"/>
            </w:pPr>
            <w:r>
              <w:rPr>
                <w:rFonts w:ascii="Times New Roman" w:hAnsi="Times New Roman" w:eastAsia="Times New Roman"/>
                <w:color w:val="000000"/>
                <w:sz w:val="14"/>
              </w:rPr>
              <w:t>0.00%</w:t>
            </w:r>
          </w:p>
        </w:tc>
        <w:tc>
          <w:tcPr>
            <w:tcW w:type="dxa" w:w="2510"/>
          </w:tcPr>
          <w:p>
            <w:pPr>
              <w:spacing w:line="240" w:lineRule="auto" w:before="0" w:after="0"/>
              <w:jc w:val="left"/>
            </w:pPr>
            <w:r>
              <w:rPr>
                <w:rFonts w:ascii="Times New Roman" w:hAnsi="Times New Roman" w:eastAsia="Times New Roman"/>
                <w:color w:val="000000"/>
                <w:sz w:val="14"/>
              </w:rPr>
              <w:t>[0.00, 0.00] (deterministic)</w:t>
            </w:r>
          </w:p>
        </w:tc>
      </w:tr>
      <w:tr>
        <w:tc>
          <w:tcPr>
            <w:tcW w:type="dxa" w:w="2510"/>
          </w:tcPr>
          <w:p>
            <w:pPr>
              <w:spacing w:line="240" w:lineRule="auto" w:before="0" w:after="0"/>
              <w:jc w:val="left"/>
            </w:pPr>
            <w:r>
              <w:rPr>
                <w:rFonts w:ascii="Times New Roman" w:hAnsi="Times New Roman" w:eastAsia="Times New Roman"/>
                <w:color w:val="000000"/>
                <w:sz w:val="14"/>
              </w:rPr>
              <w:t>B1</w:t>
            </w:r>
          </w:p>
        </w:tc>
        <w:tc>
          <w:tcPr>
            <w:tcW w:type="dxa" w:w="2510"/>
          </w:tcPr>
          <w:p>
            <w:pPr>
              <w:spacing w:line="240" w:lineRule="auto" w:before="0" w:after="0"/>
              <w:jc w:val="left"/>
            </w:pPr>
            <w:r>
              <w:rPr>
                <w:rFonts w:ascii="Times New Roman" w:hAnsi="Times New Roman" w:eastAsia="Times New Roman"/>
                <w:color w:val="000000"/>
                <w:sz w:val="14"/>
              </w:rPr>
              <w:t>Gender logistic</w:t>
            </w:r>
          </w:p>
        </w:tc>
        <w:tc>
          <w:tcPr>
            <w:tcW w:type="dxa" w:w="2510"/>
          </w:tcPr>
          <w:p>
            <w:pPr>
              <w:spacing w:line="240" w:lineRule="auto" w:before="0" w:after="0"/>
              <w:jc w:val="right"/>
            </w:pPr>
            <w:r>
              <w:rPr>
                <w:rFonts w:ascii="Times New Roman" w:hAnsi="Times New Roman" w:eastAsia="Times New Roman"/>
                <w:color w:val="000000"/>
                <w:sz w:val="14"/>
              </w:rPr>
              <w:t>46.02%</w:t>
            </w:r>
          </w:p>
        </w:tc>
        <w:tc>
          <w:tcPr>
            <w:tcW w:type="dxa" w:w="2510"/>
          </w:tcPr>
          <w:p>
            <w:pPr>
              <w:spacing w:line="240" w:lineRule="auto" w:before="0" w:after="0"/>
              <w:jc w:val="left"/>
            </w:pPr>
            <w:r>
              <w:rPr>
                <w:rFonts w:ascii="Times New Roman" w:hAnsi="Times New Roman" w:eastAsia="Times New Roman"/>
                <w:color w:val="000000"/>
                <w:sz w:val="14"/>
              </w:rPr>
              <w:t>[46.02, 46.02] (deterministic)</w:t>
            </w:r>
          </w:p>
        </w:tc>
      </w:tr>
      <w:tr>
        <w:tc>
          <w:tcPr>
            <w:tcW w:type="dxa" w:w="2510"/>
          </w:tcPr>
          <w:p>
            <w:pPr>
              <w:spacing w:line="240" w:lineRule="auto" w:before="0" w:after="0"/>
              <w:jc w:val="left"/>
            </w:pPr>
            <w:r>
              <w:rPr>
                <w:rFonts w:ascii="Times New Roman" w:hAnsi="Times New Roman" w:eastAsia="Times New Roman"/>
                <w:color w:val="000000"/>
                <w:sz w:val="14"/>
              </w:rPr>
              <w:t>B2</w:t>
            </w:r>
          </w:p>
        </w:tc>
        <w:tc>
          <w:tcPr>
            <w:tcW w:type="dxa" w:w="2510"/>
          </w:tcPr>
          <w:p>
            <w:pPr>
              <w:spacing w:line="240" w:lineRule="auto" w:before="0" w:after="0"/>
              <w:jc w:val="left"/>
            </w:pPr>
            <w:r>
              <w:rPr>
                <w:rFonts w:ascii="Times New Roman" w:hAnsi="Times New Roman" w:eastAsia="Times New Roman"/>
                <w:color w:val="000000"/>
                <w:sz w:val="14"/>
              </w:rPr>
              <w:t>HEXACO 6-domain logistic</w:t>
            </w:r>
          </w:p>
        </w:tc>
        <w:tc>
          <w:tcPr>
            <w:tcW w:type="dxa" w:w="2510"/>
          </w:tcPr>
          <w:p>
            <w:pPr>
              <w:spacing w:line="240" w:lineRule="auto" w:before="0" w:after="0"/>
              <w:jc w:val="right"/>
            </w:pPr>
            <w:r>
              <w:rPr>
                <w:rFonts w:ascii="Times New Roman" w:hAnsi="Times New Roman" w:eastAsia="Times New Roman"/>
                <w:color w:val="000000"/>
                <w:sz w:val="14"/>
              </w:rPr>
              <w:t>43.98%</w:t>
            </w:r>
          </w:p>
        </w:tc>
        <w:tc>
          <w:tcPr>
            <w:tcW w:type="dxa" w:w="2510"/>
          </w:tcPr>
          <w:p>
            <w:pPr>
              <w:spacing w:line="240" w:lineRule="auto" w:before="0" w:after="0"/>
              <w:jc w:val="left"/>
            </w:pPr>
            <w:r>
              <w:rPr>
                <w:rFonts w:ascii="Times New Roman" w:hAnsi="Times New Roman" w:eastAsia="Times New Roman"/>
                <w:color w:val="000000"/>
                <w:sz w:val="14"/>
              </w:rPr>
              <w:t>[40.33, 47.35]</w:t>
            </w:r>
          </w:p>
        </w:tc>
      </w:tr>
      <w:tr>
        <w:tc>
          <w:tcPr>
            <w:tcW w:type="dxa" w:w="2510"/>
          </w:tcPr>
          <w:p>
            <w:pPr>
              <w:spacing w:line="240" w:lineRule="auto" w:before="0" w:after="0"/>
              <w:jc w:val="left"/>
            </w:pPr>
            <w:r>
              <w:rPr>
                <w:rFonts w:ascii="Times New Roman" w:hAnsi="Times New Roman" w:eastAsia="Times New Roman"/>
                <w:color w:val="000000"/>
                <w:sz w:val="14"/>
              </w:rPr>
              <w:t>B3</w:t>
            </w:r>
          </w:p>
        </w:tc>
        <w:tc>
          <w:tcPr>
            <w:tcW w:type="dxa" w:w="2510"/>
          </w:tcPr>
          <w:p>
            <w:pPr>
              <w:spacing w:line="240" w:lineRule="auto" w:before="0" w:after="0"/>
              <w:jc w:val="left"/>
            </w:pPr>
            <w:r>
              <w:rPr>
                <w:rFonts w:ascii="Times New Roman" w:hAnsi="Times New Roman" w:eastAsia="Times New Roman"/>
                <w:color w:val="000000"/>
                <w:sz w:val="14"/>
              </w:rPr>
              <w:t>14-cell conditional</w:t>
            </w:r>
          </w:p>
        </w:tc>
        <w:tc>
          <w:tcPr>
            <w:tcW w:type="dxa" w:w="2510"/>
          </w:tcPr>
          <w:p>
            <w:pPr>
              <w:spacing w:line="240" w:lineRule="auto" w:before="0" w:after="0"/>
              <w:jc w:val="right"/>
            </w:pPr>
            <w:r>
              <w:rPr>
                <w:rFonts w:ascii="Times New Roman" w:hAnsi="Times New Roman" w:eastAsia="Times New Roman"/>
                <w:color w:val="000000"/>
                <w:sz w:val="14"/>
              </w:rPr>
              <w:t>46.34%</w:t>
            </w:r>
          </w:p>
        </w:tc>
        <w:tc>
          <w:tcPr>
            <w:tcW w:type="dxa" w:w="2510"/>
          </w:tcPr>
          <w:p>
            <w:pPr>
              <w:spacing w:line="240" w:lineRule="auto" w:before="0" w:after="0"/>
              <w:jc w:val="left"/>
            </w:pPr>
            <w:r>
              <w:rPr>
                <w:rFonts w:ascii="Times New Roman" w:hAnsi="Times New Roman" w:eastAsia="Times New Roman"/>
                <w:color w:val="000000"/>
                <w:sz w:val="14"/>
              </w:rPr>
              <w:t>[46.34, 46.34] (deterministic)</w:t>
            </w:r>
          </w:p>
        </w:tc>
      </w:tr>
      <w:tr>
        <w:tc>
          <w:tcPr>
            <w:tcW w:type="dxa" w:w="2510"/>
          </w:tcPr>
          <w:p>
            <w:pPr>
              <w:spacing w:line="240" w:lineRule="auto" w:before="0" w:after="0"/>
              <w:jc w:val="left"/>
            </w:pPr>
            <w:r>
              <w:rPr>
                <w:rFonts w:ascii="Times New Roman" w:hAnsi="Times New Roman" w:eastAsia="Times New Roman"/>
                <w:color w:val="000000"/>
                <w:sz w:val="14"/>
              </w:rPr>
              <w:t>B4</w:t>
            </w:r>
          </w:p>
        </w:tc>
        <w:tc>
          <w:tcPr>
            <w:tcW w:type="dxa" w:w="2510"/>
          </w:tcPr>
          <w:p>
            <w:pPr>
              <w:spacing w:line="240" w:lineRule="auto" w:before="0" w:after="0"/>
              <w:jc w:val="left"/>
            </w:pPr>
            <w:r>
              <w:rPr>
                <w:rFonts w:ascii="Times New Roman" w:hAnsi="Times New Roman" w:eastAsia="Times New Roman"/>
                <w:color w:val="000000"/>
                <w:sz w:val="14"/>
              </w:rPr>
              <w:t>Extended (age + age × cluster)</w:t>
            </w:r>
          </w:p>
        </w:tc>
        <w:tc>
          <w:tcPr>
            <w:tcW w:type="dxa" w:w="2510"/>
          </w:tcPr>
          <w:p>
            <w:pPr>
              <w:spacing w:line="240" w:lineRule="auto" w:before="0" w:after="0"/>
              <w:jc w:val="right"/>
            </w:pPr>
            <w:r>
              <w:rPr>
                <w:rFonts w:ascii="Times New Roman" w:hAnsi="Times New Roman" w:eastAsia="Times New Roman"/>
                <w:color w:val="000000"/>
                <w:sz w:val="14"/>
              </w:rPr>
              <w:t>47.04%</w:t>
            </w:r>
          </w:p>
        </w:tc>
        <w:tc>
          <w:tcPr>
            <w:tcW w:type="dxa" w:w="2510"/>
          </w:tcPr>
          <w:p>
            <w:pPr>
              <w:spacing w:line="240" w:lineRule="auto" w:before="0" w:after="0"/>
              <w:jc w:val="left"/>
            </w:pPr>
            <w:r>
              <w:rPr>
                <w:rFonts w:ascii="Times New Roman" w:hAnsi="Times New Roman" w:eastAsia="Times New Roman"/>
                <w:color w:val="000000"/>
                <w:sz w:val="14"/>
              </w:rPr>
              <w:t>[45.02, 49.05]</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p>
      <w:pPr>
        <w:spacing w:line="240" w:lineRule="auto" w:before="0" w:after="0"/>
        <w:ind w:firstLine="180"/>
        <w:jc w:val="both"/>
      </w:pPr>
      <w:r>
        <w:rPr>
          <w:rFonts w:ascii="Times New Roman" w:hAnsi="Times New Roman" w:eastAsia="Times New Roman"/>
          <w:color w:val="000000"/>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color w:val="000000"/>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80" w:after="40"/>
      </w:pPr>
      <w:r>
        <w:rPr>
          <w:rFonts w:ascii="Times New Roman" w:hAnsi="Times New Roman" w:eastAsia="Times New Roman"/>
          <w:b/>
          <w:color w:val="000000"/>
          <w:sz w:val="20"/>
        </w:rPr>
        <w:t>E. Common-method-variance diagnostic (Stage 5)</w:t>
      </w:r>
    </w:p>
    <w:p>
      <w:pPr>
        <w:spacing w:line="240" w:lineRule="auto" w:before="0" w:after="0"/>
        <w:ind w:firstLine="180"/>
        <w:jc w:val="both"/>
      </w:pPr>
      <w:r>
        <w:rPr>
          <w:rFonts w:ascii="Times New Roman" w:hAnsi="Times New Roman" w:eastAsia="Times New Roman"/>
          <w:color w:val="000000"/>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color w:val="000000"/>
          <w:sz w:val="20"/>
        </w:rPr>
        <w:t>First-factor variance: 24.08% (well below the 50% concern threshold);</w:t>
      </w:r>
    </w:p>
    <w:p>
      <w:pPr>
        <w:pStyle w:val="ListBullet"/>
        <w:spacing w:line="240" w:lineRule="auto" w:before="0" w:after="0"/>
        <w:jc w:val="both"/>
      </w:pPr>
      <w:r>
        <w:rPr>
          <w:rFonts w:ascii="Times New Roman" w:hAnsi="Times New Roman" w:eastAsia="Times New Roman"/>
          <w:color w:val="000000"/>
          <w:sz w:val="20"/>
        </w:rPr>
        <w:t>CMV concern flag: False;</w:t>
      </w:r>
    </w:p>
    <w:p>
      <w:pPr>
        <w:pStyle w:val="ListBullet"/>
        <w:spacing w:line="240" w:lineRule="auto" w:before="0" w:after="0"/>
        <w:jc w:val="both"/>
      </w:pPr>
      <w:r>
        <w:rPr>
          <w:rFonts w:ascii="Times New Roman" w:hAnsi="Times New Roman" w:eastAsia="Times New Roman"/>
          <w:color w:val="000000"/>
          <w:sz w:val="20"/>
        </w:rPr>
        <w:t>Marker-variable correction [30] using HEXACO Openness as theoretical marker:</w:t>
      </w:r>
    </w:p>
    <w:p>
      <w:pPr>
        <w:pStyle w:val="ListBullet"/>
        <w:spacing w:line="240" w:lineRule="auto" w:before="0" w:after="0"/>
        <w:jc w:val="both"/>
      </w:pPr>
      <w:r>
        <w:rPr>
          <w:rFonts w:ascii="Times New Roman" w:hAnsi="Times New Roman" w:eastAsia="Times New Roman"/>
          <w:color w:val="000000"/>
          <w:sz w:val="20"/>
        </w:rPr>
        <w:t>r(O, power harassment) = +0.068 (CMV estimate);</w:t>
      </w:r>
    </w:p>
    <w:p>
      <w:pPr>
        <w:pStyle w:val="ListBullet"/>
        <w:spacing w:line="240" w:lineRule="auto" w:before="0" w:after="0"/>
        <w:jc w:val="both"/>
      </w:pPr>
      <w:r>
        <w:rPr>
          <w:rFonts w:ascii="Times New Roman" w:hAnsi="Times New Roman" w:eastAsia="Times New Roman"/>
          <w:color w:val="000000"/>
          <w:sz w:val="20"/>
        </w:rPr>
        <w:t>r(O, gender harassment) = −0.181;</w:t>
      </w:r>
    </w:p>
    <w:p>
      <w:pPr>
        <w:pStyle w:val="ListBullet"/>
        <w:spacing w:line="240" w:lineRule="auto" w:before="0" w:after="0"/>
        <w:jc w:val="both"/>
      </w:pPr>
      <w:r>
        <w:rPr>
          <w:rFonts w:ascii="Times New Roman" w:hAnsi="Times New Roman" w:eastAsia="Times New Roman"/>
          <w:color w:val="000000"/>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color w:val="000000"/>
          <w:sz w:val="20"/>
        </w:rPr>
        <w:t>Psychopathy–power harassment association: r_raw = +0.391 → r_adjusted = +0.347.</w:t>
      </w:r>
    </w:p>
    <w:p>
      <w:pPr>
        <w:spacing w:line="240" w:lineRule="auto" w:before="0" w:after="0"/>
        <w:ind w:firstLine="180"/>
        <w:jc w:val="both"/>
      </w:pPr>
      <w:r>
        <w:rPr>
          <w:rFonts w:ascii="Times New Roman" w:hAnsi="Times New Roman" w:eastAsia="Times New Roman"/>
          <w:color w:val="000000"/>
          <w:sz w:val="20"/>
        </w:rPr>
        <w:t>Common-method bias does not pose substantial concern for the present data, and the post-correction associations remain in the expected directions.</w:t>
      </w:r>
    </w:p>
    <w:p>
      <w:pPr>
        <w:spacing w:line="240" w:lineRule="auto" w:before="80" w:after="40"/>
      </w:pPr>
      <w:r>
        <w:rPr>
          <w:rFonts w:ascii="Times New Roman" w:hAnsi="Times New Roman" w:eastAsia="Times New Roman"/>
          <w:b/>
          <w:color w:val="000000"/>
          <w:sz w:val="20"/>
        </w:rPr>
        <w:t>F. Counterfactual contrasts and H7 IUT (Stage 7)</w:t>
      </w:r>
    </w:p>
    <w:p>
      <w:pPr>
        <w:spacing w:line="240" w:lineRule="auto" w:before="0" w:after="0"/>
        <w:ind w:firstLine="180"/>
        <w:jc w:val="both"/>
      </w:pPr>
      <w:r>
        <w:rPr>
          <w:rFonts w:ascii="Times New Roman" w:hAnsi="Times New Roman" w:eastAsia="Times New Roman"/>
          <w:color w:val="000000"/>
          <w:sz w:val="20"/>
        </w:rPr>
        <w:t>The three pre-registered counterfactual interventions produced the following ΔP_x estimates (Table 4).</w:t>
      </w:r>
    </w:p>
    <w:p>
      <w:pPr>
        <w:spacing w:line="240" w:lineRule="auto" w:before="120" w:after="0"/>
        <w:jc w:val="center"/>
      </w:pPr>
      <w:r>
        <w:rPr>
          <w:rFonts w:ascii="Times New Roman" w:hAnsi="Times New Roman" w:eastAsia="Times New Roman"/>
          <w:color w:val="000000"/>
          <w:sz w:val="16"/>
        </w:rPr>
        <w:t>TABLE IV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COUNTERFACTUAL ΔP_X = (P̂_COUNTERFACTUAL − P̂_BASELINE) AT THE NATIONAL LEVEL</w:t>
            </w:r>
          </w:p>
        </w:tc>
      </w:tr>
      <w:tr>
        <w:tc>
          <w:tcPr>
            <w:tcW w:type="dxa" w:w="2008"/>
          </w:tcPr>
          <w:p>
            <w:pPr>
              <w:spacing w:line="240" w:lineRule="auto" w:before="0" w:after="0"/>
              <w:jc w:val="center"/>
            </w:pPr>
            <w:r>
              <w:rPr>
                <w:rFonts w:ascii="Times New Roman" w:hAnsi="Times New Roman" w:eastAsia="Times New Roman"/>
                <w:b/>
                <w:color w:val="000000"/>
                <w:sz w:val="14"/>
              </w:rPr>
              <w:t>Intervention</w:t>
            </w:r>
          </w:p>
        </w:tc>
        <w:tc>
          <w:tcPr>
            <w:tcW w:type="dxa" w:w="2008"/>
          </w:tcPr>
          <w:p>
            <w:pPr>
              <w:spacing w:line="240" w:lineRule="auto" w:before="0" w:after="0"/>
              <w:jc w:val="center"/>
            </w:pPr>
            <w:r>
              <w:rPr>
                <w:rFonts w:ascii="Times New Roman" w:hAnsi="Times New Roman" w:eastAsia="Times New Roman"/>
                <w:b/>
                <w:color w:val="000000"/>
                <w:sz w:val="14"/>
              </w:rPr>
              <w:t>Operationalization</w:t>
            </w:r>
          </w:p>
        </w:tc>
        <w:tc>
          <w:tcPr>
            <w:tcW w:type="dxa" w:w="2008"/>
          </w:tcPr>
          <w:p>
            <w:pPr>
              <w:spacing w:line="240" w:lineRule="auto" w:before="0" w:after="0"/>
              <w:jc w:val="center"/>
            </w:pPr>
            <w:r>
              <w:rPr>
                <w:rFonts w:ascii="Times New Roman" w:hAnsi="Times New Roman" w:eastAsia="Times New Roman"/>
                <w:b/>
                <w:color w:val="000000"/>
                <w:sz w:val="14"/>
              </w:rPr>
              <w:t>ΔP point</w:t>
            </w:r>
          </w:p>
        </w:tc>
        <w:tc>
          <w:tcPr>
            <w:tcW w:type="dxa" w:w="2008"/>
          </w:tcPr>
          <w:p>
            <w:pPr>
              <w:spacing w:line="240" w:lineRule="auto" w:before="0" w:after="0"/>
              <w:jc w:val="center"/>
            </w:pPr>
            <w:r>
              <w:rPr>
                <w:rFonts w:ascii="Times New Roman" w:hAnsi="Times New Roman" w:eastAsia="Times New Roman"/>
                <w:b/>
                <w:color w:val="000000"/>
                <w:sz w:val="14"/>
              </w:rPr>
              <w:t>95% CI</w:t>
            </w:r>
          </w:p>
        </w:tc>
        <w:tc>
          <w:tcPr>
            <w:tcW w:type="dxa" w:w="2008"/>
          </w:tcPr>
          <w:p>
            <w:pPr>
              <w:spacing w:line="240" w:lineRule="auto" w:before="0" w:after="0"/>
              <w:jc w:val="center"/>
            </w:pPr>
            <w:r>
              <w:rPr>
                <w:rFonts w:ascii="Times New Roman" w:hAnsi="Times New Roman" w:eastAsia="Times New Roman"/>
                <w:b/>
                <w:color w:val="000000"/>
                <w:sz w:val="14"/>
              </w:rPr>
              <w:t>Decision (CI excludes 0?)</w:t>
            </w:r>
          </w:p>
        </w:tc>
      </w:tr>
      <w:tr>
        <w:tc>
          <w:tcPr>
            <w:tcW w:type="dxa" w:w="2008"/>
          </w:tcPr>
          <w:p>
            <w:pPr>
              <w:spacing w:line="240" w:lineRule="auto" w:before="0" w:after="0"/>
              <w:jc w:val="left"/>
            </w:pPr>
            <w:r>
              <w:rPr>
                <w:rFonts w:ascii="Times New Roman" w:hAnsi="Times New Roman" w:eastAsia="Times New Roman"/>
                <w:color w:val="000000"/>
                <w:sz w:val="14"/>
              </w:rPr>
              <w:t>Counterfactual A</w:t>
            </w:r>
          </w:p>
        </w:tc>
        <w:tc>
          <w:tcPr>
            <w:tcW w:type="dxa" w:w="2008"/>
          </w:tcPr>
          <w:p>
            <w:pPr>
              <w:spacing w:line="240" w:lineRule="auto" w:before="0" w:after="0"/>
              <w:jc w:val="left"/>
            </w:pPr>
            <w:r>
              <w:rPr>
                <w:rFonts w:ascii="Times New Roman" w:hAnsi="Times New Roman" w:eastAsia="Times New Roman"/>
                <w:color w:val="000000"/>
                <w:sz w:val="14"/>
              </w:rPr>
              <w:t>do(HH ← HH + 0.3σ; A ← A + 0.3σ; E ← E + 0.3σ)</w:t>
            </w:r>
          </w:p>
        </w:tc>
        <w:tc>
          <w:tcPr>
            <w:tcW w:type="dxa" w:w="2008"/>
          </w:tcPr>
          <w:p>
            <w:pPr>
              <w:spacing w:line="240" w:lineRule="auto" w:before="0" w:after="0"/>
              <w:jc w:val="right"/>
            </w:pPr>
            <w:r>
              <w:rPr>
                <w:rFonts w:ascii="Times New Roman" w:hAnsi="Times New Roman" w:eastAsia="Times New Roman"/>
                <w:color w:val="000000"/>
                <w:sz w:val="14"/>
              </w:rPr>
              <w:t>−0.0061</w:t>
            </w:r>
          </w:p>
        </w:tc>
        <w:tc>
          <w:tcPr>
            <w:tcW w:type="dxa" w:w="2008"/>
          </w:tcPr>
          <w:p>
            <w:pPr>
              <w:spacing w:line="240" w:lineRule="auto" w:before="0" w:after="0"/>
              <w:jc w:val="left"/>
            </w:pPr>
            <w:r>
              <w:rPr>
                <w:rFonts w:ascii="Times New Roman" w:hAnsi="Times New Roman" w:eastAsia="Times New Roman"/>
                <w:color w:val="000000"/>
                <w:sz w:val="14"/>
              </w:rPr>
              <w:t>[−0.0207, +0.0062]</w:t>
            </w:r>
          </w:p>
        </w:tc>
        <w:tc>
          <w:tcPr>
            <w:tcW w:type="dxa" w:w="2008"/>
          </w:tcPr>
          <w:p>
            <w:pPr>
              <w:spacing w:line="240" w:lineRule="auto" w:before="0" w:after="0"/>
              <w:jc w:val="left"/>
            </w:pPr>
            <w:r>
              <w:rPr>
                <w:rFonts w:ascii="Times New Roman" w:hAnsi="Times New Roman" w:eastAsia="Times New Roman"/>
                <w:color w:val="000000"/>
                <w:sz w:val="14"/>
              </w:rPr>
              <w:t>No (null)</w:t>
            </w:r>
          </w:p>
        </w:tc>
      </w:tr>
      <w:tr>
        <w:tc>
          <w:tcPr>
            <w:tcW w:type="dxa" w:w="2008"/>
          </w:tcPr>
          <w:p>
            <w:pPr>
              <w:spacing w:line="240" w:lineRule="auto" w:before="0" w:after="0"/>
              <w:jc w:val="left"/>
            </w:pPr>
            <w:r>
              <w:rPr>
                <w:rFonts w:ascii="Times New Roman" w:hAnsi="Times New Roman" w:eastAsia="Times New Roman"/>
                <w:color w:val="000000"/>
                <w:sz w:val="14"/>
              </w:rPr>
              <w:t>Counterfactual B</w:t>
            </w:r>
          </w:p>
        </w:tc>
        <w:tc>
          <w:tcPr>
            <w:tcW w:type="dxa" w:w="2008"/>
          </w:tcPr>
          <w:p>
            <w:pPr>
              <w:spacing w:line="240" w:lineRule="auto" w:before="0" w:after="0"/>
              <w:jc w:val="left"/>
            </w:pPr>
            <w:r>
              <w:rPr>
                <w:rFonts w:ascii="Times New Roman" w:hAnsi="Times New Roman" w:eastAsia="Times New Roman"/>
                <w:color w:val="000000"/>
                <w:sz w:val="14"/>
              </w:rPr>
              <w:t>do(HH := HH + 0.40σ_HH) for individuals whose baseline cluster ∈ {0, 4, 6}</w:t>
            </w:r>
          </w:p>
        </w:tc>
        <w:tc>
          <w:tcPr>
            <w:tcW w:type="dxa" w:w="2008"/>
          </w:tcPr>
          <w:p>
            <w:pPr>
              <w:spacing w:line="240" w:lineRule="auto" w:before="0" w:after="0"/>
              <w:jc w:val="right"/>
            </w:pPr>
            <w:r>
              <w:rPr>
                <w:rFonts w:ascii="Times New Roman" w:hAnsi="Times New Roman" w:eastAsia="Times New Roman"/>
                <w:color w:val="000000"/>
                <w:sz w:val="14"/>
              </w:rPr>
              <w:t>−0.0059</w:t>
            </w:r>
          </w:p>
        </w:tc>
        <w:tc>
          <w:tcPr>
            <w:tcW w:type="dxa" w:w="2008"/>
          </w:tcPr>
          <w:p>
            <w:pPr>
              <w:spacing w:line="240" w:lineRule="auto" w:before="0" w:after="0"/>
              <w:jc w:val="left"/>
            </w:pPr>
            <w:r>
              <w:rPr>
                <w:rFonts w:ascii="Times New Roman" w:hAnsi="Times New Roman" w:eastAsia="Times New Roman"/>
                <w:color w:val="000000"/>
                <w:sz w:val="14"/>
              </w:rPr>
              <w:t>[−0.0207, +0.0066]</w:t>
            </w:r>
          </w:p>
        </w:tc>
        <w:tc>
          <w:tcPr>
            <w:tcW w:type="dxa" w:w="2008"/>
          </w:tcPr>
          <w:p>
            <w:pPr>
              <w:spacing w:line="240" w:lineRule="auto" w:before="0" w:after="0"/>
              <w:jc w:val="left"/>
            </w:pPr>
            <w:r>
              <w:rPr>
                <w:rFonts w:ascii="Times New Roman" w:hAnsi="Times New Roman" w:eastAsia="Times New Roman"/>
                <w:color w:val="000000"/>
                <w:sz w:val="14"/>
              </w:rPr>
              <w:t>No (null)</w:t>
            </w:r>
          </w:p>
        </w:tc>
      </w:tr>
      <w:tr>
        <w:tc>
          <w:tcPr>
            <w:tcW w:type="dxa" w:w="2008"/>
          </w:tcPr>
          <w:p>
            <w:pPr>
              <w:spacing w:line="240" w:lineRule="auto" w:before="0" w:after="0"/>
              <w:jc w:val="left"/>
            </w:pPr>
            <w:r>
              <w:rPr>
                <w:rFonts w:ascii="Times New Roman" w:hAnsi="Times New Roman" w:eastAsia="Times New Roman"/>
                <w:color w:val="000000"/>
                <w:sz w:val="14"/>
              </w:rPr>
              <w:t>Counterfactual C</w:t>
            </w:r>
          </w:p>
        </w:tc>
        <w:tc>
          <w:tcPr>
            <w:tcW w:type="dxa" w:w="2008"/>
          </w:tcPr>
          <w:p>
            <w:pPr>
              <w:spacing w:line="240" w:lineRule="auto" w:before="0" w:after="0"/>
              <w:jc w:val="left"/>
            </w:pPr>
            <w:r>
              <w:rPr>
                <w:rFonts w:ascii="Times New Roman" w:hAnsi="Times New Roman" w:eastAsia="Times New Roman"/>
                <w:color w:val="000000"/>
                <w:sz w:val="14"/>
              </w:rPr>
              <w:t>do(P_{c, x} ← 0.80 × P_{c, x})</w:t>
            </w:r>
          </w:p>
        </w:tc>
        <w:tc>
          <w:tcPr>
            <w:tcW w:type="dxa" w:w="2008"/>
          </w:tcPr>
          <w:p>
            <w:pPr>
              <w:spacing w:line="240" w:lineRule="auto" w:before="0" w:after="0"/>
              <w:jc w:val="right"/>
            </w:pPr>
            <w:r>
              <w:rPr>
                <w:rFonts w:ascii="Times New Roman" w:hAnsi="Times New Roman" w:eastAsia="Times New Roman"/>
                <w:color w:val="000000"/>
                <w:sz w:val="14"/>
              </w:rPr>
              <w:t>+0.0349</w:t>
            </w:r>
          </w:p>
        </w:tc>
        <w:tc>
          <w:tcPr>
            <w:tcW w:type="dxa" w:w="2008"/>
          </w:tcPr>
          <w:p>
            <w:pPr>
              <w:spacing w:line="240" w:lineRule="auto" w:before="0" w:after="0"/>
              <w:jc w:val="left"/>
            </w:pPr>
            <w:r>
              <w:rPr>
                <w:rFonts w:ascii="Times New Roman" w:hAnsi="Times New Roman" w:eastAsia="Times New Roman"/>
                <w:color w:val="000000"/>
                <w:sz w:val="14"/>
              </w:rPr>
              <w:t>[+0.0264, +0.0435]</w:t>
            </w:r>
          </w:p>
        </w:tc>
        <w:tc>
          <w:tcPr>
            <w:tcW w:type="dxa" w:w="2008"/>
          </w:tcPr>
          <w:p>
            <w:pPr>
              <w:spacing w:line="240" w:lineRule="auto" w:before="0" w:after="0"/>
              <w:jc w:val="left"/>
            </w:pPr>
            <w:r>
              <w:rPr>
                <w:rFonts w:ascii="Times New Roman" w:hAnsi="Times New Roman" w:eastAsia="Times New Roman"/>
                <w:color w:val="000000"/>
                <w:sz w:val="14"/>
              </w:rPr>
              <w:t>Yes (positive)</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cell-stratified bootstrap. Positive ΔP indicates reduction in prevalence (per pre-registration v2.0 sign convention).</w:t>
      </w:r>
    </w:p>
    <w:p>
      <w:pPr>
        <w:spacing w:line="240" w:lineRule="auto" w:before="0" w:after="0"/>
        <w:ind w:firstLine="180"/>
        <w:jc w:val="both"/>
      </w:pPr>
      <w:r>
        <w:rPr>
          <w:rFonts w:ascii="Times New Roman" w:hAnsi="Times New Roman" w:eastAsia="Times New Roman"/>
          <w:color w:val="000000"/>
          <w:sz w:val="20"/>
        </w:rPr>
        <w:t>The intersection-union test [29] produced one-sided 95% lower bounds L_BA = −0.0011 and L_BC = −0.0544. Because point ΔP_B = −0.0059 is less than point ΔP_C = +0.0349, the priority-1 condition is satisfied and H7 is classified as REVERSAL. We note that the priority-1 trigger uses the ΔP_B point estimate, which is downgraded to exploratory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240" w:lineRule="auto" w:before="0" w:after="0"/>
        <w:ind w:firstLine="180"/>
        <w:jc w:val="both"/>
      </w:pPr>
      <w:r>
        <w:rPr>
          <w:rFonts w:ascii="Times New Roman" w:hAnsi="Times New Roman" w:eastAsia="Times New Roman"/>
          <w:color w:val="000000"/>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color w:val="000000"/>
          <w:sz w:val="20"/>
        </w:rPr>
        <w:t>Positivity diagnostic.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80" w:after="40"/>
      </w:pPr>
      <w:r>
        <w:rPr>
          <w:rFonts w:ascii="Times New Roman" w:hAnsi="Times New Roman" w:eastAsia="Times New Roman"/>
          <w:b/>
          <w:color w:val="000000"/>
          <w:sz w:val="20"/>
        </w:rPr>
        <w:t>G. Transportability sensitivity (Stage 8)</w:t>
      </w:r>
    </w:p>
    <w:p>
      <w:pPr>
        <w:spacing w:line="240" w:lineRule="auto" w:before="0" w:after="0"/>
        <w:ind w:firstLine="180"/>
        <w:jc w:val="both"/>
      </w:pPr>
      <w:r>
        <w:rPr>
          <w:rFonts w:ascii="Times New Roman" w:hAnsi="Times New Roman" w:eastAsia="Times New Roman"/>
          <w:color w:val="000000"/>
          <w:sz w:val="20"/>
        </w:rPr>
        <w:t>Per the pre-registered cultural-attenuation sweep, all three ΔP_x bootstrap distributions were multiplied by transportability factor F ∈ {0.3, 0.5, 0.7, 1.0}, and the H7 IUT was re-classified per factor (Table 5).</w:t>
      </w:r>
    </w:p>
    <w:p>
      <w:pPr>
        <w:spacing w:line="240" w:lineRule="auto" w:before="120" w:after="0"/>
        <w:jc w:val="center"/>
      </w:pPr>
      <w:r>
        <w:rPr>
          <w:rFonts w:ascii="Times New Roman" w:hAnsi="Times New Roman" w:eastAsia="Times New Roman"/>
          <w:color w:val="000000"/>
          <w:sz w:val="16"/>
        </w:rPr>
        <w:t>TABLE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H7 CLASSIFICATION UNDER CULTURAL ATTENUATION FACTORS</w:t>
            </w:r>
          </w:p>
        </w:tc>
      </w:tr>
      <w:tr>
        <w:tc>
          <w:tcPr>
            <w:tcW w:type="dxa" w:w="2008"/>
          </w:tcPr>
          <w:p>
            <w:pPr>
              <w:spacing w:line="240" w:lineRule="auto" w:before="0" w:after="0"/>
              <w:jc w:val="center"/>
            </w:pPr>
            <w:r>
              <w:rPr>
                <w:rFonts w:ascii="Times New Roman" w:hAnsi="Times New Roman" w:eastAsia="Times New Roman"/>
                <w:b/>
                <w:color w:val="000000"/>
                <w:sz w:val="14"/>
              </w:rPr>
              <w:t>Factor F</w:t>
            </w:r>
          </w:p>
        </w:tc>
        <w:tc>
          <w:tcPr>
            <w:tcW w:type="dxa" w:w="2008"/>
          </w:tcPr>
          <w:p>
            <w:pPr>
              <w:spacing w:line="240" w:lineRule="auto" w:before="0" w:after="0"/>
              <w:jc w:val="center"/>
            </w:pPr>
            <w:r>
              <w:rPr>
                <w:rFonts w:ascii="Times New Roman" w:hAnsi="Times New Roman" w:eastAsia="Times New Roman"/>
                <w:b/>
                <w:color w:val="000000"/>
                <w:sz w:val="14"/>
              </w:rPr>
              <w:t>Anchor</w:t>
            </w:r>
          </w:p>
        </w:tc>
        <w:tc>
          <w:tcPr>
            <w:tcW w:type="dxa" w:w="2008"/>
          </w:tcPr>
          <w:p>
            <w:pPr>
              <w:spacing w:line="240" w:lineRule="auto" w:before="0" w:after="0"/>
              <w:jc w:val="center"/>
            </w:pPr>
            <w:r>
              <w:rPr>
                <w:rFonts w:ascii="Times New Roman" w:hAnsi="Times New Roman" w:eastAsia="Times New Roman"/>
                <w:b/>
                <w:color w:val="000000"/>
                <w:sz w:val="14"/>
              </w:rPr>
              <w:t>ΔP_A (attenuated)</w:t>
            </w:r>
          </w:p>
        </w:tc>
        <w:tc>
          <w:tcPr>
            <w:tcW w:type="dxa" w:w="2008"/>
          </w:tcPr>
          <w:p>
            <w:pPr>
              <w:spacing w:line="240" w:lineRule="auto" w:before="0" w:after="0"/>
              <w:jc w:val="center"/>
            </w:pPr>
            <w:r>
              <w:rPr>
                <w:rFonts w:ascii="Times New Roman" w:hAnsi="Times New Roman" w:eastAsia="Times New Roman"/>
                <w:b/>
                <w:color w:val="000000"/>
                <w:sz w:val="14"/>
              </w:rPr>
              <w:t>ΔP_C (attenuated)</w:t>
            </w:r>
          </w:p>
        </w:tc>
        <w:tc>
          <w:tcPr>
            <w:tcW w:type="dxa" w:w="2008"/>
          </w:tcPr>
          <w:p>
            <w:pPr>
              <w:spacing w:line="240" w:lineRule="auto" w:before="0" w:after="0"/>
              <w:jc w:val="center"/>
            </w:pPr>
            <w:r>
              <w:rPr>
                <w:rFonts w:ascii="Times New Roman" w:hAnsi="Times New Roman" w:eastAsia="Times New Roman"/>
                <w:b/>
                <w:color w:val="000000"/>
                <w:sz w:val="14"/>
              </w:rPr>
              <w:t>H7</w:t>
            </w:r>
          </w:p>
        </w:tc>
      </w:tr>
      <w:tr>
        <w:tc>
          <w:tcPr>
            <w:tcW w:type="dxa" w:w="2008"/>
          </w:tcPr>
          <w:p>
            <w:pPr>
              <w:spacing w:line="240" w:lineRule="auto" w:before="0" w:after="0"/>
              <w:jc w:val="left"/>
            </w:pPr>
            <w:r>
              <w:rPr>
                <w:rFonts w:ascii="Times New Roman" w:hAnsi="Times New Roman" w:eastAsia="Times New Roman"/>
                <w:color w:val="000000"/>
                <w:sz w:val="14"/>
              </w:rPr>
              <w:t>0.3</w:t>
            </w:r>
          </w:p>
        </w:tc>
        <w:tc>
          <w:tcPr>
            <w:tcW w:type="dxa" w:w="2008"/>
          </w:tcPr>
          <w:p>
            <w:pPr>
              <w:spacing w:line="240" w:lineRule="auto" w:before="0" w:after="0"/>
              <w:jc w:val="left"/>
            </w:pPr>
            <w:r>
              <w:rPr>
                <w:rFonts w:ascii="Times New Roman" w:hAnsi="Times New Roman" w:eastAsia="Times New Roman"/>
                <w:color w:val="000000"/>
                <w:sz w:val="14"/>
              </w:rPr>
              <w:t>Conservative cross-cultural worst case</w:t>
            </w:r>
          </w:p>
        </w:tc>
        <w:tc>
          <w:tcPr>
            <w:tcW w:type="dxa" w:w="2008"/>
          </w:tcPr>
          <w:p>
            <w:pPr>
              <w:spacing w:line="240" w:lineRule="auto" w:before="0" w:after="0"/>
              <w:jc w:val="right"/>
            </w:pPr>
            <w:r>
              <w:rPr>
                <w:rFonts w:ascii="Times New Roman" w:hAnsi="Times New Roman" w:eastAsia="Times New Roman"/>
                <w:color w:val="000000"/>
                <w:sz w:val="14"/>
              </w:rPr>
              <w:t>−0.0018</w:t>
            </w:r>
          </w:p>
        </w:tc>
        <w:tc>
          <w:tcPr>
            <w:tcW w:type="dxa" w:w="2008"/>
          </w:tcPr>
          <w:p>
            <w:pPr>
              <w:spacing w:line="240" w:lineRule="auto" w:before="0" w:after="0"/>
              <w:jc w:val="right"/>
            </w:pPr>
            <w:r>
              <w:rPr>
                <w:rFonts w:ascii="Times New Roman" w:hAnsi="Times New Roman" w:eastAsia="Times New Roman"/>
                <w:color w:val="000000"/>
                <w:sz w:val="14"/>
              </w:rPr>
              <w:t>+0.0105</w:t>
            </w:r>
          </w:p>
        </w:tc>
        <w:tc>
          <w:tcPr>
            <w:tcW w:type="dxa" w:w="2008"/>
          </w:tcPr>
          <w:p>
            <w:pPr>
              <w:spacing w:line="240" w:lineRule="auto" w:before="0" w:after="0"/>
              <w:jc w:val="left"/>
            </w:pPr>
            <w:r>
              <w:rPr>
                <w:rFonts w:ascii="Times New Roman" w:hAnsi="Times New Roman" w:eastAsia="Times New Roman"/>
                <w:color w:val="000000"/>
                <w:sz w:val="14"/>
              </w:rPr>
              <w:t>REVERSAL</w:t>
            </w:r>
          </w:p>
        </w:tc>
      </w:tr>
      <w:tr>
        <w:tc>
          <w:tcPr>
            <w:tcW w:type="dxa" w:w="2008"/>
          </w:tcPr>
          <w:p>
            <w:pPr>
              <w:spacing w:line="240" w:lineRule="auto" w:before="0" w:after="0"/>
              <w:jc w:val="left"/>
            </w:pPr>
            <w:r>
              <w:rPr>
                <w:rFonts w:ascii="Times New Roman" w:hAnsi="Times New Roman" w:eastAsia="Times New Roman"/>
                <w:color w:val="000000"/>
                <w:sz w:val="14"/>
              </w:rPr>
              <w:t>0.5</w:t>
            </w:r>
          </w:p>
        </w:tc>
        <w:tc>
          <w:tcPr>
            <w:tcW w:type="dxa" w:w="2008"/>
          </w:tcPr>
          <w:p>
            <w:pPr>
              <w:spacing w:line="240" w:lineRule="auto" w:before="0" w:after="0"/>
              <w:jc w:val="left"/>
            </w:pPr>
            <w:r>
              <w:rPr>
                <w:rFonts w:ascii="Times New Roman" w:hAnsi="Times New Roman" w:eastAsia="Times New Roman"/>
                <w:color w:val="000000"/>
                <w:sz w:val="14"/>
              </w:rPr>
              <w:t>Nielsen et al., 2017 expected</w:t>
            </w:r>
          </w:p>
        </w:tc>
        <w:tc>
          <w:tcPr>
            <w:tcW w:type="dxa" w:w="2008"/>
          </w:tcPr>
          <w:p>
            <w:pPr>
              <w:spacing w:line="240" w:lineRule="auto" w:before="0" w:after="0"/>
              <w:jc w:val="right"/>
            </w:pPr>
            <w:r>
              <w:rPr>
                <w:rFonts w:ascii="Times New Roman" w:hAnsi="Times New Roman" w:eastAsia="Times New Roman"/>
                <w:color w:val="000000"/>
                <w:sz w:val="14"/>
              </w:rPr>
              <w:t>−0.0031</w:t>
            </w:r>
          </w:p>
        </w:tc>
        <w:tc>
          <w:tcPr>
            <w:tcW w:type="dxa" w:w="2008"/>
          </w:tcPr>
          <w:p>
            <w:pPr>
              <w:spacing w:line="240" w:lineRule="auto" w:before="0" w:after="0"/>
              <w:jc w:val="right"/>
            </w:pPr>
            <w:r>
              <w:rPr>
                <w:rFonts w:ascii="Times New Roman" w:hAnsi="Times New Roman" w:eastAsia="Times New Roman"/>
                <w:color w:val="000000"/>
                <w:sz w:val="14"/>
              </w:rPr>
              <w:t>+0.0174</w:t>
            </w:r>
          </w:p>
        </w:tc>
        <w:tc>
          <w:tcPr>
            <w:tcW w:type="dxa" w:w="2008"/>
          </w:tcPr>
          <w:p>
            <w:pPr>
              <w:spacing w:line="240" w:lineRule="auto" w:before="0" w:after="0"/>
              <w:jc w:val="left"/>
            </w:pPr>
            <w:r>
              <w:rPr>
                <w:rFonts w:ascii="Times New Roman" w:hAnsi="Times New Roman" w:eastAsia="Times New Roman"/>
                <w:color w:val="000000"/>
                <w:sz w:val="14"/>
              </w:rPr>
              <w:t>REVERSAL</w:t>
            </w:r>
          </w:p>
        </w:tc>
      </w:tr>
      <w:tr>
        <w:tc>
          <w:tcPr>
            <w:tcW w:type="dxa" w:w="2008"/>
          </w:tcPr>
          <w:p>
            <w:pPr>
              <w:spacing w:line="240" w:lineRule="auto" w:before="0" w:after="0"/>
              <w:jc w:val="left"/>
            </w:pPr>
            <w:r>
              <w:rPr>
                <w:rFonts w:ascii="Times New Roman" w:hAnsi="Times New Roman" w:eastAsia="Times New Roman"/>
                <w:color w:val="000000"/>
                <w:sz w:val="14"/>
              </w:rPr>
              <w:t>0.7</w:t>
            </w:r>
          </w:p>
        </w:tc>
        <w:tc>
          <w:tcPr>
            <w:tcW w:type="dxa" w:w="2008"/>
          </w:tcPr>
          <w:p>
            <w:pPr>
              <w:spacing w:line="240" w:lineRule="auto" w:before="0" w:after="0"/>
              <w:jc w:val="left"/>
            </w:pPr>
            <w:r>
              <w:rPr>
                <w:rFonts w:ascii="Times New Roman" w:hAnsi="Times New Roman" w:eastAsia="Times New Roman"/>
                <w:color w:val="000000"/>
                <w:sz w:val="14"/>
              </w:rPr>
              <w:t>Mild attenuation</w:t>
            </w:r>
          </w:p>
        </w:tc>
        <w:tc>
          <w:tcPr>
            <w:tcW w:type="dxa" w:w="2008"/>
          </w:tcPr>
          <w:p>
            <w:pPr>
              <w:spacing w:line="240" w:lineRule="auto" w:before="0" w:after="0"/>
              <w:jc w:val="right"/>
            </w:pPr>
            <w:r>
              <w:rPr>
                <w:rFonts w:ascii="Times New Roman" w:hAnsi="Times New Roman" w:eastAsia="Times New Roman"/>
                <w:color w:val="000000"/>
                <w:sz w:val="14"/>
              </w:rPr>
              <w:t>−0.0043</w:t>
            </w:r>
          </w:p>
        </w:tc>
        <w:tc>
          <w:tcPr>
            <w:tcW w:type="dxa" w:w="2008"/>
          </w:tcPr>
          <w:p>
            <w:pPr>
              <w:spacing w:line="240" w:lineRule="auto" w:before="0" w:after="0"/>
              <w:jc w:val="right"/>
            </w:pPr>
            <w:r>
              <w:rPr>
                <w:rFonts w:ascii="Times New Roman" w:hAnsi="Times New Roman" w:eastAsia="Times New Roman"/>
                <w:color w:val="000000"/>
                <w:sz w:val="14"/>
              </w:rPr>
              <w:t>+0.0244</w:t>
            </w:r>
          </w:p>
        </w:tc>
        <w:tc>
          <w:tcPr>
            <w:tcW w:type="dxa" w:w="2008"/>
          </w:tcPr>
          <w:p>
            <w:pPr>
              <w:spacing w:line="240" w:lineRule="auto" w:before="0" w:after="0"/>
              <w:jc w:val="left"/>
            </w:pPr>
            <w:r>
              <w:rPr>
                <w:rFonts w:ascii="Times New Roman" w:hAnsi="Times New Roman" w:eastAsia="Times New Roman"/>
                <w:color w:val="000000"/>
                <w:sz w:val="14"/>
              </w:rPr>
              <w:t>REVERSAL</w:t>
            </w:r>
          </w:p>
        </w:tc>
      </w:tr>
      <w:tr>
        <w:tc>
          <w:tcPr>
            <w:tcW w:type="dxa" w:w="2008"/>
          </w:tcPr>
          <w:p>
            <w:pPr>
              <w:spacing w:line="240" w:lineRule="auto" w:before="0" w:after="0"/>
              <w:jc w:val="left"/>
            </w:pPr>
            <w:r>
              <w:rPr>
                <w:rFonts w:ascii="Times New Roman" w:hAnsi="Times New Roman" w:eastAsia="Times New Roman"/>
                <w:color w:val="000000"/>
                <w:sz w:val="14"/>
              </w:rPr>
              <w:t>1.0</w:t>
            </w:r>
          </w:p>
        </w:tc>
        <w:tc>
          <w:tcPr>
            <w:tcW w:type="dxa" w:w="2008"/>
          </w:tcPr>
          <w:p>
            <w:pPr>
              <w:spacing w:line="240" w:lineRule="auto" w:before="0" w:after="0"/>
              <w:jc w:val="left"/>
            </w:pPr>
            <w:r>
              <w:rPr>
                <w:rFonts w:ascii="Times New Roman" w:hAnsi="Times New Roman" w:eastAsia="Times New Roman"/>
                <w:color w:val="000000"/>
                <w:sz w:val="14"/>
              </w:rPr>
              <w:t>Reference (no attenuation)</w:t>
            </w:r>
          </w:p>
        </w:tc>
        <w:tc>
          <w:tcPr>
            <w:tcW w:type="dxa" w:w="2008"/>
          </w:tcPr>
          <w:p>
            <w:pPr>
              <w:spacing w:line="240" w:lineRule="auto" w:before="0" w:after="0"/>
              <w:jc w:val="right"/>
            </w:pPr>
            <w:r>
              <w:rPr>
                <w:rFonts w:ascii="Times New Roman" w:hAnsi="Times New Roman" w:eastAsia="Times New Roman"/>
                <w:color w:val="000000"/>
                <w:sz w:val="14"/>
              </w:rPr>
              <w:t>−0.0061</w:t>
            </w:r>
          </w:p>
        </w:tc>
        <w:tc>
          <w:tcPr>
            <w:tcW w:type="dxa" w:w="2008"/>
          </w:tcPr>
          <w:p>
            <w:pPr>
              <w:spacing w:line="240" w:lineRule="auto" w:before="0" w:after="0"/>
              <w:jc w:val="right"/>
            </w:pPr>
            <w:r>
              <w:rPr>
                <w:rFonts w:ascii="Times New Roman" w:hAnsi="Times New Roman" w:eastAsia="Times New Roman"/>
                <w:color w:val="000000"/>
                <w:sz w:val="14"/>
              </w:rPr>
              <w:t>+0.0349</w:t>
            </w:r>
          </w:p>
        </w:tc>
        <w:tc>
          <w:tcPr>
            <w:tcW w:type="dxa" w:w="2008"/>
          </w:tcPr>
          <w:p>
            <w:pPr>
              <w:spacing w:line="240" w:lineRule="auto" w:before="0" w:after="0"/>
              <w:jc w:val="left"/>
            </w:pPr>
            <w:r>
              <w:rPr>
                <w:rFonts w:ascii="Times New Roman" w:hAnsi="Times New Roman" w:eastAsia="Times New Roman"/>
                <w:color w:val="000000"/>
                <w:sz w:val="14"/>
              </w:rPr>
              <w:t>REVERSAL</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Each row uses the same H7 IUT procedure on attenuated bootstrap distributions.</w:t>
      </w:r>
    </w:p>
    <w:p>
      <w:pPr>
        <w:spacing w:line="240" w:lineRule="auto" w:before="0" w:after="0"/>
        <w:ind w:firstLine="180"/>
        <w:jc w:val="both"/>
      </w:pPr>
      <w:r>
        <w:rPr>
          <w:rFonts w:ascii="Times New Roman" w:hAnsi="Times New Roman" w:eastAsia="Times New Roman"/>
          <w:color w:val="000000"/>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80" w:after="40"/>
      </w:pPr>
      <w:r>
        <w:rPr>
          <w:rFonts w:ascii="Times New Roman" w:hAnsi="Times New Roman" w:eastAsia="Times New Roman"/>
          <w:b/>
          <w:color w:val="000000"/>
          <w:sz w:val="20"/>
        </w:rPr>
        <w:t>H. Summary of pre-registered hypothesis outcomes</w:t>
      </w:r>
    </w:p>
    <w:p>
      <w:pPr>
        <w:spacing w:line="240" w:lineRule="auto" w:before="120" w:after="0"/>
        <w:jc w:val="center"/>
      </w:pPr>
      <w:r>
        <w:rPr>
          <w:rFonts w:ascii="Times New Roman" w:hAnsi="Times New Roman" w:eastAsia="Times New Roman"/>
          <w:color w:val="000000"/>
          <w:sz w:val="16"/>
        </w:rPr>
        <w:t>TABLE VI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0"/>
        <w:gridCol w:w="2510"/>
        <w:gridCol w:w="2510"/>
        <w:gridCol w:w="2510"/>
      </w:tblGrid>
      <w:tr>
        <w:tc>
          <w:tcPr>
            <w:tcW w:type="dxa" w:w="10040"/>
            <w:gridSpan w:val="4"/>
          </w:tcPr>
          <w:p>
            <w:pPr>
              <w:spacing w:line="240" w:lineRule="auto" w:before="0" w:after="0"/>
              <w:jc w:val="center"/>
            </w:pPr>
            <w:r>
              <w:rPr>
                <w:rFonts w:ascii="Times New Roman" w:hAnsi="Times New Roman" w:eastAsia="Times New Roman"/>
                <w:color w:val="000000"/>
                <w:sz w:val="14"/>
              </w:rPr>
              <w:t>PRE-REGISTERED HYPOTHESIS OUTCOMES SUMMARY</w:t>
            </w:r>
          </w:p>
        </w:tc>
      </w:tr>
      <w:tr>
        <w:tc>
          <w:tcPr>
            <w:tcW w:type="dxa" w:w="2510"/>
          </w:tcPr>
          <w:p>
            <w:pPr>
              <w:spacing w:line="240" w:lineRule="auto" w:before="0" w:after="0"/>
              <w:jc w:val="center"/>
            </w:pPr>
            <w:r>
              <w:rPr>
                <w:rFonts w:ascii="Times New Roman" w:hAnsi="Times New Roman" w:eastAsia="Times New Roman"/>
                <w:b/>
                <w:color w:val="000000"/>
                <w:sz w:val="14"/>
              </w:rPr>
              <w:t>Hypothesis</w:t>
            </w:r>
          </w:p>
        </w:tc>
        <w:tc>
          <w:tcPr>
            <w:tcW w:type="dxa" w:w="2510"/>
          </w:tcPr>
          <w:p>
            <w:pPr>
              <w:spacing w:line="240" w:lineRule="auto" w:before="0" w:after="0"/>
              <w:jc w:val="center"/>
            </w:pPr>
            <w:r>
              <w:rPr>
                <w:rFonts w:ascii="Times New Roman" w:hAnsi="Times New Roman" w:eastAsia="Times New Roman"/>
                <w:b/>
                <w:color w:val="000000"/>
                <w:sz w:val="14"/>
              </w:rPr>
              <w:t>Pre-registered prediction</w:t>
            </w:r>
          </w:p>
        </w:tc>
        <w:tc>
          <w:tcPr>
            <w:tcW w:type="dxa" w:w="2510"/>
          </w:tcPr>
          <w:p>
            <w:pPr>
              <w:spacing w:line="240" w:lineRule="auto" w:before="0" w:after="0"/>
              <w:jc w:val="center"/>
            </w:pPr>
            <w:r>
              <w:rPr>
                <w:rFonts w:ascii="Times New Roman" w:hAnsi="Times New Roman" w:eastAsia="Times New Roman"/>
                <w:b/>
                <w:color w:val="000000"/>
                <w:sz w:val="14"/>
              </w:rPr>
              <w:t>Outcome</w:t>
            </w:r>
          </w:p>
        </w:tc>
        <w:tc>
          <w:tcPr>
            <w:tcW w:type="dxa" w:w="2510"/>
          </w:tcPr>
          <w:p>
            <w:pPr>
              <w:spacing w:line="240" w:lineRule="auto" w:before="0" w:after="0"/>
              <w:jc w:val="center"/>
            </w:pPr>
            <w:r>
              <w:rPr>
                <w:rFonts w:ascii="Times New Roman" w:hAnsi="Times New Roman" w:eastAsia="Times New Roman"/>
                <w:b/>
                <w:color w:val="000000"/>
                <w:sz w:val="14"/>
              </w:rPr>
              <w:t>Tier</w:t>
            </w:r>
          </w:p>
        </w:tc>
      </w:tr>
      <w:tr>
        <w:tc>
          <w:tcPr>
            <w:tcW w:type="dxa" w:w="2510"/>
          </w:tcPr>
          <w:p>
            <w:pPr>
              <w:spacing w:line="240" w:lineRule="auto" w:before="0" w:after="0"/>
              <w:jc w:val="left"/>
            </w:pPr>
            <w:r>
              <w:rPr>
                <w:rFonts w:ascii="Times New Roman" w:hAnsi="Times New Roman" w:eastAsia="Times New Roman"/>
                <w:color w:val="000000"/>
                <w:sz w:val="14"/>
              </w:rPr>
              <w:t>H1</w:t>
            </w:r>
          </w:p>
        </w:tc>
        <w:tc>
          <w:tcPr>
            <w:tcW w:type="dxa" w:w="2510"/>
          </w:tcPr>
          <w:p>
            <w:pPr>
              <w:spacing w:line="240" w:lineRule="auto" w:before="0" w:after="0"/>
              <w:jc w:val="left"/>
            </w:pPr>
            <w:r>
              <w:rPr>
                <w:rFonts w:ascii="Times New Roman" w:hAnsi="Times New Roman" w:eastAsia="Times New Roman"/>
                <w:color w:val="000000"/>
                <w:sz w:val="14"/>
              </w:rPr>
              <w:t>MAPE_FY2016 ≤ 30% (Strict / Standard SUCCESS)</w:t>
            </w:r>
          </w:p>
        </w:tc>
        <w:tc>
          <w:tcPr>
            <w:tcW w:type="dxa" w:w="2510"/>
          </w:tcPr>
          <w:p>
            <w:pPr>
              <w:spacing w:line="240" w:lineRule="auto" w:before="0" w:after="0"/>
              <w:jc w:val="left"/>
            </w:pPr>
            <w:r>
              <w:rPr>
                <w:rFonts w:ascii="Times New Roman" w:hAnsi="Times New Roman" w:eastAsia="Times New Roman"/>
                <w:color w:val="000000"/>
                <w:sz w:val="14"/>
              </w:rPr>
              <w:t>MAPE = 46.34%</w:t>
            </w:r>
          </w:p>
        </w:tc>
        <w:tc>
          <w:tcPr>
            <w:tcW w:type="dxa" w:w="2510"/>
          </w:tcPr>
          <w:p>
            <w:pPr>
              <w:spacing w:line="240" w:lineRule="auto" w:before="0" w:after="0"/>
              <w:jc w:val="left"/>
            </w:pPr>
            <w:r>
              <w:rPr>
                <w:rFonts w:ascii="Times New Roman" w:hAnsi="Times New Roman" w:eastAsia="Times New Roman"/>
                <w:color w:val="000000"/>
                <w:sz w:val="14"/>
              </w:rPr>
              <w:t>PARTIAL SUCCESS</w:t>
            </w:r>
          </w:p>
        </w:tc>
      </w:tr>
      <w:tr>
        <w:tc>
          <w:tcPr>
            <w:tcW w:type="dxa" w:w="2510"/>
          </w:tcPr>
          <w:p>
            <w:pPr>
              <w:spacing w:line="240" w:lineRule="auto" w:before="0" w:after="0"/>
              <w:jc w:val="left"/>
            </w:pPr>
            <w:r>
              <w:rPr>
                <w:rFonts w:ascii="Times New Roman" w:hAnsi="Times New Roman" w:eastAsia="Times New Roman"/>
                <w:color w:val="000000"/>
                <w:sz w:val="14"/>
              </w:rPr>
              <w:t>H2</w:t>
            </w:r>
          </w:p>
        </w:tc>
        <w:tc>
          <w:tcPr>
            <w:tcW w:type="dxa" w:w="2510"/>
          </w:tcPr>
          <w:p>
            <w:pPr>
              <w:spacing w:line="240" w:lineRule="auto" w:before="0" w:after="0"/>
              <w:jc w:val="left"/>
            </w:pPr>
            <w:r>
              <w:rPr>
                <w:rFonts w:ascii="Times New Roman" w:hAnsi="Times New Roman" w:eastAsia="Times New Roman"/>
                <w:color w:val="000000"/>
                <w:sz w:val="14"/>
              </w:rPr>
              <w:t>Monotonic B0 &gt; B1 &gt; B2 &gt; B3 &gt; B4</w:t>
            </w:r>
          </w:p>
        </w:tc>
        <w:tc>
          <w:tcPr>
            <w:tcW w:type="dxa" w:w="2510"/>
          </w:tcPr>
          <w:p>
            <w:pPr>
              <w:spacing w:line="240" w:lineRule="auto" w:before="0" w:after="0"/>
              <w:jc w:val="left"/>
            </w:pPr>
            <w:r>
              <w:rPr>
                <w:rFonts w:ascii="Times New Roman" w:hAnsi="Times New Roman" w:eastAsia="Times New Roman"/>
                <w:color w:val="000000"/>
                <w:sz w:val="14"/>
              </w:rPr>
              <w:t>0 of 4 pairs confirmed (Page's L p = 0.976)</w:t>
            </w:r>
          </w:p>
        </w:tc>
        <w:tc>
          <w:tcPr>
            <w:tcW w:type="dxa" w:w="2510"/>
          </w:tcPr>
          <w:p>
            <w:pPr>
              <w:spacing w:line="240" w:lineRule="auto" w:before="0" w:after="0"/>
              <w:jc w:val="left"/>
            </w:pPr>
            <w:r>
              <w:rPr>
                <w:rFonts w:ascii="Times New Roman" w:hAnsi="Times New Roman" w:eastAsia="Times New Roman"/>
                <w:color w:val="000000"/>
                <w:sz w:val="14"/>
              </w:rPr>
              <w:t>REJECTED</w:t>
            </w:r>
          </w:p>
        </w:tc>
      </w:tr>
      <w:tr>
        <w:tc>
          <w:tcPr>
            <w:tcW w:type="dxa" w:w="2510"/>
          </w:tcPr>
          <w:p>
            <w:pPr>
              <w:spacing w:line="240" w:lineRule="auto" w:before="0" w:after="0"/>
              <w:jc w:val="left"/>
            </w:pPr>
            <w:r>
              <w:rPr>
                <w:rFonts w:ascii="Times New Roman" w:hAnsi="Times New Roman" w:eastAsia="Times New Roman"/>
                <w:color w:val="000000"/>
                <w:sz w:val="14"/>
              </w:rPr>
              <w:t>H3</w:t>
            </w:r>
          </w:p>
        </w:tc>
        <w:tc>
          <w:tcPr>
            <w:tcW w:type="dxa" w:w="2510"/>
          </w:tcPr>
          <w:p>
            <w:pPr>
              <w:spacing w:line="240" w:lineRule="auto" w:before="0" w:after="0"/>
              <w:jc w:val="left"/>
            </w:pPr>
            <w:r>
              <w:rPr>
                <w:rFonts w:ascii="Times New Roman" w:hAnsi="Times New Roman" w:eastAsia="Times New Roman"/>
                <w:color w:val="000000"/>
                <w:sz w:val="14"/>
              </w:rPr>
              <w:t>Centroid concordance N=354 vs N=13,668</w:t>
            </w:r>
          </w:p>
        </w:tc>
        <w:tc>
          <w:tcPr>
            <w:tcW w:type="dxa" w:w="2510"/>
          </w:tcPr>
          <w:p>
            <w:pPr>
              <w:spacing w:line="240" w:lineRule="auto" w:before="0" w:after="0"/>
              <w:jc w:val="left"/>
            </w:pPr>
            <w:r>
              <w:rPr>
                <w:rFonts w:ascii="Times New Roman" w:hAnsi="Times New Roman" w:eastAsia="Times New Roman"/>
                <w:color w:val="000000"/>
                <w:sz w:val="14"/>
              </w:rPr>
              <w:t>Externally validated in Tokiwa [13] via stability analyses on the N=13,668 source sample; not separately re-tested in the present N=354 pipeline</w:t>
            </w:r>
          </w:p>
        </w:tc>
        <w:tc>
          <w:tcPr>
            <w:tcW w:type="dxa" w:w="2510"/>
          </w:tcPr>
          <w:p>
            <w:pPr>
              <w:spacing w:line="240" w:lineRule="auto" w:before="0" w:after="0"/>
              <w:jc w:val="left"/>
            </w:pPr>
            <w:r>
              <w:rPr>
                <w:rFonts w:ascii="Times New Roman" w:hAnsi="Times New Roman" w:eastAsia="Times New Roman"/>
                <w:color w:val="000000"/>
                <w:sz w:val="14"/>
              </w:rPr>
              <w:t>Externally Confirmed</w:t>
            </w:r>
          </w:p>
        </w:tc>
      </w:tr>
      <w:tr>
        <w:tc>
          <w:tcPr>
            <w:tcW w:type="dxa" w:w="2510"/>
          </w:tcPr>
          <w:p>
            <w:pPr>
              <w:spacing w:line="240" w:lineRule="auto" w:before="0" w:after="0"/>
              <w:jc w:val="left"/>
            </w:pPr>
            <w:r>
              <w:rPr>
                <w:rFonts w:ascii="Times New Roman" w:hAnsi="Times New Roman" w:eastAsia="Times New Roman"/>
                <w:color w:val="000000"/>
                <w:sz w:val="14"/>
              </w:rPr>
              <w:t>H4</w:t>
            </w:r>
          </w:p>
        </w:tc>
        <w:tc>
          <w:tcPr>
            <w:tcW w:type="dxa" w:w="2510"/>
          </w:tcPr>
          <w:p>
            <w:pPr>
              <w:spacing w:line="240" w:lineRule="auto" w:before="0" w:after="0"/>
              <w:jc w:val="left"/>
            </w:pPr>
            <w:r>
              <w:rPr>
                <w:rFonts w:ascii="Times New Roman" w:hAnsi="Times New Roman" w:eastAsia="Times New Roman"/>
                <w:color w:val="000000"/>
                <w:sz w:val="14"/>
              </w:rPr>
              <w:t>Per-cell propensity stability across bootstrap procedures</w:t>
            </w:r>
          </w:p>
        </w:tc>
        <w:tc>
          <w:tcPr>
            <w:tcW w:type="dxa" w:w="2510"/>
          </w:tcPr>
          <w:p>
            <w:pPr>
              <w:spacing w:line="240" w:lineRule="auto" w:before="0" w:after="0"/>
              <w:jc w:val="left"/>
            </w:pPr>
            <w:r>
              <w:rPr>
                <w:rFonts w:ascii="Times New Roman" w:hAnsi="Times New Roman" w:eastAsia="Times New Roman"/>
                <w:color w:val="000000"/>
                <w:sz w:val="14"/>
              </w:rPr>
              <w:t>13/14 cells resolved at BCa; 1 degenerate cell (X=0) at Clopper-Pearson per the pre-registered cascade</w:t>
            </w:r>
          </w:p>
        </w:tc>
        <w:tc>
          <w:tcPr>
            <w:tcW w:type="dxa" w:w="2510"/>
          </w:tcPr>
          <w:p>
            <w:pPr>
              <w:spacing w:line="240" w:lineRule="auto" w:before="0" w:after="0"/>
              <w:jc w:val="left"/>
            </w:pPr>
            <w:r>
              <w:rPr>
                <w:rFonts w:ascii="Times New Roman" w:hAnsi="Times New Roman" w:eastAsia="Times New Roman"/>
                <w:color w:val="000000"/>
                <w:sz w:val="14"/>
              </w:rPr>
              <w:t>CONFIRMED</w:t>
            </w:r>
          </w:p>
        </w:tc>
      </w:tr>
      <w:tr>
        <w:tc>
          <w:tcPr>
            <w:tcW w:type="dxa" w:w="2510"/>
          </w:tcPr>
          <w:p>
            <w:pPr>
              <w:spacing w:line="240" w:lineRule="auto" w:before="0" w:after="0"/>
              <w:jc w:val="left"/>
            </w:pPr>
            <w:r>
              <w:rPr>
                <w:rFonts w:ascii="Times New Roman" w:hAnsi="Times New Roman" w:eastAsia="Times New Roman"/>
                <w:color w:val="000000"/>
                <w:sz w:val="14"/>
              </w:rPr>
              <w:t>H5</w:t>
            </w:r>
          </w:p>
        </w:tc>
        <w:tc>
          <w:tcPr>
            <w:tcW w:type="dxa" w:w="2510"/>
          </w:tcPr>
          <w:p>
            <w:pPr>
              <w:spacing w:line="240" w:lineRule="auto" w:before="0" w:after="0"/>
              <w:jc w:val="left"/>
            </w:pPr>
            <w:r>
              <w:rPr>
                <w:rFonts w:ascii="Times New Roman" w:hAnsi="Times New Roman" w:eastAsia="Times New Roman"/>
                <w:color w:val="000000"/>
                <w:sz w:val="14"/>
              </w:rPr>
              <w:t>Gender invariance</w:t>
            </w:r>
          </w:p>
        </w:tc>
        <w:tc>
          <w:tcPr>
            <w:tcW w:type="dxa" w:w="2510"/>
          </w:tcPr>
          <w:p>
            <w:pPr>
              <w:spacing w:line="240" w:lineRule="auto" w:before="0" w:after="0"/>
              <w:jc w:val="left"/>
            </w:pPr>
            <w:r>
              <w:rPr>
                <w:rFonts w:ascii="Times New Roman" w:hAnsi="Times New Roman" w:eastAsia="Times New Roman"/>
                <w:color w:val="000000"/>
                <w:sz w:val="14"/>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510"/>
          </w:tcPr>
          <w:p>
            <w:pPr>
              <w:spacing w:line="240" w:lineRule="auto" w:before="0" w:after="0"/>
              <w:jc w:val="left"/>
            </w:pPr>
            <w:r>
              <w:rPr>
                <w:rFonts w:ascii="Times New Roman" w:hAnsi="Times New Roman" w:eastAsia="Times New Roman"/>
                <w:color w:val="000000"/>
                <w:sz w:val="14"/>
              </w:rPr>
              <w:t>CONFIRMED</w:t>
            </w:r>
          </w:p>
        </w:tc>
      </w:tr>
      <w:tr>
        <w:tc>
          <w:tcPr>
            <w:tcW w:type="dxa" w:w="2510"/>
          </w:tcPr>
          <w:p>
            <w:pPr>
              <w:spacing w:line="240" w:lineRule="auto" w:before="0" w:after="0"/>
              <w:jc w:val="left"/>
            </w:pPr>
            <w:r>
              <w:rPr>
                <w:rFonts w:ascii="Times New Roman" w:hAnsi="Times New Roman" w:eastAsia="Times New Roman"/>
                <w:color w:val="000000"/>
                <w:sz w:val="14"/>
              </w:rPr>
              <w:t>H6</w:t>
            </w:r>
          </w:p>
        </w:tc>
        <w:tc>
          <w:tcPr>
            <w:tcW w:type="dxa" w:w="2510"/>
          </w:tcPr>
          <w:p>
            <w:pPr>
              <w:spacing w:line="240" w:lineRule="auto" w:before="0" w:after="0"/>
              <w:jc w:val="left"/>
            </w:pPr>
            <w:r>
              <w:rPr>
                <w:rFonts w:ascii="Times New Roman" w:hAnsi="Times New Roman" w:eastAsia="Times New Roman"/>
                <w:color w:val="000000"/>
                <w:sz w:val="14"/>
              </w:rPr>
              <w:t>Power × gender harassment cluster ranking concordance</w:t>
            </w:r>
          </w:p>
        </w:tc>
        <w:tc>
          <w:tcPr>
            <w:tcW w:type="dxa" w:w="2510"/>
          </w:tcPr>
          <w:p>
            <w:pPr>
              <w:spacing w:line="240" w:lineRule="auto" w:before="0" w:after="0"/>
              <w:jc w:val="left"/>
            </w:pPr>
            <w:r>
              <w:rPr>
                <w:rFonts w:ascii="Times New Roman" w:hAnsi="Times New Roman" w:eastAsia="Times New Roman"/>
                <w:color w:val="000000"/>
                <w:sz w:val="14"/>
              </w:rPr>
              <w:t>Weak concordance (Spearman ρ = 0.04 at 7-cluster level, p = 0.94; ρ = 0.14 at 14-cell level, p = 0.62)</w:t>
            </w:r>
          </w:p>
        </w:tc>
        <w:tc>
          <w:tcPr>
            <w:tcW w:type="dxa" w:w="2510"/>
          </w:tcPr>
          <w:p>
            <w:pPr>
              <w:spacing w:line="240" w:lineRule="auto" w:before="0" w:after="0"/>
              <w:jc w:val="left"/>
            </w:pPr>
            <w:r>
              <w:rPr>
                <w:rFonts w:ascii="Times New Roman" w:hAnsi="Times New Roman" w:eastAsia="Times New Roman"/>
                <w:color w:val="000000"/>
                <w:sz w:val="14"/>
              </w:rPr>
              <w:t>REJECTED</w:t>
            </w:r>
          </w:p>
        </w:tc>
      </w:tr>
      <w:tr>
        <w:tc>
          <w:tcPr>
            <w:tcW w:type="dxa" w:w="2510"/>
          </w:tcPr>
          <w:p>
            <w:pPr>
              <w:spacing w:line="240" w:lineRule="auto" w:before="0" w:after="0"/>
              <w:jc w:val="left"/>
            </w:pPr>
            <w:r>
              <w:rPr>
                <w:rFonts w:ascii="Times New Roman" w:hAnsi="Times New Roman" w:eastAsia="Times New Roman"/>
                <w:color w:val="000000"/>
                <w:sz w:val="14"/>
              </w:rPr>
              <w:t>H7</w:t>
            </w:r>
          </w:p>
        </w:tc>
        <w:tc>
          <w:tcPr>
            <w:tcW w:type="dxa" w:w="2510"/>
          </w:tcPr>
          <w:p>
            <w:pPr>
              <w:spacing w:line="240" w:lineRule="auto" w:before="0" w:after="0"/>
              <w:jc w:val="left"/>
            </w:pPr>
            <w:r>
              <w:rPr>
                <w:rFonts w:ascii="Times New Roman" w:hAnsi="Times New Roman" w:eastAsia="Times New Roman"/>
                <w:color w:val="000000"/>
                <w:sz w:val="14"/>
              </w:rPr>
              <w:t>IUT classification</w:t>
            </w:r>
          </w:p>
        </w:tc>
        <w:tc>
          <w:tcPr>
            <w:tcW w:type="dxa" w:w="2510"/>
          </w:tcPr>
          <w:p>
            <w:pPr>
              <w:spacing w:line="240" w:lineRule="auto" w:before="0" w:after="0"/>
              <w:jc w:val="left"/>
            </w:pPr>
            <w:r>
              <w:rPr>
                <w:rFonts w:ascii="Times New Roman" w:hAnsi="Times New Roman" w:eastAsia="Times New Roman"/>
                <w:color w:val="000000"/>
                <w:sz w:val="14"/>
              </w:rPr>
              <w:t>REVERSAL (robust across F = 0.3–1.0)</w:t>
            </w:r>
          </w:p>
        </w:tc>
        <w:tc>
          <w:tcPr>
            <w:tcW w:type="dxa" w:w="2510"/>
          </w:tcPr>
          <w:p>
            <w:pPr>
              <w:spacing w:line="240" w:lineRule="auto" w:before="0" w:after="0"/>
              <w:jc w:val="left"/>
            </w:pPr>
            <w:r>
              <w:rPr>
                <w:rFonts w:ascii="Times New Roman" w:hAnsi="Times New Roman" w:eastAsia="Times New Roman"/>
                <w:color w:val="000000"/>
                <w:sz w:val="14"/>
              </w:rPr>
              <w:t>REVERSAL (per pre-registered classification)</w:t>
            </w:r>
          </w:p>
        </w:tc>
      </w:tr>
    </w:tbl>
    <w:p>
      <w:pPr>
        <w:spacing w:line="240" w:lineRule="auto" w:before="0" w:after="0"/>
        <w:ind w:firstLine="180"/>
        <w:jc w:val="both"/>
      </w:pPr>
      <w:r>
        <w:rPr>
          <w:rFonts w:ascii="Times New Roman" w:hAnsi="Times New Roman" w:eastAsia="Times New Roman"/>
          <w:color w:val="000000"/>
          <w:sz w:val="20"/>
        </w:rPr>
        <w:t>The headline empirical finding is the H7 = REVERSAL classification with cross-cultural robustness, which we develop substantively in the Discussion.</w:t>
      </w:r>
    </w:p>
    <w:p>
      <w:pPr>
        <w:spacing w:line="240" w:lineRule="auto" w:before="160" w:after="80"/>
        <w:jc w:val="left"/>
      </w:pPr>
      <w:r>
        <w:rPr>
          <w:rFonts w:ascii="Helvetica Neue" w:hAnsi="Helvetica Neue" w:eastAsia="Helvetica Neue"/>
          <w:b/>
          <w:color w:val="00629B"/>
          <w:sz w:val="18"/>
        </w:rPr>
        <w:t>V. DISCUSSION</w:t>
      </w:r>
    </w:p>
    <w:p>
      <w:pPr>
        <w:spacing w:line="240" w:lineRule="auto" w:before="80" w:after="40"/>
      </w:pPr>
      <w:r>
        <w:rPr>
          <w:rFonts w:ascii="Times New Roman" w:hAnsi="Times New Roman" w:eastAsia="Times New Roman"/>
          <w:b/>
          <w:color w:val="000000"/>
          <w:sz w:val="20"/>
        </w:rPr>
        <w:t>A. Principal findings</w:t>
      </w:r>
    </w:p>
    <w:p>
      <w:pPr>
        <w:spacing w:line="240" w:lineRule="auto" w:before="0" w:after="0"/>
        <w:ind w:firstLine="180"/>
        <w:jc w:val="both"/>
      </w:pPr>
      <w:r>
        <w:rPr>
          <w:rFonts w:ascii="Times New Roman" w:hAnsi="Times New Roman" w:eastAsia="Times New Roman"/>
          <w:color w:val="000000"/>
          <w:sz w:val="20"/>
        </w:rPr>
        <w:t>Three findings stand out from the pre-registered analysis pipeline:</w:t>
      </w:r>
    </w:p>
    <w:p>
      <w:pPr>
        <w:spacing w:line="240" w:lineRule="auto" w:before="0" w:after="0"/>
        <w:ind w:firstLine="180"/>
        <w:jc w:val="both"/>
      </w:pPr>
      <w:r>
        <w:rPr>
          <w:rFonts w:ascii="Times New Roman" w:hAnsi="Times New Roman" w:eastAsia="Times New Roman"/>
          <w:color w:val="000000"/>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color w:val="000000"/>
          <w:sz w:val="20"/>
        </w:rPr>
        <w:t>Finding 2: H7 = REVERSAL — the structural-intervention contrast exceeds the personality-intervention contrast in absolute magnitude.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240" w:lineRule="auto" w:before="0" w:after="0"/>
        <w:ind w:firstLine="180"/>
        <w:jc w:val="both"/>
      </w:pPr>
      <w:r>
        <w:rPr>
          <w:rFonts w:ascii="Times New Roman" w:hAnsi="Times New Roman" w:eastAsia="Times New Roman"/>
          <w:color w:val="000000"/>
          <w:sz w:val="20"/>
        </w:rPr>
        <w:t>Finding 3: The data are consistent with treating HEXACO 7-typology as a stratification variable rather than an intervention target. The Counterfactual A null result (ΔP_A = −0.0061, 95% CI crosses zero) indicates that shifting individual HEXACO scores by the realistic training-effect magnitudes drawn from Hudson and Fraley (2015) and Roberts et al. [20]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240" w:lineRule="auto" w:before="80" w:after="40"/>
      </w:pPr>
      <w:r>
        <w:rPr>
          <w:rFonts w:ascii="Times New Roman" w:hAnsi="Times New Roman" w:eastAsia="Times New Roman"/>
          <w:b/>
          <w:color w:val="000000"/>
          <w:sz w:val="20"/>
        </w:rPr>
        <w:t>B. The MHLW survey series as substantive context</w:t>
      </w:r>
    </w:p>
    <w:p>
      <w:pPr>
        <w:spacing w:line="240" w:lineRule="auto" w:before="0" w:after="0"/>
        <w:ind w:firstLine="180"/>
        <w:jc w:val="both"/>
      </w:pPr>
      <w:r>
        <w:rPr>
          <w:rFonts w:ascii="Times New Roman" w:hAnsi="Times New Roman" w:eastAsia="Times New Roman"/>
          <w:color w:val="000000"/>
          <w:sz w:val="20"/>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color w:val="000000"/>
          <w:sz w:val="20"/>
        </w:rPr>
        <w:t>The latter is implausible on demographic grounds: cohort-level changes in HEXACO traits over six years are unlikely to exceed 0.05 SD. Counterfactual A, which models a six times larger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240" w:lineRule="auto" w:before="80" w:after="40"/>
      </w:pPr>
      <w:r>
        <w:rPr>
          <w:rFonts w:ascii="Times New Roman" w:hAnsi="Times New Roman" w:eastAsia="Times New Roman"/>
          <w:b/>
          <w:color w:val="000000"/>
          <w:sz w:val="20"/>
        </w:rPr>
        <w:t>C. Reframing HEXACO: stratification rather than modification</w:t>
      </w:r>
    </w:p>
    <w:p>
      <w:pPr>
        <w:spacing w:line="240" w:lineRule="auto" w:before="0" w:after="0"/>
        <w:ind w:firstLine="180"/>
        <w:jc w:val="both"/>
      </w:pPr>
      <w:r>
        <w:rPr>
          <w:rFonts w:ascii="Times New Roman" w:hAnsi="Times New Roman" w:eastAsia="Times New Roman"/>
          <w:color w:val="000000"/>
          <w:sz w:val="20"/>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240" w:lineRule="auto" w:before="0" w:after="0"/>
        <w:ind w:firstLine="180"/>
        <w:jc w:val="both"/>
      </w:pPr>
      <w:r>
        <w:rPr>
          <w:rFonts w:ascii="Times New Roman" w:hAnsi="Times New Roman" w:eastAsia="Times New Roman"/>
          <w:color w:val="000000"/>
          <w:sz w:val="20"/>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240" w:lineRule="auto" w:before="0" w:after="0"/>
        <w:ind w:firstLine="180"/>
        <w:jc w:val="both"/>
      </w:pPr>
      <w:r>
        <w:rPr>
          <w:rFonts w:ascii="Times New Roman" w:hAnsi="Times New Roman" w:eastAsia="Times New Roman"/>
          <w:color w:val="000000"/>
          <w:sz w:val="20"/>
        </w:rPr>
        <w:t>Second, even granting M1 as the operative mechanism, the +0.3 SD personality-shift represents the upper bound of empirically demonstrated training effects [19], [20].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240" w:lineRule="auto" w:before="0" w:after="0"/>
        <w:ind w:firstLine="180"/>
        <w:jc w:val="both"/>
      </w:pPr>
      <w:r>
        <w:rPr>
          <w:rFonts w:ascii="Times New Roman" w:hAnsi="Times New Roman" w:eastAsia="Times New Roman"/>
          <w:color w:val="000000"/>
          <w:sz w:val="20"/>
        </w:rPr>
        <w:t>The repositioning we draw is therefore narrow and theoretical: 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240" w:lineRule="auto" w:before="80" w:after="40"/>
      </w:pPr>
      <w:r>
        <w:rPr>
          <w:rFonts w:ascii="Times New Roman" w:hAnsi="Times New Roman" w:eastAsia="Times New Roman"/>
          <w:b/>
          <w:color w:val="000000"/>
          <w:sz w:val="20"/>
        </w:rPr>
        <w:t>D. Limitations</w:t>
      </w:r>
    </w:p>
    <w:p>
      <w:pPr>
        <w:spacing w:line="240" w:lineRule="auto" w:before="40" w:after="40"/>
      </w:pPr>
      <w:r>
        <w:rPr>
          <w:rFonts w:ascii="Helvetica Neue" w:hAnsi="Helvetica Neue" w:eastAsia="Helvetica Neue"/>
          <w:b/>
          <w:i/>
          <w:color w:val="58595B"/>
          <w:sz w:val="18"/>
        </w:rPr>
        <w:t>1) Reduced-form framing of Counterfactual C:</w:t>
      </w:r>
    </w:p>
    <w:p>
      <w:pPr>
        <w:spacing w:line="240" w:lineRule="auto" w:before="0" w:after="0"/>
        <w:ind w:firstLine="180"/>
        <w:jc w:val="both"/>
      </w:pPr>
      <w:r>
        <w:rPr>
          <w:rFonts w:ascii="Times New Roman" w:hAnsi="Times New Roman" w:eastAsia="Times New Roman"/>
          <w:color w:val="000000"/>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color w:val="000000"/>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color w:val="000000"/>
          <w:sz w:val="20"/>
        </w:rPr>
        <w:t>A mechanistically richer extension would adopt agent-based modeling [31], [32] with explicit deterrence dynamics, individual-level perceived risk, and interaction with peers. Such extensions are beyond the scope of v2.0 pre-registration but are pre-flagged as Phase 2 follow-up work in the present manuscript.</w:t>
      </w:r>
    </w:p>
    <w:p>
      <w:pPr>
        <w:spacing w:line="240" w:lineRule="auto" w:before="40" w:after="40"/>
      </w:pPr>
      <w:r>
        <w:rPr>
          <w:rFonts w:ascii="Helvetica Neue" w:hAnsi="Helvetica Neue" w:eastAsia="Helvetica Neue"/>
          <w:b/>
          <w:i/>
          <w:color w:val="58595B"/>
          <w:sz w:val="18"/>
        </w:rPr>
        <w:t>2) Causal under-identification among M2/M3/M4:</w:t>
      </w:r>
    </w:p>
    <w:p>
      <w:pPr>
        <w:spacing w:line="240" w:lineRule="auto" w:before="0" w:after="0"/>
        <w:ind w:firstLine="180"/>
        <w:jc w:val="both"/>
      </w:pPr>
      <w:r>
        <w:rPr>
          <w:rFonts w:ascii="Times New Roman" w:hAnsi="Times New Roman" w:eastAsia="Times New Roman"/>
          <w:color w:val="000000"/>
          <w:sz w:val="20"/>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240" w:lineRule="auto" w:before="40" w:after="40"/>
      </w:pPr>
      <w:r>
        <w:rPr>
          <w:rFonts w:ascii="Helvetica Neue" w:hAnsi="Helvetica Neue" w:eastAsia="Helvetica Neue"/>
          <w:b/>
          <w:i/>
          <w:color w:val="58595B"/>
          <w:sz w:val="18"/>
        </w:rPr>
        <w:t>3) Heterogeneity in counterfactual response:</w:t>
      </w:r>
    </w:p>
    <w:p>
      <w:pPr>
        <w:spacing w:line="240" w:lineRule="auto" w:before="0" w:after="0"/>
        <w:ind w:firstLine="180"/>
        <w:jc w:val="both"/>
      </w:pPr>
      <w:r>
        <w:rPr>
          <w:rFonts w:ascii="Times New Roman" w:hAnsi="Times New Roman" w:eastAsia="Times New Roman"/>
          <w:color w:val="000000"/>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40" w:after="40"/>
      </w:pPr>
      <w:r>
        <w:rPr>
          <w:rFonts w:ascii="Helvetica Neue" w:hAnsi="Helvetica Neue" w:eastAsia="Helvetica Neue"/>
          <w:b/>
          <w:i/>
          <w:color w:val="58595B"/>
          <w:sz w:val="18"/>
        </w:rPr>
        <w:t>4) Static framing:</w:t>
      </w:r>
    </w:p>
    <w:p>
      <w:pPr>
        <w:spacing w:line="240" w:lineRule="auto" w:before="0" w:after="0"/>
        <w:ind w:firstLine="180"/>
        <w:jc w:val="both"/>
      </w:pPr>
      <w:r>
        <w:rPr>
          <w:rFonts w:ascii="Times New Roman" w:hAnsi="Times New Roman" w:eastAsia="Times New Roman"/>
          <w:color w:val="000000"/>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40" w:after="40"/>
      </w:pPr>
      <w:r>
        <w:rPr>
          <w:rFonts w:ascii="Helvetica Neue" w:hAnsi="Helvetica Neue" w:eastAsia="Helvetica Neue"/>
          <w:b/>
          <w:i/>
          <w:color w:val="58595B"/>
          <w:sz w:val="18"/>
        </w:rPr>
        <w:t>5) Cluster-proportion limitation (cluster mass fixed at the Tokiwa 2026 values):</w:t>
      </w:r>
    </w:p>
    <w:p>
      <w:pPr>
        <w:spacing w:line="240" w:lineRule="auto" w:before="0" w:after="0"/>
        <w:ind w:firstLine="180"/>
        <w:jc w:val="both"/>
      </w:pPr>
      <w:r>
        <w:rPr>
          <w:rFonts w:ascii="Times New Roman" w:hAnsi="Times New Roman" w:eastAsia="Times New Roman"/>
          <w:color w:val="000000"/>
          <w:sz w:val="20"/>
        </w:rPr>
        <w:t>The 7-cluster proportions used in Stage 1 reweighting remain fixed at the Tokiwa [13]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40" w:after="40"/>
      </w:pPr>
      <w:r>
        <w:rPr>
          <w:rFonts w:ascii="Helvetica Neue" w:hAnsi="Helvetica Neue" w:eastAsia="Helvetica Neue"/>
          <w:b/>
          <w:i/>
          <w:color w:val="58595B"/>
          <w:sz w:val="18"/>
        </w:rPr>
        <w:t>6) Sample-size and external-validity caveats:</w:t>
      </w:r>
    </w:p>
    <w:p>
      <w:pPr>
        <w:spacing w:line="240" w:lineRule="auto" w:before="0" w:after="0"/>
        <w:ind w:firstLine="180"/>
        <w:jc w:val="both"/>
      </w:pPr>
      <w:r>
        <w:rPr>
          <w:rFonts w:ascii="Times New Roman" w:hAnsi="Times New Roman" w:eastAsia="Times New Roman"/>
          <w:color w:val="000000"/>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80" w:after="40"/>
      </w:pPr>
      <w:r>
        <w:rPr>
          <w:rFonts w:ascii="Times New Roman" w:hAnsi="Times New Roman" w:eastAsia="Times New Roman"/>
          <w:b/>
          <w:color w:val="000000"/>
          <w:sz w:val="20"/>
        </w:rPr>
        <w:t>E. Research implications</w:t>
      </w:r>
    </w:p>
    <w:p>
      <w:pPr>
        <w:spacing w:line="240" w:lineRule="auto" w:before="0" w:after="0"/>
        <w:ind w:firstLine="180"/>
        <w:jc w:val="both"/>
      </w:pPr>
      <w:r>
        <w:rPr>
          <w:rFonts w:ascii="Times New Roman" w:hAnsi="Times New Roman" w:eastAsia="Times New Roman"/>
          <w:color w:val="000000"/>
          <w:sz w:val="20"/>
        </w:rPr>
        <w:t>The integrated findings carry three implications for subsequent research, framed at the level of theory and empirical priority rather than as prescriptive recommendations to any particular institution.</w:t>
      </w:r>
    </w:p>
    <w:p>
      <w:pPr>
        <w:pStyle w:val="ListBullet"/>
        <w:spacing w:line="240" w:lineRule="auto" w:before="0" w:after="0"/>
        <w:jc w:val="both"/>
      </w:pPr>
      <w:r>
        <w:rPr>
          <w:rFonts w:ascii="Times New Roman" w:hAnsi="Times New Roman" w:eastAsia="Times New Roman"/>
          <w:color w:val="000000"/>
          <w:sz w:val="20"/>
        </w:rPr>
        <w:t>Calibrated counterfactual comparison as a methodological template.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w:t>
      </w:r>
    </w:p>
    <w:p>
      <w:pPr>
        <w:pStyle w:val="ListBullet"/>
        <w:spacing w:line="240" w:lineRule="auto" w:before="0" w:after="0"/>
        <w:jc w:val="both"/>
      </w:pPr>
      <w:r>
        <w:rPr>
          <w:rFonts w:ascii="Times New Roman" w:hAnsi="Times New Roman" w:eastAsia="Times New Roman"/>
          <w:color w:val="000000"/>
          <w:sz w:val="20"/>
        </w:rPr>
        <w:t>Identification limits of HEXACO-based screening as an empirical question.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w:t>
      </w:r>
    </w:p>
    <w:p>
      <w:pPr>
        <w:pStyle w:val="ListBullet"/>
        <w:spacing w:line="240" w:lineRule="auto" w:before="0" w:after="0"/>
        <w:jc w:val="both"/>
      </w:pPr>
      <w:r>
        <w:rPr>
          <w:rFonts w:ascii="Times New Roman" w:hAnsi="Times New Roman" w:eastAsia="Times New Roman"/>
          <w:color w:val="000000"/>
          <w:sz w:val="20"/>
        </w:rPr>
        <w:t>Structural-intervention efficacy as a heterogeneity question.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240" w:lineRule="auto" w:before="160" w:after="80"/>
        <w:jc w:val="left"/>
      </w:pPr>
      <w:r>
        <w:rPr>
          <w:rFonts w:ascii="Helvetica Neue" w:hAnsi="Helvetica Neue" w:eastAsia="Helvetica Neue"/>
          <w:b/>
          <w:color w:val="00629B"/>
          <w:sz w:val="18"/>
        </w:rPr>
        <w:t>VI. CONCLUSION</w:t>
      </w:r>
    </w:p>
    <w:p>
      <w:pPr>
        <w:spacing w:line="240" w:lineRule="auto" w:before="0" w:after="0"/>
        <w:ind w:firstLine="180"/>
        <w:jc w:val="both"/>
      </w:pPr>
      <w:r>
        <w:rPr>
          <w:rFonts w:ascii="Times New Roman" w:hAnsi="Times New Roman" w:eastAsia="Times New Roman"/>
          <w:color w:val="000000"/>
          <w:sz w:val="20"/>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pPr>
        <w:spacing w:line="240" w:lineRule="auto" w:before="160" w:after="80"/>
        <w:jc w:val="left"/>
      </w:pPr>
      <w:r>
        <w:rPr>
          <w:rFonts w:ascii="Helvetica Neue" w:hAnsi="Helvetica Neue" w:eastAsia="Helvetica Neue"/>
          <w:b/>
          <w:color w:val="00629B"/>
          <w:sz w:val="18"/>
        </w:rPr>
        <w:t>ACKNOWLEDGMENT</w:t>
      </w:r>
    </w:p>
    <w:p>
      <w:pPr>
        <w:spacing w:line="240" w:lineRule="auto" w:before="0" w:after="0"/>
        <w:jc w:val="both"/>
      </w:pPr>
      <w:r>
        <w:rPr>
          <w:rFonts w:ascii="Times New Roman" w:hAnsi="Times New Roman" w:eastAsia="Times New Roman"/>
          <w:sz w:val="20"/>
        </w:rPr>
        <w:t xml:space="preserve">The author thanks the anonymous external methodologist (mode B; mathematical biology background) whose review memo led to the Section 6.5 Level 1 Methods Clarifications Log, and the N = 354 survey respondents whose anonymized data made this analysis possible. </w:t>
      </w:r>
      <w:r>
        <w:rPr>
          <w:rFonts w:ascii="Times New Roman" w:hAnsi="Times New Roman" w:eastAsia="Times New Roman"/>
          <w:i/>
          <w:sz w:val="20"/>
        </w:rPr>
        <w:t xml:space="preserve">Competing Interests: The author discloses the following potential competing interest: the author is the founder and representative of SUNBLAZE Co., Ltd. (Tokyo, Japan), which provides HEXACO-JP, a proprietary Japanese-language HEXACO-based personality assessment service. The present study does not use HEXACO-JP; the HEXACO instrument used here is the HEXACO-PI-R Japanese 60-item adaptation published by Wakabayashi (2014), a separately validated and openly cited instrument that predates and is independent of HEXACO-JP. The manuscript does not reference, evaluate, market, recommend, or otherwise promote HEXACO-JP or any other SUNBLAZE product or service, and the headline empirical findings (a null personality-intervention contrast and a positive structural-intervention contrast) do not differentially favor commercial HEXACO-based assessment products. </w:t>
      </w:r>
      <w:r>
        <w:rPr>
          <w:rFonts w:ascii="Times New Roman" w:hAnsi="Times New Roman" w:eastAsia="Times New Roman"/>
          <w:i/>
          <w:sz w:val="20"/>
        </w:rPr>
        <w:t xml:space="preserve">Ethics statement: The N = 354 individual-level harassment data re-analyzed in this study were originally collected under an IRB-approved protocol described in [29]; the present secondary analysis of de-identified records does not require additional ethics review. </w:t>
      </w:r>
      <w:r>
        <w:rPr>
          <w:rFonts w:ascii="Times New Roman" w:hAnsi="Times New Roman" w:eastAsia="Times New Roman"/>
          <w:i/>
          <w:sz w:val="20"/>
        </w:rPr>
        <w:t xml:space="preserve">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(osf.io/3hxz6/wiki/home/). </w:t>
      </w:r>
      <w:r>
        <w:rPr>
          <w:rFonts w:ascii="Times New Roman" w:hAnsi="Times New Roman" w:eastAsia="Times New Roman"/>
          <w:i/>
          <w:sz w:val="20"/>
        </w:rPr>
        <w:t>AI use disclosure: Generative AI (Anthropic Claude) was used as a drafting and code-review assistant; all final claims, derivations, and statistical conclusions are the author's responsibility.</w:t>
      </w:r>
    </w:p>
    <w:p>
      <w:pPr>
        <w:spacing w:line="240" w:lineRule="auto" w:before="160" w:after="80"/>
        <w:jc w:val="left"/>
      </w:pPr>
      <w:r>
        <w:rPr>
          <w:rFonts w:ascii="Helvetica Neue" w:hAnsi="Helvetica Neue" w:eastAsia="Helvetica Neue"/>
          <w:b/>
          <w:color w:val="00629B"/>
          <w:sz w:val="18"/>
        </w:rPr>
        <w:t>REFERENCES</w:t>
      </w:r>
    </w:p>
    <w:p>
      <w:pPr>
        <w:spacing w:line="240" w:lineRule="auto" w:before="0" w:after="40"/>
        <w:jc w:val="both"/>
      </w:pPr>
      <w:r>
        <w:rPr>
          <w:rFonts w:ascii="Times New Roman" w:hAnsi="Times New Roman" w:eastAsia="Times New Roman"/>
          <w:color w:val="000000"/>
          <w:sz w:val="16"/>
        </w:rPr>
        <w:t>[1] 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color w:val="000000"/>
          <w:sz w:val="16"/>
        </w:rPr>
        <w:t>[2] 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color w:val="000000"/>
          <w:sz w:val="16"/>
        </w:rPr>
        <w:t>[3] 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color w:val="000000"/>
          <w:sz w:val="16"/>
        </w:rPr>
        <w:t>[4] 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color w:val="000000"/>
          <w:sz w:val="16"/>
        </w:rPr>
        <w:t>[5] 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color w:val="000000"/>
          <w:sz w:val="16"/>
        </w:rPr>
        <w:t>[6] 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color w:val="000000"/>
          <w:sz w:val="16"/>
        </w:rPr>
        <w:t>[7] 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color w:val="000000"/>
          <w:sz w:val="16"/>
        </w:rPr>
        <w:t>[8] 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color w:val="000000"/>
          <w:sz w:val="16"/>
        </w:rPr>
        <w:t>[9] 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color w:val="000000"/>
          <w:sz w:val="16"/>
        </w:rPr>
        <w:t>[10] 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color w:val="000000"/>
          <w:sz w:val="16"/>
        </w:rPr>
        <w:t>[11] 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color w:val="000000"/>
          <w:sz w:val="16"/>
        </w:rPr>
        <w:t>[12] 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color w:val="000000"/>
          <w:sz w:val="16"/>
        </w:rPr>
        <w:t>[13] 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color w:val="000000"/>
          <w:sz w:val="16"/>
        </w:rPr>
        <w:t>[14] 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color w:val="000000"/>
          <w:sz w:val="16"/>
        </w:rPr>
        <w:t>[15] 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color w:val="000000"/>
          <w:sz w:val="16"/>
        </w:rPr>
        <w:t>[16] 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color w:val="000000"/>
          <w:sz w:val="16"/>
        </w:rPr>
        <w:t>[17] 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color w:val="000000"/>
          <w:sz w:val="16"/>
        </w:rPr>
        <w:t>[18] 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color w:val="000000"/>
          <w:sz w:val="16"/>
        </w:rPr>
        <w:t>[19] 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color w:val="000000"/>
          <w:sz w:val="16"/>
        </w:rPr>
        <w:t>[20] 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color w:val="000000"/>
          <w:sz w:val="16"/>
        </w:rPr>
        <w:t>[21] 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color w:val="000000"/>
          <w:sz w:val="16"/>
        </w:rPr>
        <w:t>[22] 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color w:val="000000"/>
          <w:sz w:val="16"/>
        </w:rPr>
        <w:t>[23] 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color w:val="000000"/>
          <w:sz w:val="16"/>
        </w:rPr>
        <w:t>[24] 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color w:val="000000"/>
          <w:sz w:val="16"/>
        </w:rPr>
        <w:t>[25] 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color w:val="000000"/>
          <w:sz w:val="16"/>
        </w:rPr>
        <w:t>[26] 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color w:val="000000"/>
          <w:sz w:val="16"/>
        </w:rPr>
        <w:t>[27] 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color w:val="000000"/>
          <w:sz w:val="16"/>
        </w:rPr>
        <w:t>[28] 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color w:val="000000"/>
          <w:sz w:val="16"/>
        </w:rPr>
        <w:t>[29] 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color w:val="000000"/>
          <w:sz w:val="16"/>
        </w:rPr>
        <w:t>[30] 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color w:val="000000"/>
          <w:sz w:val="16"/>
        </w:rPr>
        <w:t>[31] 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color w:val="000000"/>
          <w:sz w:val="16"/>
        </w:rPr>
        <w:t>[32] J. S. Park, J. C. O'Brien, C. J. Cai, M. R. Morris, P. Liang, and M. S. Bernstein, "Generative agents: Interactive simulacra of human behavior," in Proc. 36th Annu. ACM Symp. User Interface Softw. Technol. (UIST), 2023, doi: 10.1145/3586183.3606763.</w:t>
      </w:r>
    </w:p>
    <w:p>
      <w:pPr>
        <w:spacing w:line="240" w:lineRule="auto" w:before="0" w:after="40"/>
        <w:jc w:val="both"/>
      </w:pPr>
      <w:r>
        <w:rPr>
          <w:rFonts w:ascii="Times New Roman" w:hAnsi="Times New Roman" w:eastAsia="Times New Roman"/>
          <w:color w:val="000000"/>
          <w:sz w:val="16"/>
        </w:rPr>
        <w:t>[33] J. Pearl, Causality: Models, Reasoning, and Inference, 2nd ed. Cambridge, U.K.: Cambridge Univ. Press, 2009.</w:t>
      </w:r>
    </w:p>
    <w:p>
      <w:pPr>
        <w:spacing w:line="240" w:lineRule="auto" w:before="160" w:after="80"/>
        <w:jc w:val="left"/>
      </w:pPr>
      <w:r>
        <w:rPr>
          <w:rFonts w:ascii="Helvetica Neue" w:hAnsi="Helvetica Neue" w:eastAsia="Helvetica Neue"/>
          <w:b/>
          <w:color w:val="00629B"/>
          <w:sz w:val="18"/>
        </w:rPr>
        <w:t>BIOGRAPHIES</w:t>
      </w:r>
    </w:p>
    <w:p>
      <w:pPr>
        <w:spacing w:line="240" w:lineRule="auto" w:before="0" w:after="80"/>
      </w:pPr>
      <w:r>
        <w:rPr>
          <w:rFonts w:ascii="Times New Roman" w:hAnsi="Times New Roman" w:eastAsia="Times New Roman"/>
          <w:i/>
          <w:sz w:val="16"/>
        </w:rPr>
        <w:t>[Photo placeholder — 100×120 px grayscale or color, supplied separately at production stage.]</w:t>
      </w:r>
    </w:p>
    <w:p>
      <w:pPr>
        <w:spacing w:line="240" w:lineRule="auto" w:before="0" w:after="80"/>
        <w:jc w:val="both"/>
      </w:pPr>
      <w:r>
        <w:rPr>
          <w:rFonts w:ascii="Times New Roman" w:hAnsi="Times New Roman" w:eastAsia="Times New Roman"/>
          <w:b/>
          <w:smallCaps/>
          <w:sz w:val="16"/>
        </w:rPr>
        <w:t xml:space="preserve">EISUKE TOKIWA </w:t>
      </w:r>
      <w:r>
        <w:rPr>
          <w:rFonts w:ascii="Times New Roman" w:hAnsi="Times New Roman" w:eastAsia="Times New Roman"/>
          <w:sz w:val="16"/>
        </w:rPr>
        <w:t>(Member, IEEE) is the founder of SUNBLAZE Co., Ltd., Tokyo, Japan. He received his graphic-design training in Japan and subsequently redirected his work toward computational psychology and workplace-organization research. His current research interests span the HEXACO personality model, workplace harassment, target-trial emulation in observational data, microsimulation pipelines with empirical-Bayes shrinkage, and pre-registered counterfactual causal analysis. Prior work includes a HEXACO 7-typology clustering of N = 13,668 Japanese respondents (IEEE Access, 2026). He is committed to fully reproducible, hash-verified analytical pipelines (MIT-licensed, OSF-archived). ORCID: 0009-0009-7124-6669. Contact: eisuke.tokiwa@sunblaze.jp.</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