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 xml:space="preserve">The author is the founder of SUNBLAZE Co., Ltd. (Tokyo, Japan), a private company that develops and markets proprietary personality-assessment and HR-analytics tools. The proprietary instruments offered by SUNBLAZE are independently developed and do not include the HEXACO-60 or the SD3-J used in the present study, and the findings reported here are not intended for, and will not be used in, SUNBLAZE product development, validation, marketing, or commercial promotion. SUNBLAZE provided no funding, personnel, infrastructure, data, or other resources for this research (see Funding). The author nonetheless discloses this commercial affiliation as a potential perceived conflict of interest in line with COPE and ICMJE guidance, so that readers and editors may evaluate the work in full knowledge of the author's commercial activity in the broader personality-assessment field. The author declares no other financial or non-financial interests relevant to this work.</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 xml:space="preserve">This research was funded entirely from the personal resources of the author. No external grant from public, commercial, or not-for-profit funding bodies was received. In particular, SUNBLAZE Co., Ltd. provided no financial contribution and no in-kind support (no personnel time, no software, no servers, no office or equipment, and no commercial datasets) at any stage of the research. Participant compensation, crowdsourcing-platform fees, and any Article Processing Charge required for publication are paid from the author's personal funds.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 xml:space="preserve">The study protocol was reviewed and approved by the Institutional Review Board of the Public Health Research Foundation (Reference No. 25G0001), an independent ethics review body unaffiliated with the author and SUNBLAZE Co., Ltd. All procedures complied with relevant Japanese regulations and the principles of the Declaration of Helsinki (2013).</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 xml:space="preserve">All participants were provided, prior to questionnaire administration, with written information regarding the purpose of the study, the voluntary nature of participation, their right to discontinue at any point without penalty, the planned handling of their responses (including separate storage and subsequent deletion of crowdsourcing-platform identifiers, retention of only de-identified questionnaire data, and public archiving of the de-identified dataset), and the planned dissemination of results. All participants provided informed consent before completing the questionnaires.</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 xml:space="preserve">The author thanks all participants for their voluntary cooperation in completing the questionnaires.</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 xml:space="preserve">Participants were recruited through the Lancers crowdsourcing platform (https://www.lancers.jp). Lancers user identifiers were collected at intake solely to disburse participant compensation, were stored separately from questionnaire responses, and were permanently deleted after payment. The dataset retained for analysis and made publicly available is therefore a de-identified dataset; it contains no direct identifiers (names, email addresses, IP addresses, exact dates of birth, employer information, or job titles) and no indirect identifiers from the recruitment platform (Lancers user IDs). To further reduce re-identification risk in the public release, the geographic-area variable was generalized from the original 11 Japanese regions into three categories (Kanto, Kinki, Other), and only HEXACO-60 subscale scores, SD3-J subscale scores, power-harassment and gender-harassment scale scores, age in 10-year decade categories, binary gender, and the generalized geographic-area category are retained. Each (age decade, gender, area category) combination corresponds to a real-world reference population numbering at least in the hundreds of thousands of Japanese residents, so re-identification of any individual record would require auxiliary information that is not contained in the released file. The de-identified dataset is available at https://github.com/etoki/paper/blob/main/harassment/raw.csv and the analysis code at https://github.com/etoki/paper/tree/main/harassment.</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 xml:space="preserve">A preprint of this manuscript is available on Research Square (https://doi.org/10.21203/rs.3.rs-7756124/v1) and is shared under the terms of the Research Square preprint posting policy.</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 xml:space="preserve">The author conceived and designed the study, recruited participants and collected the data, conducted all data analyses, drafted and revised the manuscript, and approved the final version submitted for publication.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0B2DE9" w:rsidRPr="000B2DE9">
        <w:t>These findings suggest that moral personality dimensions, particularly Honesty–Humility, may contribute uniquely to understanding harassment perpetration tendencies beyond antagonistic traits in non-WEIRD contexts.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Thielmann et al., 2021). Moreover, strong negative associations with the “dark” traits that counteract self-enhancement and the pursuit of resources and advantage have been consistently reported, suggesting the distinctiveness of the HEXACO moral dimension (Lee et al., 2013; Moshagen 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Conscientiousness, reflecting self-control, diligence, and adherence to norms, is consistently associated with higher task performance and productivity, higher OCB, and lower CWB, making it one of the most robust traits for 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DA75B4">
        <w:rPr>
          <w:rFonts w:asciiTheme="majorBidi" w:eastAsiaTheme="minorEastAsia" w:hAnsiTheme="majorBidi" w:cstheme="majorBidi" w:hint="eastAsia"/>
        </w:rPr>
        <w:t xml:space="preserve"> (</w:t>
      </w:r>
      <w:r w:rsidR="00DA75B4" w:rsidRPr="00DA75B4">
        <w:rPr>
          <w:rFonts w:asciiTheme="majorBidi" w:eastAsiaTheme="minorEastAsia" w:hAnsiTheme="majorBidi" w:cstheme="majorBidi"/>
        </w:rPr>
        <w:t>Henrich et al., 2010</w:t>
      </w:r>
      <w:r w:rsidR="00DA75B4">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By examining harassment perpetration tendencies in Japan, the present study helps address this cross-cultural generalizability issue and provides an empirical basis for discussing how cultural contexts may relate to the expression of dark traits and moral personality tendencies.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the Lancers crowdsourcing platform (https://www.lancers.jp),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Power harassment was assessed using the Workplace Power Harassment Scale 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than as a pure behavioral frequency count. As a sensitivity check, we also examined the behavioral subscale separately (reported in Supplementary Materials / Appendix), and the substantive conclusions were unchanged.</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This sign reversal should be interpreted cautiously as a conditional (unique) association rather than a straightforward protective effect. It likely reflects the partitioning of shared antagonistic variance among Dark Triad traits and broader personality dimensions in 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longitudinal and multi-method designs, would help clarify the relative and incremental contributions of Honesty–Humility and related traits to workplace harassment and other forms of workplace deviance.</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