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p>
    <w:p>
      <w:pPr>
        <w:spacing w:line="480" w:lineRule="auto" w:before="0" w:after="0"/>
      </w:pPr>
    </w:p>
    <w:p>
      <w:pPr>
        <w:spacing w:line="480" w:lineRule="auto" w:before="0" w:after="0"/>
        <w:jc w:val="center"/>
      </w:pPr>
      <w:r>
        <w:rPr>
          <w:rFonts w:ascii="Times New Roman" w:hAnsi="Times New Roman" w:eastAsia="Times New Roman"/>
          <w:b/>
          <w:sz w:val="24"/>
        </w:rPr>
        <w:t>Person-Level versus System-Level Anti-Harassment Interventions: HEXACO 7-Typology Evidence That Structure Dominates Personality in Japanese Workplaces</w:t>
      </w:r>
    </w:p>
    <w:p>
      <w:pPr>
        <w:spacing w:line="480" w:lineRule="auto" w:before="0" w:after="0"/>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pPr>
    </w:p>
    <w:p>
      <w:pPr>
        <w:spacing w:line="480" w:lineRule="auto" w:before="0" w:after="0"/>
      </w:pPr>
    </w:p>
    <w:p>
      <w:pPr>
        <w:spacing w:line="480" w:lineRule="auto" w:before="0" w:after="0"/>
        <w:jc w:val="center"/>
      </w:pPr>
      <w:r>
        <w:rPr>
          <w:rFonts w:ascii="Times New Roman" w:hAnsi="Times New Roman" w:eastAsia="Times New Roman"/>
          <w:b/>
          <w:sz w:val="24"/>
        </w:rPr>
        <w:t>Author Note</w:t>
      </w:r>
    </w:p>
    <w:p>
      <w:pPr>
        <w:spacing w:line="480" w:lineRule="auto" w:before="0" w:after="0"/>
      </w:pPr>
      <w:r>
        <w:rPr>
          <w:rFonts w:ascii="Times New Roman" w:hAnsi="Times New Roman" w:eastAsia="Times New Roman"/>
          <w:sz w:val="24"/>
        </w:rPr>
        <w:t>Eisuke Tokiwa  https://orcid.org/0009-0009-7124-6669</w:t>
      </w:r>
    </w:p>
    <w:p>
      <w:pPr>
        <w:spacing w:line="480" w:lineRule="auto" w:before="0" w:after="0"/>
      </w:pPr>
      <w:r>
        <w:rPr>
          <w:rFonts w:ascii="Times New Roman" w:hAnsi="Times New Roman" w:eastAsia="Times New Roman"/>
          <w:sz w:val="24"/>
        </w:rPr>
        <w:t>The author has no known conflict of interest to disclose beyond that stated in the Declarations below.</w:t>
      </w:r>
    </w:p>
    <w:p>
      <w:pPr>
        <w:spacing w:line="480" w:lineRule="auto" w:before="0" w:after="0"/>
      </w:pPr>
      <w:r>
        <w:rPr>
          <w:rFonts w:ascii="Times New Roman" w:hAnsi="Times New Roman" w:eastAsia="Times New Roman"/>
          <w:sz w:val="24"/>
        </w:rPr>
        <w:t>Correspondence concerning this article should be addressed to Eisuke Tokiwa, SUNBLAZE Co., Ltd., Tokyo, Japan. Email: eisuke.tokiwa@sunblaze.jp</w:t>
      </w:r>
    </w:p>
    <w:p>
      <w:pPr>
        <w:spacing w:line="480" w:lineRule="auto" w:before="0" w:after="0"/>
      </w:pP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(bias) the work reported in this paper.</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was self-funded by SUNBLAZE Co., Ltd. (Tokyo, Japan). No external grant funding from agencies in the public, commercial, or not-for-profit sectors was received.</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The N = 354 individual-level harassment data re-analyzed in this study were originally collected under an IRB-approved protocol described in Tokiwa (2025, Research Square preprint, DOI 10.21203/rs.3.rs-7756124/v1). Secondary analysis of these de-identified data does not require additional ethics review under SUNBLAZE Co., Ltd. policy.</w:t>
      </w:r>
    </w:p>
    <w:p>
      <w:pPr>
        <w:spacing w:line="480" w:lineRule="auto" w:before="0" w:after="0"/>
      </w:pPr>
    </w:p>
    <w:p>
      <w:pPr>
        <w:spacing w:line="480" w:lineRule="auto" w:before="0" w:after="0"/>
      </w:pPr>
      <w:r>
        <w:rPr>
          <w:rFonts w:ascii="Times New Roman" w:hAnsi="Times New Roman" w:eastAsia="Times New Roman"/>
          <w:b/>
          <w:sz w:val="24"/>
        </w:rPr>
        <w:t>Informed Consent</w:t>
      </w:r>
    </w:p>
    <w:p>
      <w:pPr>
        <w:spacing w:line="480" w:lineRule="auto" w:before="0" w:after="0"/>
      </w:pPr>
      <w:r>
        <w:rPr>
          <w:rFonts w:ascii="Times New Roman" w:hAnsi="Times New Roman" w:eastAsia="Times New Roman"/>
          <w:sz w:val="24"/>
        </w:rPr>
        <w:t>All N = 354 participants in the original survey provided informed consent for research use of their de-identified responses (per Tokiwa, 2025). The present secondary analysis introduces no new participant contact.</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Stage 2 Registered Report implements, without deviation, the analysis plan pre-registered as v2.0 at the Open Science Framework (DOI 10.17605/OSF.IO/3Y54U; https://osf.io/3y54u; registered 2026-04-30). The Section 6.5 Level 1 Methods Clarifications Log accompanying the v2.0 registration documents 16 minor specification clarifications applied prior to Stage 0 implementation.</w:t>
      </w:r>
    </w:p>
    <w:p>
      <w:pPr>
        <w:spacing w:line="480" w:lineRule="auto" w:before="0" w:after="0"/>
      </w:pPr>
    </w:p>
    <w:p>
      <w:pPr>
        <w:spacing w:line="480" w:lineRule="auto" w:before="0" w:after="0"/>
      </w:pPr>
      <w:r>
        <w:rPr>
          <w:rFonts w:ascii="Times New Roman" w:hAnsi="Times New Roman" w:eastAsia="Times New Roman"/>
          <w:b/>
          <w:sz w:val="24"/>
        </w:rPr>
        <w:t>Availability of data and material</w:t>
      </w:r>
    </w:p>
    <w:p>
      <w:pPr>
        <w:spacing w:line="480" w:lineRule="auto" w:before="0" w:after="0"/>
      </w:pPr>
      <w:r>
        <w:rPr>
          <w:rFonts w:ascii="Times New Roman" w:hAnsi="Times New Roman" w:eastAsia="Times New Roman"/>
          <w:sz w:val="24"/>
        </w:rPr>
        <w:t>Public-tier supplementary artifacts (Stage 0–8 HDF5, Figures 1–6 in PNG/PDF/SVG, canonical numerical record, SHA-256 reference hashes) are openly available at the v2.0 OSF working project (osf.io/3hxz6, v2.0/v2.0_supplementary.tar.gz). The N = 354 individual-level dataset is governed by the IRB-approved data-sharing protocol and hosted in a Private OSF component with a documented Request-Access mechanism (parent project Wiki at osf.io/3hxz6/wiki/home/ lists access criteria, IRB requirements, and data-use terms). All analysis code is publicly archived under MIT license at https://github.com/etoki/paper (directory: simulation/).</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sole author (Eisuke Tokiwa) was responsible for conceptualization, methodology, software, formal analysis, investigation, data curation, writing — original draft, and writing — review &amp; editing.</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 preprint of the original survey (the underlying N = 354 dataset and its descriptive analyses) is available at Research Square (DOI 10.21203/rs.3.rs-7756124/v1; Tokiwa, 2025). The seven HEXACO cluster centroids used as fixed parameters in this study are from the companion paper Tokiwa (2026, IEEE Access, DOI 10.1109/ACCESS.2026.3651324).</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anonymous external methodologist (mode B; mathematical biology background) whose review memo led to the Section 6.5 Level 1 Methods Clarifications Log, and the N = 354 survey respondents whose anonymized data made this analysis possible.</w:t>
      </w:r>
    </w:p>
    <w:p>
      <w:r>
        <w:br w:type="page"/>
      </w:r>
    </w:p>
    <w:p>
      <w:pPr>
        <w:spacing w:line="480" w:lineRule="auto" w:before="0" w:after="0"/>
        <w:jc w:val="center"/>
      </w:pPr>
      <w:r>
        <w:rPr>
          <w:rFonts w:ascii="Times New Roman" w:hAnsi="Times New Roman" w:eastAsia="Times New Roman"/>
          <w:b/>
          <w:sz w:val="24"/>
        </w:rPr>
        <w:t>Abstract</w:t>
      </w:r>
    </w:p>
    <w:p>
      <w:pPr>
        <w:spacing w:line="480" w:lineRule="auto" w:before="0" w:after="0"/>
        <w:ind w:firstLine="720"/>
      </w:pPr>
      <w:r>
        <w:rPr>
          <w:rFonts w:ascii="Times New Roman" w:hAnsi="Times New Roman" w:eastAsia="Times New Roman"/>
          <w:sz w:val="24"/>
        </w:rPr>
        <w:t>Workplace harassment imposes major public-health costs in Japan, where Ministry of Health, Labour and Welfare (MHLW) surveys document past-three-year power-harassment victimization declining from 32.5% (FY2016) to 19.3% (FY2023) following the 2020 Power Harassment Prevention Law. Whether this decline reflects structural intervention or what realistic personality interventions could achieve remains untested. We pre-registered (OSF DOI 10.17605/OSF.IO/3Y54U) a 7-typology HEXACO microsimulation emulating a target trial of three counterfactuals: (A) universal +0.3 SD shift on Honesty-Humility, Agreeableness, and Emotionality; (B) targeted +0.40 SD Honesty-Humility shift restricted to individuals already in three low-prevalence typologies (Clusters {0, 4, 6}); (C) structural cell-level propensity reduction of 20%, calibrated against three meta-analyses. Using N = 354 individual-level data partitioned into 14 cells (7 typologies × 2 genders) with cell-stratified bootstrap (B = 10,000), Beta-Binomial empirical Bayes shrinkage, and a four-step BCa confidence-interval cascade, ΔP_A = −0.0061 ([−0.0207, +0.0062]) and ΔP_B = −0.0059 ([−0.0207, +0.0066]) are null, whereas ΔP_C = +0.0349 ([+0.0264, +0.0435]) is positive and robust. The intersection-union test classifies this configuration as REVERSAL — structural intervention dominates personality intervention by ~5.7×. Robustness holds across cultural attenuation factors of 0.3–1.0 and nine pre-registered analytic choices. HEXACO 7-typology serves as a stratification variable identifying differentially exposed populations, not an intervention target; we reject victim-blaming framings of harassment exposure.</w:t>
      </w:r>
    </w:p>
    <w:p>
      <w:pPr>
        <w:spacing w:line="480" w:lineRule="auto" w:before="0" w:after="0"/>
        <w:ind w:firstLine="720"/>
      </w:pPr>
      <w:r>
        <w:rPr>
          <w:rFonts w:ascii="Times New Roman" w:hAnsi="Times New Roman" w:eastAsia="Times New Roman"/>
          <w:sz w:val="24"/>
        </w:rPr>
        <w:t>**Keywords**: workplace harassment; HEXACO; counterfactual simulation; target trial emulation; Japan; pre-registration; structural intervention; personality intervention; 2020 Power Harassment Prevention Law</w:t>
      </w:r>
    </w:p>
    <w:p>
      <w:pPr>
        <w:spacing w:line="480" w:lineRule="auto" w:before="0" w:after="0"/>
        <w:jc w:val="center"/>
      </w:pPr>
      <w:r>
        <w:rPr>
          <w:rFonts w:ascii="Times New Roman" w:hAnsi="Times New Roman" w:eastAsia="Times New Roman"/>
          <w:b/>
          <w:sz w:val="24"/>
        </w:rPr>
        <w:t>Introduction</w:t>
      </w:r>
    </w:p>
    <w:p>
      <w:pPr>
        <w:spacing w:line="480" w:lineRule="auto" w:before="0" w:after="0"/>
        <w:jc w:val="left"/>
      </w:pPr>
      <w:r>
        <w:rPr>
          <w:rFonts w:ascii="Times New Roman" w:hAnsi="Times New Roman" w:eastAsia="Times New Roman"/>
          <w:b/>
          <w:sz w:val="24"/>
        </w:rPr>
        <w:t>Workplace harassment as a public-health and policy problem</w:t>
      </w:r>
    </w:p>
    <w:p>
      <w:pPr>
        <w:spacing w:line="480" w:lineRule="auto" w:before="0" w:after="0"/>
        <w:ind w:firstLine="720"/>
      </w:pPr>
      <w:r>
        <w:rPr>
          <w:rFonts w:ascii="Times New Roman" w:hAnsi="Times New Roman" w:eastAsia="Times New Roman"/>
          <w:sz w:val="24"/>
        </w:rPr>
        <w:t>Workplace harassment is a leading driver of psychiatric morbidity, voluntary turnover, and lost productivity in industrialized economies (Hershcovis &amp; Barling, 2010; Salin, 2003). In Japan, the Ministry of Health, Labour and Welfare (MHLW) has documented past-three-year power-harassment victimization rates of 32.5% in FY2016, 31.4% in FY2020, and 19.3% in FY2023 (MHLW, 2017, 2021, 2024). The 13.2 percentage-point decline between FY2016 and FY2023 coincides closely with the staged enforcement of the 2020 Power Harassment Prevention Law, which mandated formal anti-harassment policies, employee-accessible reporting channels, and prohibited retaliation against complainants — first for large enterprises in June 2020, and subsequently extended to small-and-medium enterprises in April 2022. This natural experiment offers a rare opportunity to interrogate what types of intervention reduce harassment, and at what scale.</w:t>
      </w:r>
    </w:p>
    <w:p>
      <w:pPr>
        <w:spacing w:line="480" w:lineRule="auto" w:before="0" w:after="0"/>
        <w:ind w:firstLine="720"/>
      </w:pPr>
      <w:r>
        <w:rPr>
          <w:rFonts w:ascii="Times New Roman" w:hAnsi="Times New Roman" w:eastAsia="Times New Roman"/>
          <w:sz w:val="24"/>
        </w:rPr>
        <w:t>A long-standing controversy in workplace-psychology research concerns whether to allocate prevention resources toward person-level interventions — for example, personality training, mindset coaching, or hiring screens designed to filter out individuals with traits associated with harassment perpetration — versus system-level interventions that modify organizational structure, accountability mechanisms, and power asymmetries (Mikkelsen et al., 2020; Salin, 2021). The former approach assumes that harassment is largely driven by individual disposition; the latter, that it is largely driven by environmental affordance. Despite extensive research linking personality traits to bullying and harassment (Nielsen et al., 2017; Pilch &amp; Turska, 2015), the relative population-level efficacy of person-level versus system-level interventions has not been quantitatively compared in a counterfactually rigorous framework.</w:t>
      </w:r>
    </w:p>
    <w:p>
      <w:pPr>
        <w:spacing w:line="480" w:lineRule="auto" w:before="0" w:after="0"/>
        <w:jc w:val="left"/>
      </w:pPr>
      <w:r>
        <w:rPr>
          <w:rFonts w:ascii="Times New Roman" w:hAnsi="Times New Roman" w:eastAsia="Times New Roman"/>
          <w:b/>
          <w:sz w:val="24"/>
        </w:rPr>
        <w:t>HEXACO 7-typology and its prior connection to workplace harassment</w:t>
      </w:r>
    </w:p>
    <w:p>
      <w:pPr>
        <w:spacing w:line="480" w:lineRule="auto" w:before="0" w:after="0"/>
        <w:ind w:firstLine="720"/>
      </w:pPr>
      <w:r>
        <w:rPr>
          <w:rFonts w:ascii="Times New Roman" w:hAnsi="Times New Roman" w:eastAsia="Times New Roman"/>
          <w:sz w:val="24"/>
        </w:rPr>
        <w:t>The HEXACO model of personality (Ashton &amp; Lee, 2007) extends the classical Big Five framework with an additional dimension, Honesty-Humility (HH), which captures fairness, modesty, sincerity, and resistance to exploiting others. Within the HEXACO literature, low Honesty-Humility, low Agreeableness, and high Emotionality have repeatedly been associated with workplace bullying perpetration and victimization (Glasø et al., 2007; Lee et al., 2013; Linton &amp; Power, 2013; Nielsen et al., 2017). However, the magnitude of these associations is generally modest (uncorrected r typically in the range 0.10–0.30; Nielsen et al., 2017), and recent meta-analyses suggest considerable cross-cultural heterogeneity in workplace bullying acceptability and effect sizes (Power et al., 2013, comparing six continents; Nielsen et al., 2017, reporting attenuated Asia/Oceania effects of r = .16 versus European r = .33 for Neuroticism–bullying associations).</w:t>
      </w:r>
    </w:p>
    <w:p>
      <w:pPr>
        <w:spacing w:line="480" w:lineRule="auto" w:before="0" w:after="0"/>
        <w:ind w:firstLine="720"/>
      </w:pPr>
      <w:r>
        <w:rPr>
          <w:rFonts w:ascii="Times New Roman" w:hAnsi="Times New Roman" w:eastAsia="Times New Roman"/>
          <w:sz w:val="24"/>
        </w:rPr>
        <w:t>In a companion study, our research group identified seven robust HEXACO clusters in a Japanese sample of N = 13,668 (Tokiwa, 2026, *IEEE Access*; herein "the centroid study"). The seven typologies — labeled here as types 0 through 6 — span the joint distribution of HEXACO domains and provide a parsimonious taxonomy for categorizing individuals according to their personality profile. The present study leverages these *IEEE Access*–published centroids as fixed parameters for stratifying a smaller harassment-focused subsample (N = 354; Tokiwa, 2025, Research Square preprint).</w:t>
      </w:r>
    </w:p>
    <w:p>
      <w:pPr>
        <w:spacing w:line="480" w:lineRule="auto" w:before="0" w:after="0"/>
        <w:ind w:firstLine="720"/>
      </w:pPr>
      <w:r>
        <w:rPr>
          <w:rFonts w:ascii="Times New Roman" w:hAnsi="Times New Roman" w:eastAsia="Times New Roman"/>
          <w:sz w:val="24"/>
        </w:rPr>
        <w:t>**A critical reframing.** The role of HEXACO in this study is *not* to identify who should be subjected to personality interventions. Rather, HEXACO 7-typology serves as a *stratification variable* that identifies which subgroups are differentially exposed to workplace harassment. Whether this differential exposure reflects direct personality causation (low-HH individuals harass or are harassed at higher rates), selection (low-HH individuals self-select into harassment-prone industries), confounding (shared socioeconomic factors elevate both low-HH and harassment risk), or reverse causation (harassment exposure depresses HH scores via cynicism) cannot be distinguished from observational data alone. Our counterfactual analysis is designed to identify which of these mechanisms is *not* the dominant one — namely, by testing whether shifting individuals' HEXACO scores reduces aggregate prevalence — but is not designed to adjudicate among the remaining alternatives.</w:t>
      </w:r>
    </w:p>
    <w:p>
      <w:pPr>
        <w:spacing w:line="480" w:lineRule="auto" w:before="0" w:after="0"/>
        <w:jc w:val="left"/>
      </w:pPr>
      <w:r>
        <w:rPr>
          <w:rFonts w:ascii="Times New Roman" w:hAnsi="Times New Roman" w:eastAsia="Times New Roman"/>
          <w:b/>
          <w:sz w:val="24"/>
        </w:rPr>
        <w:t>Microsimulation as a methodological bridge</w:t>
      </w:r>
    </w:p>
    <w:p>
      <w:pPr>
        <w:spacing w:line="480" w:lineRule="auto" w:before="0" w:after="0"/>
        <w:ind w:firstLine="720"/>
      </w:pPr>
      <w:r>
        <w:rPr>
          <w:rFonts w:ascii="Times New Roman" w:hAnsi="Times New Roman" w:eastAsia="Times New Roman"/>
          <w:sz w:val="24"/>
        </w:rPr>
        <w:t>Microsimulation methods, originating in demographic and economic policy analysis (Spielauer, 2011) and extended into epidemiology and public health (Rutter et al., 2011), allow researchers to project individual-level data into population-level prevalence estimates under counterfactual scenarios. The methodological strength of microsimulation lies in its ability to combine (a) detailed individual-level inputs, (b) population-level reweighting via official census or labor-force statistics, and (c) explicit counterfactual interventions with causal interpretation. In contrast to purely statistical adjustment or survey reweighting, microsimulation makes the implementation of "what-if" interventions explicit and falsifiable.</w:t>
      </w:r>
    </w:p>
    <w:p>
      <w:pPr>
        <w:spacing w:line="480" w:lineRule="auto" w:before="0" w:after="0"/>
        <w:ind w:firstLine="720"/>
      </w:pPr>
      <w:r>
        <w:rPr>
          <w:rFonts w:ascii="Times New Roman" w:hAnsi="Times New Roman" w:eastAsia="Times New Roman"/>
          <w:sz w:val="24"/>
        </w:rPr>
        <w:t>The present study adopts the framework of *target trial emulation* (Hernán &amp; Robins, 2016, 2020) to formalize the counterfactual interventions of interest. Target trial emulation requires four identifying assumptions: (i) consistency between observed and counterfactual treatments, (ii) exchangeability conditional on measured covariates, (iii) positivity of treatment assignment, and (iv) absence of interference between units (SUTVA; Hudgens &amp; Halloran, 2008). We address each assumption explicitly in the Methods and Discussion.</w:t>
      </w:r>
    </w:p>
    <w:p>
      <w:pPr>
        <w:spacing w:line="480" w:lineRule="auto" w:before="0" w:after="0"/>
        <w:ind w:firstLine="720"/>
      </w:pPr>
      <w:r>
        <w:rPr>
          <w:rFonts w:ascii="Times New Roman" w:hAnsi="Times New Roman" w:eastAsia="Times New Roman"/>
          <w:sz w:val="24"/>
        </w:rPr>
        <w:t>Counterfactual contrasts are formulated using the Pearl (2009) do-operator. Specifically, we define three pre-registered interventions:</w:t>
      </w:r>
    </w:p>
    <w:p>
      <w:pPr>
        <w:pStyle w:val="ListBullet"/>
        <w:spacing w:line="480" w:lineRule="auto" w:before="0" w:after="0"/>
      </w:pPr>
      <w:r>
        <w:rPr>
          <w:rFonts w:ascii="Times New Roman" w:hAnsi="Times New Roman" w:eastAsia="Times New Roman"/>
          <w:sz w:val="24"/>
        </w:rPr>
        <w:t>Counterfactual A (personality intervention): do(HH ← HH + 0.3 σ_HH; A ← A + 0.3 σ_A; E ← E + 0.3 σ_E). The +0.3 SD calibration is derived from the upper bound of effect sizes reported in personality-training meta-analyses (Hudson &amp; Fraley, 2015; Roberts et al., 2017).</w:t>
      </w:r>
    </w:p>
    <w:p>
      <w:pPr>
        <w:pStyle w:val="ListBullet"/>
        <w:spacing w:line="480" w:lineRule="auto" w:before="0" w:after="0"/>
      </w:pPr>
      <w:r>
        <w:rPr>
          <w:rFonts w:ascii="Times New Roman" w:hAnsi="Times New Roman" w:eastAsia="Times New Roman"/>
          <w:sz w:val="24"/>
        </w:rPr>
        <w:t>Counterfactual B (targeted personality intervention on low-prevalence subgroup): do(HH := HH + 0.40 σ_HH) restricted to individuals whose baseline cluster is already in the pre-registered low-prevalence target set {0, 4, 6}; HEXACO scores of all other individuals are unchanged. After the targeted shift, all individuals are re-classified by nearest-centroid on the post-intervention HEXACO matrix and per-cell propensities are re-computed. This intervention represents a subgroup-targeted personality-amplification scenario rather than a forced reassignment of the full sample, and serves as a falsification benchmark for any person-level intervention focused on the lowest-prevalence typologies.</w:t>
      </w:r>
    </w:p>
    <w:p>
      <w:pPr>
        <w:pStyle w:val="ListBullet"/>
        <w:spacing w:line="480" w:lineRule="auto" w:before="0" w:after="0"/>
      </w:pPr>
      <w:r>
        <w:rPr>
          <w:rFonts w:ascii="Times New Roman" w:hAnsi="Times New Roman" w:eastAsia="Times New Roman"/>
          <w:sz w:val="24"/>
        </w:rPr>
        <w:t>Counterfactual C (structural reform): do(P_{c, x = power} ← 0.8 × P_{c, x = power}). Cell-level propensity is reduced by 20% uniformly across all cluster × gender cells, calibrated against three meta-analyses of organizational anti-harassment interventions (Escartín, 2016; Hodgins et al., 2014; Salin, 2021), as well as the empirical −13.2 percentage-point reduction observed in the MHLW survey series between FY2016 and FY2023, spanning the 2020 Power Harassment Prevention Law's staged enforcement.</w:t>
      </w:r>
    </w:p>
    <w:p>
      <w:pPr>
        <w:spacing w:line="480" w:lineRule="auto" w:before="0" w:after="0"/>
        <w:ind w:firstLine="720"/>
      </w:pPr>
      <w:r>
        <w:rPr>
          <w:rFonts w:ascii="Times New Roman" w:hAnsi="Times New Roman" w:eastAsia="Times New Roman"/>
          <w:sz w:val="24"/>
        </w:rPr>
        <w:t>The asymmetry between A/B and C — namely, that A and B intervene on personality while C intervenes on the propensity-environment pathway — operationalizes the question: *given comparable effect sizes drawn from prior literature on each intervention type, which produces a larger population-level prevalence reduction?*</w:t>
      </w:r>
    </w:p>
    <w:p>
      <w:pPr>
        <w:spacing w:line="480" w:lineRule="auto" w:before="0" w:after="0"/>
        <w:jc w:val="left"/>
      </w:pPr>
      <w:r>
        <w:rPr>
          <w:rFonts w:ascii="Times New Roman" w:hAnsi="Times New Roman" w:eastAsia="Times New Roman"/>
          <w:b/>
          <w:sz w:val="24"/>
        </w:rPr>
        <w:t>Hypotheses</w:t>
      </w:r>
    </w:p>
    <w:p>
      <w:pPr>
        <w:spacing w:line="480" w:lineRule="auto" w:before="0" w:after="0"/>
        <w:ind w:firstLine="720"/>
      </w:pPr>
      <w:r>
        <w:rPr>
          <w:rFonts w:ascii="Times New Roman" w:hAnsi="Times New Roman" w:eastAsia="Times New Roman"/>
          <w:sz w:val="24"/>
        </w:rPr>
        <w:t>The pre-registration v2.0 (OSF DOI 10.17605/OSF.IO/3Y54U) specifies seven primary hypotheses:</w:t>
      </w:r>
    </w:p>
    <w:p>
      <w:pPr>
        <w:pStyle w:val="ListBullet"/>
        <w:spacing w:line="480" w:lineRule="auto" w:before="0" w:after="0"/>
      </w:pPr>
      <w:r>
        <w:rPr>
          <w:rFonts w:ascii="Times New Roman" w:hAnsi="Times New Roman" w:eastAsia="Times New Roman"/>
          <w:sz w:val="24"/>
        </w:rPr>
        <w:t>H1 (latent prevalence prediction): The 14-cell HEXACO 7-typology × gender model, when re-weighted using Statistics Bureau (Ministry of Internal Affairs and Communications) Labor Force Survey 2022 marginals, predicts national past-three-year power-harassment prevalence with mean absolute percentage error (MAPE) ≤ 30% relative to MHLW survey targets across FY2016, FY2020, and FY2023 (4-tier judgment hierarchy: Strict SUCCESS, Standard SUCCESS, PARTIAL SUCCESS, FAILURE).</w:t>
      </w:r>
    </w:p>
    <w:p>
      <w:pPr>
        <w:pStyle w:val="ListBullet"/>
        <w:spacing w:line="480" w:lineRule="auto" w:before="0" w:after="0"/>
      </w:pPr>
      <w:r>
        <w:rPr>
          <w:rFonts w:ascii="Times New Roman" w:hAnsi="Times New Roman" w:eastAsia="Times New Roman"/>
          <w:sz w:val="24"/>
        </w:rPr>
        <w:t>H2 (baseline ordinal hierarchy): The progression of model sophistication from B0 (uniform = MHLW grand mean) through B4 (extended with age and age × cluster interactions) shows monotonically improving MAPE_FY2016, tested via Bonferroni-Holm pairwise inequalities and Page's L (1963) trend test.</w:t>
      </w:r>
    </w:p>
    <w:p>
      <w:pPr>
        <w:pStyle w:val="ListBullet"/>
        <w:spacing w:line="480" w:lineRule="auto" w:before="0" w:after="0"/>
      </w:pPr>
      <w:r>
        <w:rPr>
          <w:rFonts w:ascii="Times New Roman" w:hAnsi="Times New Roman" w:eastAsia="Times New Roman"/>
          <w:sz w:val="24"/>
        </w:rPr>
        <w:t>H3 (centroid concordance): The IEEE Access–published centroids (Tokiwa, 2026) fitted in the N = 13,668 sample are reproduced within sampling error in the N = 354 subsample (Tokiwa, 2025).</w:t>
      </w:r>
    </w:p>
    <w:p>
      <w:pPr>
        <w:pStyle w:val="ListBullet"/>
        <w:spacing w:line="480" w:lineRule="auto" w:before="0" w:after="0"/>
      </w:pPr>
      <w:r>
        <w:rPr>
          <w:rFonts w:ascii="Times New Roman" w:hAnsi="Times New Roman" w:eastAsia="Times New Roman"/>
          <w:sz w:val="24"/>
        </w:rPr>
        <w:t>H4 (cell-stratified internal consistency): Per-cell propensity estimates p̂_c are stable across alternative bootstrap procedures within each cell.</w:t>
      </w:r>
    </w:p>
    <w:p>
      <w:pPr>
        <w:pStyle w:val="ListBullet"/>
        <w:spacing w:line="480" w:lineRule="auto" w:before="0" w:after="0"/>
      </w:pPr>
      <w:r>
        <w:rPr>
          <w:rFonts w:ascii="Times New Roman" w:hAnsi="Times New Roman" w:eastAsia="Times New Roman"/>
          <w:sz w:val="24"/>
        </w:rPr>
        <w:t>H5 (gender invariance): The HEXACO-harassment association is qualitatively similar across genders (verified via 14-cell vs 28-cell sensitivity).</w:t>
      </w:r>
    </w:p>
    <w:p>
      <w:pPr>
        <w:pStyle w:val="ListBullet"/>
        <w:spacing w:line="480" w:lineRule="auto" w:before="0" w:after="0"/>
      </w:pPr>
      <w:r>
        <w:rPr>
          <w:rFonts w:ascii="Times New Roman" w:hAnsi="Times New Roman" w:eastAsia="Times New Roman"/>
          <w:sz w:val="24"/>
        </w:rPr>
        <w:t>H6 (cross-domain triangulation): Power and gender harassment scales (Tou et al., 2017; Kobayashi &amp; Tanaka, 2010) yield concordant cluster-level rankings.</w:t>
      </w:r>
    </w:p>
    <w:p>
      <w:pPr>
        <w:pStyle w:val="ListBullet"/>
        <w:spacing w:line="480" w:lineRule="auto" w:before="0" w:after="0"/>
      </w:pPr>
      <w:r>
        <w:rPr>
          <w:rFonts w:ascii="Times New Roman" w:hAnsi="Times New Roman" w:eastAsia="Times New Roman"/>
          <w:sz w:val="24"/>
        </w:rPr>
        <w:t>H7 (counterfactual ordering): The pre-registered ordering Δ_BA = ΔP_B − ΔP_A and Δ_BC = ΔP_B − ΔP_C is tested via the Berger and Hsu (1996) intersection-union test (IUT) at one-sided α = .05; the configuration is classified as REVERSAL, CONFIRMED, PARTIAL, or AMBIGUOUS.</w:t>
      </w:r>
    </w:p>
    <w:p>
      <w:pPr>
        <w:spacing w:line="480" w:lineRule="auto" w:before="0" w:after="0"/>
        <w:jc w:val="left"/>
      </w:pPr>
      <w:r>
        <w:rPr>
          <w:rFonts w:ascii="Times New Roman" w:hAnsi="Times New Roman" w:eastAsia="Times New Roman"/>
          <w:b/>
          <w:sz w:val="24"/>
        </w:rPr>
        <w:t>Contribution and roadmap</w:t>
      </w:r>
    </w:p>
    <w:p>
      <w:pPr>
        <w:spacing w:line="480" w:lineRule="auto" w:before="0" w:after="0"/>
        <w:ind w:firstLine="720"/>
      </w:pPr>
      <w:r>
        <w:rPr>
          <w:rFonts w:ascii="Times New Roman" w:hAnsi="Times New Roman" w:eastAsia="Times New Roman"/>
          <w:sz w:val="24"/>
        </w:rPr>
        <w:t>This study makes four contributions:</w:t>
      </w:r>
    </w:p>
    <w:p>
      <w:pPr>
        <w:spacing w:line="480" w:lineRule="auto" w:before="0" w:after="0"/>
        <w:ind w:firstLine="720"/>
      </w:pPr>
      <w:r>
        <w:rPr>
          <w:rFonts w:ascii="Times New Roman" w:hAnsi="Times New Roman" w:eastAsia="Times New Roman"/>
          <w:sz w:val="24"/>
        </w:rPr>
        <w:t>1. **Methodological**: It demonstrates an end-to-end pre-registered counterfactual microsimulation pipeline for workplace harassment research, with full reproducibility (HDF5 artifacts, fixed seed = 20260429, Docker container, MIT-licensed code; public supplementary archive at OSF DOI 10.17605/OSF.IO/3Y54U), open aggregate data (Stage 0–8 HDF5 + figures + canonical numerical record, freely downloadable from OSF), and IRB-restricted individual-level access (the N = 354 raw dataset is hosted in a Private OSF component with a documented access-request mechanism; methodology described in Tokiwa 2025, Research Square preprint; centroids retrieved from the *IEEE Access* clustering paper, Tokiwa 2026). 2. **Empirical**: It provides the first quantitative apples-to-apples comparison of person-level and system-level intervention effects on Japanese workplace harassment prevalence, leveraging effect-size calibrations from prior meta-analyses. 3. **Substantive**: It rejects the conventional reading of HEXACO 7-typology as an intervention target, repositioning it as a stratification lens for identifying differentially exposed populations. 4. **Policy-relevant**: It provides counterfactual evidence that the 2020 Power Harassment Prevention Law's structural mechanism is approximately 5.7× more effective at the population level than the personality-training interventions to which Japanese corporate HR programs allocate the majority of harassment-prevention budget.</w:t>
      </w:r>
    </w:p>
    <w:p>
      <w:pPr>
        <w:spacing w:line="480" w:lineRule="auto" w:before="0" w:after="0"/>
        <w:ind w:firstLine="720"/>
      </w:pPr>
      <w:r>
        <w:rPr>
          <w:rFonts w:ascii="Times New Roman" w:hAnsi="Times New Roman" w:eastAsia="Times New Roman"/>
          <w:sz w:val="24"/>
        </w:rPr>
        <w:t>The remainder of this manuscript is organized as follows. Section 2 details the data sources, sample, and pre-registered analytic procedures. Section 3 reports the 14-cell propensities, national prevalence aggregation, four-tier H1 classification, baseline comparison, sensitivity sweep, and counterfactual contrasts. Section 4 discusses methodological limitations (reduced-form framing, causal under-identification, heterogeneity neglect, static framing) and sketches future agent-based extensions. Section 5 concludes with policy implications. All code, data, and intermediate artifacts are publicly archived at OSF (DOI 10.17605/OSF.IO/3Y54U) and GitHub (https://github.com/etoki/paper).</w:t>
      </w:r>
    </w:p>
    <w:p>
      <w:r>
        <w:br w:type="page"/>
      </w:r>
    </w:p>
    <w:p>
      <w:pPr>
        <w:spacing w:line="480" w:lineRule="auto" w:before="0" w:after="0"/>
        <w:ind w:firstLine="720"/>
      </w:pPr>
      <w:r>
        <w:rPr>
          <w:rFonts w:ascii="Times New Roman" w:hAnsi="Times New Roman" w:eastAsia="Times New Roman"/>
          <w:sz w:val="24"/>
        </w:rPr>
        <w:t>All procedures were pre-registered at OSF prior to data analysis (DOI 10.17605/OSF.IO/3Y54U; v2.0 registered/locked 2026-04-30). Code, intermediate artifacts (HDF5), random seeds, and Docker containerization are publicly archived at &lt;https://github.com/etoki/paper&gt;. The analysis is fully reproducible via `make reproduce` (~30 minutes on a single core). All stochastic operations use the locked seed 20260429.</w:t>
      </w:r>
    </w:p>
    <w:p>
      <w:pPr>
        <w:spacing w:line="480" w:lineRule="auto" w:before="0" w:after="0"/>
        <w:jc w:val="center"/>
      </w:pPr>
      <w:r>
        <w:rPr>
          <w:rFonts w:ascii="Times New Roman" w:hAnsi="Times New Roman" w:eastAsia="Times New Roman"/>
          <w:b/>
          <w:sz w:val="24"/>
        </w:rPr>
        <w:t>Data sources</w:t>
      </w:r>
    </w:p>
    <w:p>
      <w:pPr>
        <w:spacing w:line="480" w:lineRule="auto" w:before="0" w:after="0"/>
        <w:jc w:val="left"/>
      </w:pPr>
      <w:r>
        <w:rPr>
          <w:rFonts w:ascii="Times New Roman" w:hAnsi="Times New Roman" w:eastAsia="Times New Roman"/>
          <w:b/>
          <w:sz w:val="24"/>
        </w:rPr>
        <w:t>Individual-level harassment data (N = 354)</w:t>
      </w:r>
    </w:p>
    <w:p>
      <w:pPr>
        <w:spacing w:line="480" w:lineRule="auto" w:before="0" w:after="0"/>
        <w:ind w:firstLine="720"/>
      </w:pPr>
      <w:r>
        <w:rPr>
          <w:rFonts w:ascii="Times New Roman" w:hAnsi="Times New Roman" w:eastAsia="Times New Roman"/>
          <w:sz w:val="24"/>
        </w:rPr>
        <w:t>We use the Tokiwa harassment preprint dataset (Tokiwa, 2025, Research Square preprint, DOI 10.21203/rs.3.rs-7756124/v1; IRB-approved), comprising N = 354 Japanese workplace participants who completed the following self-report measures:</w:t>
      </w:r>
    </w:p>
    <w:p>
      <w:pPr>
        <w:pStyle w:val="ListBullet"/>
        <w:spacing w:line="480" w:lineRule="auto" w:before="0" w:after="0"/>
      </w:pPr>
      <w:r>
        <w:rPr>
          <w:rFonts w:ascii="Times New Roman" w:hAnsi="Times New Roman" w:eastAsia="Times New Roman"/>
          <w:sz w:val="24"/>
        </w:rPr>
        <w:t>HEXACO-60 (Wakabayashi, 2014; Japanese adaptation of Ashton &amp; Lee, 2009): 60-item Likert 1-5 scale yielding six domain scores (H, E, X, A, C, O).</w:t>
      </w:r>
    </w:p>
    <w:p>
      <w:pPr>
        <w:pStyle w:val="ListBullet"/>
        <w:spacing w:line="480" w:lineRule="auto" w:before="0" w:after="0"/>
      </w:pPr>
      <w:r>
        <w:rPr>
          <w:rFonts w:ascii="Times New Roman" w:hAnsi="Times New Roman" w:eastAsia="Times New Roman"/>
          <w:sz w:val="24"/>
        </w:rPr>
        <w:t>Dark Triad scales (Machiavellianism, Narcissism, Psychopathy): used in the common-method-variance diagnostic (Section 2.5) but not in the primary analysis.</w:t>
      </w:r>
    </w:p>
    <w:p>
      <w:pPr>
        <w:pStyle w:val="ListBullet"/>
        <w:spacing w:line="480" w:lineRule="auto" w:before="0" w:after="0"/>
      </w:pPr>
      <w:r>
        <w:rPr>
          <w:rFonts w:ascii="Times New Roman" w:hAnsi="Times New Roman" w:eastAsia="Times New Roman"/>
          <w:sz w:val="24"/>
        </w:rPr>
        <w:t>Workplace Power Harassment Scale (Tou et al., 2017): continuous severity scale measuring past-three-year power-harassment victimization frequency in the participant's workplace.</w:t>
      </w:r>
    </w:p>
    <w:p>
      <w:pPr>
        <w:pStyle w:val="ListBullet"/>
        <w:spacing w:line="480" w:lineRule="auto" w:before="0" w:after="0"/>
      </w:pPr>
      <w:r>
        <w:rPr>
          <w:rFonts w:ascii="Times New Roman" w:hAnsi="Times New Roman" w:eastAsia="Times New Roman"/>
          <w:sz w:val="24"/>
        </w:rPr>
        <w:t>Gender Harassment Scale (Kobayashi &amp; Tanaka, 2010): continuous severity scale; used as triangulation outcome (H6).</w:t>
      </w:r>
    </w:p>
    <w:p>
      <w:pPr>
        <w:pStyle w:val="ListBullet"/>
        <w:spacing w:line="480" w:lineRule="auto" w:before="0" w:after="0"/>
      </w:pPr>
      <w:r>
        <w:rPr>
          <w:rFonts w:ascii="Times New Roman" w:hAnsi="Times New Roman" w:eastAsia="Times New Roman"/>
          <w:sz w:val="24"/>
        </w:rPr>
        <w:t>Demographics: binary self-reported gender (0 = female, 1 = male), age (continuous), prefecture-level region (categorical).</w:t>
      </w:r>
    </w:p>
    <w:p>
      <w:pPr>
        <w:spacing w:line="480" w:lineRule="auto" w:before="0" w:after="0"/>
        <w:jc w:val="left"/>
      </w:pPr>
      <w:r>
        <w:rPr>
          <w:rFonts w:ascii="Times New Roman" w:hAnsi="Times New Roman" w:eastAsia="Times New Roman"/>
          <w:b/>
          <w:sz w:val="24"/>
        </w:rPr>
        <w:t>Cluster centroids (N = 13,668; Tokiwa 2026 IEEE Access, M3-fixed)</w:t>
      </w:r>
    </w:p>
    <w:p>
      <w:pPr>
        <w:spacing w:line="480" w:lineRule="auto" w:before="0" w:after="0"/>
        <w:ind w:firstLine="720"/>
      </w:pPr>
      <w:r>
        <w:rPr>
          <w:rFonts w:ascii="Times New Roman" w:hAnsi="Times New Roman" w:eastAsia="Times New Roman"/>
          <w:sz w:val="24"/>
        </w:rPr>
        <w:t>Seven HEXACO cluster centroids were taken from the previously published Tokiwa (2026, *IEEE Access*; DOI 10.1109/ACCESS.2026.3651324) clustering of N = 13,668 Japanese respondents. Per pre-registration v2.0 Methods Clarification M3, these centroids are treated as *fixed parameters*; bootstrap confidence intervals are computed conditional on the centroids and do not propagate centroid-estimation uncertainty. This decision aligns with the inferential target of the present study (causal contrasts within a fixed taxonomy) rather than the joint estimation of the taxonomy itself.</w:t>
      </w:r>
    </w:p>
    <w:p>
      <w:pPr>
        <w:spacing w:line="480" w:lineRule="auto" w:before="0" w:after="0"/>
        <w:jc w:val="left"/>
      </w:pPr>
      <w:r>
        <w:rPr>
          <w:rFonts w:ascii="Times New Roman" w:hAnsi="Times New Roman" w:eastAsia="Times New Roman"/>
          <w:b/>
          <w:sz w:val="24"/>
        </w:rPr>
        <w:t>Population reweighting (Statistics Bureau Labor Force Survey 2022)</w:t>
      </w:r>
    </w:p>
    <w:p>
      <w:pPr>
        <w:spacing w:line="480" w:lineRule="auto" w:before="0" w:after="0"/>
        <w:ind w:firstLine="720"/>
      </w:pPr>
      <w:r>
        <w:rPr>
          <w:rFonts w:ascii="Times New Roman" w:hAnsi="Times New Roman" w:eastAsia="Times New Roman"/>
          <w:sz w:val="24"/>
        </w:rPr>
        <w:t>Marginal gender-by-age proportions for the Japanese working population were obtained from the Labor Force Survey Basic Tabulation 2022 Annual Average, published by the Statistics Bureau, Ministry of Internal Affairs and Communications (Statistics Bureau, 2023; PDF retrieved from e-Stat on 2026-04-30 by the investigator and archived at `simulation/data/`). We use Table 3 (employed persons by age group) restricted to the employed-persons category, yielding a total of 67.23 million persons with age × gender breakdown {15–64, 65+} × {male, female}. The resulting marginals (F = 0.4498, M = 0.5502) replace the v2.0 Stage 1 placeholder (F = 0.5, M = 0.5).</w:t>
      </w:r>
    </w:p>
    <w:p>
      <w:pPr>
        <w:spacing w:line="480" w:lineRule="auto" w:before="0" w:after="0"/>
        <w:jc w:val="left"/>
      </w:pPr>
      <w:r>
        <w:rPr>
          <w:rFonts w:ascii="Times New Roman" w:hAnsi="Times New Roman" w:eastAsia="Times New Roman"/>
          <w:b/>
          <w:sz w:val="24"/>
        </w:rPr>
        <w:t>MHLW power-harassment victimization targets</w:t>
      </w:r>
    </w:p>
    <w:p>
      <w:pPr>
        <w:spacing w:line="480" w:lineRule="auto" w:before="0" w:after="0"/>
        <w:ind w:firstLine="720"/>
      </w:pPr>
      <w:r>
        <w:rPr>
          <w:rFonts w:ascii="Times New Roman" w:hAnsi="Times New Roman" w:eastAsia="Times New Roman"/>
          <w:sz w:val="24"/>
        </w:rPr>
        <w:t>Past-three-year power-harassment victimization rates from three MHLW Workplace Harassment Surveys (MHLW, 2017, 2021, 2024) serve as external validation targets for H1:</w:t>
      </w:r>
    </w:p>
    <w:p>
      <w:pPr>
        <w:pStyle w:val="ListBullet"/>
        <w:spacing w:line="480" w:lineRule="auto" w:before="0" w:after="0"/>
      </w:pPr>
      <w:r>
        <w:rPr>
          <w:rFonts w:ascii="Times New Roman" w:hAnsi="Times New Roman" w:eastAsia="Times New Roman"/>
          <w:sz w:val="24"/>
        </w:rPr>
        <w:t>FY2016 (32.5%) — pre-law, primary target;</w:t>
      </w:r>
    </w:p>
    <w:p>
      <w:pPr>
        <w:pStyle w:val="ListBullet"/>
        <w:spacing w:line="480" w:lineRule="auto" w:before="0" w:after="0"/>
      </w:pPr>
      <w:r>
        <w:rPr>
          <w:rFonts w:ascii="Times New Roman" w:hAnsi="Times New Roman" w:eastAsia="Times New Roman"/>
          <w:sz w:val="24"/>
        </w:rPr>
        <w:t>FY2020 (31.4%) — transition period, secondary target;</w:t>
      </w:r>
    </w:p>
    <w:p>
      <w:pPr>
        <w:pStyle w:val="ListBullet"/>
        <w:spacing w:line="480" w:lineRule="auto" w:before="0" w:after="0"/>
      </w:pPr>
      <w:r>
        <w:rPr>
          <w:rFonts w:ascii="Times New Roman" w:hAnsi="Times New Roman" w:eastAsia="Times New Roman"/>
          <w:sz w:val="24"/>
        </w:rPr>
        <w:t>FY2023 (19.3%) — post-law, secondary target.</w:t>
      </w:r>
    </w:p>
    <w:p>
      <w:pPr>
        <w:spacing w:line="480" w:lineRule="auto" w:before="0" w:after="0"/>
        <w:jc w:val="center"/>
      </w:pPr>
      <w:r>
        <w:rPr>
          <w:rFonts w:ascii="Times New Roman" w:hAnsi="Times New Roman" w:eastAsia="Times New Roman"/>
          <w:b/>
          <w:sz w:val="24"/>
        </w:rPr>
        <w:t>Pre-registered analytic pipeline</w:t>
      </w:r>
    </w:p>
    <w:p>
      <w:pPr>
        <w:spacing w:line="480" w:lineRule="auto" w:before="0" w:after="0"/>
        <w:ind w:firstLine="720"/>
      </w:pPr>
      <w:r>
        <w:rPr>
          <w:rFonts w:ascii="Times New Roman" w:hAnsi="Times New Roman" w:eastAsia="Times New Roman"/>
          <w:sz w:val="24"/>
        </w:rPr>
        <w:t>The pipeline comprises nine stages (0 through 8), each producing a versioned HDF5 artifact under `output/supplementary/`. Stages 0–2 implement the H1 confirmatory chain; Stages 3–6 implement sensitivity analyses, baseline comparisons, common-method-variance diagnostics, and target trial documentation; Stages 7–8 implement the H7 counterfactual contrasts and transportability sensitivity. Random number streams across stages are isolated via additive seed offsets to ensure independence (see `code/utils_io.py:make_rng`).</w:t>
      </w:r>
    </w:p>
    <w:p>
      <w:pPr>
        <w:spacing w:line="480" w:lineRule="auto" w:before="0" w:after="0"/>
        <w:jc w:val="left"/>
      </w:pPr>
      <w:r>
        <w:rPr>
          <w:rFonts w:ascii="Times New Roman" w:hAnsi="Times New Roman" w:eastAsia="Times New Roman"/>
          <w:b/>
          <w:sz w:val="24"/>
        </w:rPr>
        <w:t>Stage 0: Type assignment, cell propensity, and 28-cell empirical Bayes</w:t>
      </w:r>
    </w:p>
    <w:p>
      <w:pPr>
        <w:spacing w:line="480" w:lineRule="auto" w:before="0" w:after="0"/>
        <w:ind w:firstLine="720"/>
      </w:pPr>
      <w:r>
        <w:rPr>
          <w:rFonts w:ascii="Times New Roman" w:hAnsi="Times New Roman" w:eastAsia="Times New Roman"/>
          <w:sz w:val="24"/>
        </w:rPr>
        <w:t>Each individual is assigned to the closest cluster (Euclidean nearest-centroid, primary; Methods Clarification M2 also computed soft-assignment with τ ∈ {0.5, 1.0, 2.0} × median nearest-neighbor distance for sensitivity). Outcomes are binarized at the participant-level mean + 0.5 SD (main; sensitivity at + 0.25 and + 1.0 SD).</w:t>
      </w:r>
    </w:p>
    <w:p>
      <w:pPr>
        <w:spacing w:line="480" w:lineRule="auto" w:before="0" w:after="0"/>
        <w:ind w:firstLine="720"/>
      </w:pPr>
      <w:r>
        <w:rPr>
          <w:rFonts w:ascii="Times New Roman" w:hAnsi="Times New Roman" w:eastAsia="Times New Roman"/>
          <w:sz w:val="24"/>
        </w:rPr>
        <w:t>Per-cell propensity p̂_c = X_c / N_c is computed for each of the 14 cells (7 clusters × 2 genders) for the main analysis, and 28 cells (× 2 roles, classified via the literature-based top 15% on the C + 0.5 × X composite) for the empirical Bayes sensitivity. Per-cell 95% confidence intervals follow the four-step priority cascade (Methods Clarification M4):</w:t>
      </w:r>
    </w:p>
    <w:p>
      <w:pPr>
        <w:spacing w:line="480" w:lineRule="auto" w:before="0" w:after="0"/>
        <w:ind w:firstLine="720"/>
      </w:pPr>
      <w:r>
        <w:rPr>
          <w:rFonts w:ascii="Times New Roman" w:hAnsi="Times New Roman" w:eastAsia="Times New Roman"/>
          <w:sz w:val="24"/>
        </w:rPr>
        <w:t>1. **Clopper-Pearson** exact binomial interval for degenerate cells (X_c ∈ {0, N_c}); 2. **BCa** (Bias-Corrected accelerated; Efron, 1987) with jackknife acceleration parameter â (Methods Clarification m4) when |a| ≤ 10; 3. **BC** (bias-corrected only) when BCa fails or |a| &gt; 10; 4. **Percentile** as a final fallback.</w:t>
      </w:r>
    </w:p>
    <w:p>
      <w:pPr>
        <w:spacing w:line="480" w:lineRule="auto" w:before="0" w:after="0"/>
        <w:ind w:firstLine="720"/>
      </w:pPr>
      <w:r>
        <w:rPr>
          <w:rFonts w:ascii="Times New Roman" w:hAnsi="Times New Roman" w:eastAsia="Times New Roman"/>
          <w:sz w:val="24"/>
        </w:rPr>
        <w:t>Empirical Bayes shrinkage on 28 cells uses the method-of-moments hyperprior (μ̂, σ̂², α̂, β̂) with three rejection triggers: (i) bootstrap-stabilized variance ratio σ̂² / [μ̂(1 − μ̂)] &lt; 0.05 (Methods Clarification m1); (ii) max(α̂, β̂) &gt; 100 (v2.0 master); (iii) (α̂ + β̂) / median(N_k) &gt; 5 (Methods Clarification m2). Per-iteration (α̂, β̂) re-estimation in bootstrap follows Carlin and Louis (2000; Methods Clarification M1).</w:t>
      </w:r>
    </w:p>
    <w:p>
      <w:pPr>
        <w:spacing w:line="480" w:lineRule="auto" w:before="0" w:after="0"/>
        <w:jc w:val="left"/>
      </w:pPr>
      <w:r>
        <w:rPr>
          <w:rFonts w:ascii="Times New Roman" w:hAnsi="Times New Roman" w:eastAsia="Times New Roman"/>
          <w:b/>
          <w:sz w:val="24"/>
        </w:rPr>
        <w:t>Stage 1: National prevalence aggregation</w:t>
      </w:r>
    </w:p>
    <w:p>
      <w:pPr>
        <w:spacing w:line="480" w:lineRule="auto" w:before="0" w:after="0"/>
        <w:ind w:firstLine="720"/>
      </w:pPr>
      <w:r>
        <w:rPr>
          <w:rFonts w:ascii="Times New Roman" w:hAnsi="Times New Roman" w:eastAsia="Times New Roman"/>
          <w:sz w:val="24"/>
        </w:rPr>
        <w:t>The national prevalence is computed as the weighted sum P̂_t = Σ_c (p̂_c × W_c) / Σ_c W_c, where W_c is the cluster × gender population weight. Cluster proportions remain at the Tokiwa (2026, *IEEE Access*) values (M3-fixed; m8 limitation: cluster membership is not in the MHLW data); only the gender marginal is updated to the 2022 working-population value.</w:t>
      </w:r>
    </w:p>
    <w:p>
      <w:pPr>
        <w:spacing w:line="480" w:lineRule="auto" w:before="0" w:after="0"/>
        <w:jc w:val="left"/>
      </w:pPr>
      <w:r>
        <w:rPr>
          <w:rFonts w:ascii="Times New Roman" w:hAnsi="Times New Roman" w:eastAsia="Times New Roman"/>
          <w:b/>
          <w:sz w:val="24"/>
        </w:rPr>
        <w:t>Stage 2: H1 four-tier classification</w:t>
      </w:r>
    </w:p>
    <w:p>
      <w:pPr>
        <w:spacing w:line="480" w:lineRule="auto" w:before="0" w:after="0"/>
        <w:ind w:firstLine="720"/>
      </w:pPr>
      <w:r>
        <w:rPr>
          <w:rFonts w:ascii="Times New Roman" w:hAnsi="Times New Roman" w:eastAsia="Times New Roman"/>
          <w:sz w:val="24"/>
        </w:rPr>
        <w:t>Per the v2.0 master Section 5.4, the four-tier H1 hierarchy is:</w:t>
      </w:r>
    </w:p>
    <w:p>
      <w:pPr>
        <w:pStyle w:val="ListBullet"/>
        <w:spacing w:line="480" w:lineRule="auto" w:before="0" w:after="0"/>
      </w:pPr>
      <w:r>
        <w:rPr>
          <w:rFonts w:ascii="Times New Roman" w:hAnsi="Times New Roman" w:eastAsia="Times New Roman"/>
          <w:sz w:val="24"/>
        </w:rPr>
        <w:t>Strict SUCCESS: point MAPE_FY2016 ≤ 30% AND CI upper bound ≤ 30%</w:t>
      </w:r>
    </w:p>
    <w:p>
      <w:pPr>
        <w:pStyle w:val="ListBullet"/>
        <w:spacing w:line="480" w:lineRule="auto" w:before="0" w:after="0"/>
      </w:pPr>
      <w:r>
        <w:rPr>
          <w:rFonts w:ascii="Times New Roman" w:hAnsi="Times New Roman" w:eastAsia="Times New Roman"/>
          <w:sz w:val="24"/>
        </w:rPr>
        <w:t>Standard SUCCESS: point MAPE ≤ 30% (CI upper bound &gt; 30% permitted)</w:t>
      </w:r>
    </w:p>
    <w:p>
      <w:pPr>
        <w:pStyle w:val="ListBullet"/>
        <w:spacing w:line="480" w:lineRule="auto" w:before="0" w:after="0"/>
      </w:pPr>
      <w:r>
        <w:rPr>
          <w:rFonts w:ascii="Times New Roman" w:hAnsi="Times New Roman" w:eastAsia="Times New Roman"/>
          <w:sz w:val="24"/>
        </w:rPr>
        <w:t>PARTIAL SUCCESS: 30% &lt; point MAPE ≤ 60%</w:t>
      </w:r>
    </w:p>
    <w:p>
      <w:pPr>
        <w:pStyle w:val="ListBullet"/>
        <w:spacing w:line="480" w:lineRule="auto" w:before="0" w:after="0"/>
      </w:pPr>
      <w:r>
        <w:rPr>
          <w:rFonts w:ascii="Times New Roman" w:hAnsi="Times New Roman" w:eastAsia="Times New Roman"/>
          <w:sz w:val="24"/>
        </w:rPr>
        <w:t>FAILURE: point MAPE &gt; 60%</w:t>
      </w:r>
    </w:p>
    <w:p>
      <w:pPr>
        <w:spacing w:line="480" w:lineRule="auto" w:before="0" w:after="0"/>
        <w:ind w:firstLine="720"/>
      </w:pPr>
      <w:r>
        <w:rPr>
          <w:rFonts w:ascii="Times New Roman" w:hAnsi="Times New Roman" w:eastAsia="Times New Roman"/>
          <w:sz w:val="24"/>
        </w:rPr>
        <w:t>Per Methods Clarification m3, the headline national MAPE bootstrap uses B = 10,000; per-cell bootstrap remains at B = 2,000.</w:t>
      </w:r>
    </w:p>
    <w:p>
      <w:pPr>
        <w:spacing w:line="480" w:lineRule="auto" w:before="0" w:after="0"/>
        <w:jc w:val="left"/>
      </w:pPr>
      <w:r>
        <w:rPr>
          <w:rFonts w:ascii="Times New Roman" w:hAnsi="Times New Roman" w:eastAsia="Times New Roman"/>
          <w:b/>
          <w:sz w:val="24"/>
        </w:rPr>
        <w:t>Stage 3: Sensitivity sweep</w:t>
      </w:r>
    </w:p>
    <w:p>
      <w:pPr>
        <w:spacing w:line="480" w:lineRule="auto" w:before="0" w:after="0"/>
        <w:ind w:firstLine="720"/>
      </w:pPr>
      <w:r>
        <w:rPr>
          <w:rFonts w:ascii="Times New Roman" w:hAnsi="Times New Roman" w:eastAsia="Times New Roman"/>
          <w:sz w:val="24"/>
        </w:rPr>
        <w:t>A one-at-a-time (OAT) sensitivity sweep around the locked main configuration is computed over four parameter families with B = 2,000 per row:</w:t>
      </w:r>
    </w:p>
    <w:p>
      <w:pPr>
        <w:spacing w:line="480" w:lineRule="auto" w:before="0" w:after="0"/>
        <w:ind w:firstLine="720"/>
      </w:pPr>
      <w:r>
        <w:rPr>
          <w:rFonts w:ascii="Times New Roman" w:hAnsi="Times New Roman" w:eastAsia="Times New Roman"/>
          <w:sz w:val="24"/>
        </w:rPr>
        <w:t>1. Binarization threshold ∈ {mean + 0.25 SD, mean + 0.5 SD (main), mean + 1.0 SD}; 2. Soft-assignment τ factor ∈ {0.5, 1.0, 2.0} × median NN distance (Methods Clarification M2); 3. Empirical Bayes shrinkage scale ∈ {0.5×, 1.0× (main), 2.0×} prior pseudocount; 4. Cluster-proportion mass shift ∈ {−0.10, 0.0 (main), +0.10} (proxy for V/f1/f2 uncertainty per v2.0 Section 6.4; full Cartesian sweep deferred to follow-up work due to combinatorial cost).</w:t>
      </w:r>
    </w:p>
    <w:p>
      <w:pPr>
        <w:spacing w:line="480" w:lineRule="auto" w:before="0" w:after="0"/>
        <w:jc w:val="left"/>
      </w:pPr>
      <w:r>
        <w:rPr>
          <w:rFonts w:ascii="Times New Roman" w:hAnsi="Times New Roman" w:eastAsia="Times New Roman"/>
          <w:b/>
          <w:sz w:val="24"/>
        </w:rPr>
        <w:t>Stage 4: Baseline comparison and H2 ordinal trend</w:t>
      </w:r>
    </w:p>
    <w:p>
      <w:pPr>
        <w:spacing w:line="480" w:lineRule="auto" w:before="0" w:after="0"/>
        <w:ind w:firstLine="720"/>
      </w:pPr>
      <w:r>
        <w:rPr>
          <w:rFonts w:ascii="Times New Roman" w:hAnsi="Times New Roman" w:eastAsia="Times New Roman"/>
          <w:sz w:val="24"/>
        </w:rPr>
        <w:t>Five baselines (B0–B4) of increasing sophistication are compared via cell-stratified bootstrap MAPE_FY2016:</w:t>
      </w:r>
    </w:p>
    <w:p>
      <w:pPr>
        <w:pStyle w:val="ListBullet"/>
        <w:spacing w:line="480" w:lineRule="auto" w:before="0" w:after="0"/>
      </w:pPr>
      <w:r>
        <w:rPr>
          <w:rFonts w:ascii="Times New Roman" w:hAnsi="Times New Roman" w:eastAsia="Times New Roman"/>
          <w:sz w:val="24"/>
        </w:rPr>
        <w:t>B0: predicts MHLW grand mean (uniform);</w:t>
      </w:r>
    </w:p>
    <w:p>
      <w:pPr>
        <w:pStyle w:val="ListBullet"/>
        <w:spacing w:line="480" w:lineRule="auto" w:before="0" w:after="0"/>
      </w:pPr>
      <w:r>
        <w:rPr>
          <w:rFonts w:ascii="Times New Roman" w:hAnsi="Times New Roman" w:eastAsia="Times New Roman"/>
          <w:sz w:val="24"/>
        </w:rPr>
        <w:t>B1: gender-only logistic regression;</w:t>
      </w:r>
    </w:p>
    <w:p>
      <w:pPr>
        <w:pStyle w:val="ListBullet"/>
        <w:spacing w:line="480" w:lineRule="auto" w:before="0" w:after="0"/>
      </w:pPr>
      <w:r>
        <w:rPr>
          <w:rFonts w:ascii="Times New Roman" w:hAnsi="Times New Roman" w:eastAsia="Times New Roman"/>
          <w:sz w:val="24"/>
        </w:rPr>
        <w:t>B2: HEXACO 6-domain logistic regression;</w:t>
      </w:r>
    </w:p>
    <w:p>
      <w:pPr>
        <w:pStyle w:val="ListBullet"/>
        <w:spacing w:line="480" w:lineRule="auto" w:before="0" w:after="0"/>
      </w:pPr>
      <w:r>
        <w:rPr>
          <w:rFonts w:ascii="Times New Roman" w:hAnsi="Times New Roman" w:eastAsia="Times New Roman"/>
          <w:sz w:val="24"/>
        </w:rPr>
        <w:t>B3: 14-cell conditional propensity (the main pipeline);</w:t>
      </w:r>
    </w:p>
    <w:p>
      <w:pPr>
        <w:pStyle w:val="ListBullet"/>
        <w:spacing w:line="480" w:lineRule="auto" w:before="0" w:after="0"/>
      </w:pPr>
      <w:r>
        <w:rPr>
          <w:rFonts w:ascii="Times New Roman" w:hAnsi="Times New Roman" w:eastAsia="Times New Roman"/>
          <w:sz w:val="24"/>
        </w:rPr>
        <w:t>B4: extended with age and age × cluster interactions (industry breakdown deferred to follow-up; m8 limitation).</w:t>
      </w:r>
    </w:p>
    <w:p>
      <w:pPr>
        <w:spacing w:line="480" w:lineRule="auto" w:before="0" w:after="0"/>
        <w:ind w:firstLine="720"/>
      </w:pPr>
      <w:r>
        <w:rPr>
          <w:rFonts w:ascii="Times New Roman" w:hAnsi="Times New Roman" w:eastAsia="Times New Roman"/>
          <w:sz w:val="24"/>
        </w:rPr>
        <w:t>H2 is tested via the Bonferroni-Holm-corrected family of pairwise inequalities (B0–B1, B1–B2, B2–B3, B3–B4) with a one-sided α = 0.05; Page's L (1963) ordinal trend test is reported as auxiliary (Methods Clarification n4).</w:t>
      </w:r>
    </w:p>
    <w:p>
      <w:pPr>
        <w:spacing w:line="480" w:lineRule="auto" w:before="0" w:after="0"/>
        <w:jc w:val="left"/>
      </w:pPr>
      <w:r>
        <w:rPr>
          <w:rFonts w:ascii="Times New Roman" w:hAnsi="Times New Roman" w:eastAsia="Times New Roman"/>
          <w:b/>
          <w:sz w:val="24"/>
        </w:rPr>
        <w:t>Stage 5: Common-method-variance diagnostic</w:t>
      </w:r>
    </w:p>
    <w:p>
      <w:pPr>
        <w:spacing w:line="480" w:lineRule="auto" w:before="0" w:after="0"/>
        <w:ind w:firstLine="720"/>
      </w:pPr>
      <w:r>
        <w:rPr>
          <w:rFonts w:ascii="Times New Roman" w:hAnsi="Times New Roman" w:eastAsia="Times New Roman"/>
          <w:sz w:val="24"/>
        </w:rPr>
        <w:t>CMV is assessed via Harman's single-factor test (Podsakoff et al., 2003) on 11 standardized variables (6 HEXACO domains + 3 Dark Triad + 2 harassment continuous scales) using PCA on standardized inputs after listwise deletion. The 50% first-factor variance threshold (Methods Clarifications m8) demarcates "limited concern" from "concern present." The Lindell and Whitney (2001) marker-variable correction uses HEXACO Openness as the theoretical marker, given its weak theoretical link to harassment outcomes relative to HH/A/E.</w:t>
      </w:r>
    </w:p>
    <w:p>
      <w:pPr>
        <w:spacing w:line="480" w:lineRule="auto" w:before="0" w:after="0"/>
        <w:jc w:val="left"/>
      </w:pPr>
      <w:r>
        <w:rPr>
          <w:rFonts w:ascii="Times New Roman" w:hAnsi="Times New Roman" w:eastAsia="Times New Roman"/>
          <w:b/>
          <w:sz w:val="24"/>
        </w:rPr>
        <w:t>Stage 6: Target trial PICO documentation</w:t>
      </w:r>
    </w:p>
    <w:p>
      <w:pPr>
        <w:spacing w:line="480" w:lineRule="auto" w:before="0" w:after="0"/>
        <w:ind w:firstLine="720"/>
      </w:pPr>
      <w:r>
        <w:rPr>
          <w:rFonts w:ascii="Times New Roman" w:hAnsi="Times New Roman" w:eastAsia="Times New Roman"/>
          <w:sz w:val="24"/>
        </w:rPr>
        <w:t>Stage 6 produces a metadata-only artifact documenting the target trial (Hernán &amp; Robins, 2016, 2020) PICO and four identifying assumptions: consistency, exchangeability, positivity, and SUTVA (strengthened with Hudgens &amp; Halloran, 2008 peer-effect framework per Methods Clarification m6).</w:t>
      </w:r>
    </w:p>
    <w:p>
      <w:pPr>
        <w:spacing w:line="480" w:lineRule="auto" w:before="0" w:after="0"/>
        <w:jc w:val="left"/>
      </w:pPr>
      <w:r>
        <w:rPr>
          <w:rFonts w:ascii="Times New Roman" w:hAnsi="Times New Roman" w:eastAsia="Times New Roman"/>
          <w:b/>
          <w:sz w:val="24"/>
        </w:rPr>
        <w:t>Stage 7: Counterfactual ΔP_A, ΔP_B, ΔP_C and H7 IUT</w:t>
      </w:r>
    </w:p>
    <w:p>
      <w:pPr>
        <w:spacing w:line="480" w:lineRule="auto" w:before="0" w:after="0"/>
        <w:ind w:firstLine="720"/>
      </w:pPr>
      <w:r>
        <w:rPr>
          <w:rFonts w:ascii="Times New Roman" w:hAnsi="Times New Roman" w:eastAsia="Times New Roman"/>
          <w:sz w:val="24"/>
        </w:rPr>
        <w:t>Counterfactual A applies a +0.3 SD shift to HEXACO H, A, and E for every individual, recomputes nearest-centroid cluster membership, recomputes per-cell propensity, re-aggregates via Stage 1 weights, and produces ΔP_A as the per-bootstrap difference between counterfactual and baseline national prevalence. Per Methods Clarification m5, positivity is quantitatively diagnosed via the cell-level ratio ρ_{c, x = A} = (counterfactual cell N) / (observed cell N); cells with ρ &lt; 0.10 are flagged, and intervention is downgraded from confirmatory to exploratory if flagged_weight ≥ 20%.</w:t>
      </w:r>
    </w:p>
    <w:p>
      <w:pPr>
        <w:spacing w:line="480" w:lineRule="auto" w:before="0" w:after="0"/>
        <w:ind w:firstLine="720"/>
      </w:pPr>
      <w:r>
        <w:rPr>
          <w:rFonts w:ascii="Times New Roman" w:hAnsi="Times New Roman" w:eastAsia="Times New Roman"/>
          <w:sz w:val="24"/>
        </w:rPr>
        <w:t>Counterfactual B applies a +0.40 SD shift in Honesty-Humility (`code/stage7_counterfactual.py:DELTA_B_MAIN_SD`) **only to individuals whose baseline nearest-centroid cluster is already in the pre-registered low-prevalence target set {0, 4, 6}**, leaving all other individuals' HEXACO scores unchanged. Following the targeted shift, all individuals are re-classified by nearest-centroid on the post-intervention HEXACO matrix, per-cell propensities are re-computed from the realized binary outcomes within the new cell assignments, and ΔP_B is reported per-bootstrap as the difference between counterfactual and baseline national prevalence. This operationalization matches pre-registration v2.0 Section 5.7 ("HH := HH + δ_B × SD(HH) for individuals in Cluster ∈ {0, 4, 6}") and Methods Clarifications Log n3 (Pearl 2009 do-operator notation form, which formalizes the targeted indicator "if i ∈ Cluster {0, 4, 6}; HH_i otherwise"). Positivity is computed via ρ_{c, B} = (count of individuals reassigned into target Cluster c after the shift) / (count of individuals in target Cluster c at baseline) and is downgraded by the same m5 rule as Counterfactual A.</w:t>
      </w:r>
    </w:p>
    <w:p>
      <w:pPr>
        <w:spacing w:line="480" w:lineRule="auto" w:before="0" w:after="0"/>
        <w:ind w:firstLine="720"/>
      </w:pPr>
      <w:r>
        <w:rPr>
          <w:rFonts w:ascii="Times New Roman" w:hAnsi="Times New Roman" w:eastAsia="Times New Roman"/>
          <w:sz w:val="24"/>
        </w:rPr>
        <w:t>Counterfactual C multiplies cell-level propensity by 0.80 uniformly across all cells while leaving HEXACO scores unchanged. The 20% reduction is calibrated against three meta-analyses (Escartín, 2016; Hodgins et al., 2014; Salin, 2021) and the MHLW FY2016–FY2023 natural experiment (32.5% → 19.3%; −13.2pp ≈ −40.6% relative). Positivity for C is trivially preserved (ρ ≡ 1) per pre-registration v2.0 Section 5.7.</w:t>
      </w:r>
    </w:p>
    <w:p>
      <w:pPr>
        <w:spacing w:line="480" w:lineRule="auto" w:before="0" w:after="0"/>
        <w:ind w:firstLine="720"/>
      </w:pPr>
      <w:r>
        <w:rPr>
          <w:rFonts w:ascii="Times New Roman" w:hAnsi="Times New Roman" w:eastAsia="Times New Roman"/>
          <w:sz w:val="24"/>
        </w:rPr>
        <w:t>The H7 intersection-union test (Berger &amp; Hsu, 1996; Methods Clarification m7) computes one-sided 95% lower bounds L_BA and L_BC for ΔP_B − ΔP_A and ΔP_B − ΔP_C, respectively, with bootstrap-resampled cell data (B = 2,000). The configuration is classified per the m7 priority cascade implemented in `code/stage7_counterfactual.py:h7_iut`:</w:t>
      </w:r>
    </w:p>
    <w:p>
      <w:pPr>
        <w:pStyle w:val="ListBullet"/>
        <w:spacing w:line="480" w:lineRule="auto" w:before="0" w:after="0"/>
      </w:pPr>
      <w:r>
        <w:rPr>
          <w:rFonts w:ascii="Times New Roman" w:hAnsi="Times New Roman" w:eastAsia="Times New Roman"/>
          <w:sz w:val="24"/>
        </w:rPr>
        <w:t>REVERSAL (priority 1): point ΔP_B &lt; point ΔP_A OR point ΔP_B &lt; point ΔP_C (B is dominated by A or C in point estimate, indicating that the pre-registered hypothesis ordering ΔP_B &gt; {ΔP_A, ΔP_C} is reversed);</w:t>
      </w:r>
    </w:p>
    <w:p>
      <w:pPr>
        <w:pStyle w:val="ListBullet"/>
        <w:spacing w:line="480" w:lineRule="auto" w:before="0" w:after="0"/>
      </w:pPr>
      <w:r>
        <w:rPr>
          <w:rFonts w:ascii="Times New Roman" w:hAnsi="Times New Roman" w:eastAsia="Times New Roman"/>
          <w:sz w:val="24"/>
        </w:rPr>
        <w:t>CONFIRMED: L_BA &gt; 0 AND L_BC &gt; 0 (B dominates both A and C in CI lower bound);</w:t>
      </w:r>
    </w:p>
    <w:p>
      <w:pPr>
        <w:pStyle w:val="ListBullet"/>
        <w:spacing w:line="480" w:lineRule="auto" w:before="0" w:after="0"/>
      </w:pPr>
      <w:r>
        <w:rPr>
          <w:rFonts w:ascii="Times New Roman" w:hAnsi="Times New Roman" w:eastAsia="Times New Roman"/>
          <w:sz w:val="24"/>
        </w:rPr>
        <w:t>PARTIAL: exactly one of L_BA, L_BC &gt; 0;</w:t>
      </w:r>
    </w:p>
    <w:p>
      <w:pPr>
        <w:pStyle w:val="ListBullet"/>
        <w:spacing w:line="480" w:lineRule="auto" w:before="0" w:after="0"/>
      </w:pPr>
      <w:r>
        <w:rPr>
          <w:rFonts w:ascii="Times New Roman" w:hAnsi="Times New Roman" w:eastAsia="Times New Roman"/>
          <w:sz w:val="24"/>
        </w:rPr>
        <w:t>AMBIGUOUS: neither lower bound &gt; 0 (CIs allow zero or reversal).</w:t>
      </w:r>
    </w:p>
    <w:p>
      <w:pPr>
        <w:spacing w:line="480" w:lineRule="auto" w:before="0" w:after="0"/>
        <w:jc w:val="left"/>
      </w:pPr>
      <w:r>
        <w:rPr>
          <w:rFonts w:ascii="Times New Roman" w:hAnsi="Times New Roman" w:eastAsia="Times New Roman"/>
          <w:b/>
          <w:sz w:val="24"/>
        </w:rPr>
        <w:t>Stage 8: Transportability factor sweep</w:t>
      </w:r>
    </w:p>
    <w:p>
      <w:pPr>
        <w:spacing w:line="480" w:lineRule="auto" w:before="0" w:after="0"/>
        <w:ind w:firstLine="720"/>
      </w:pPr>
      <w:r>
        <w:rPr>
          <w:rFonts w:ascii="Times New Roman" w:hAnsi="Times New Roman" w:eastAsia="Times New Roman"/>
          <w:sz w:val="24"/>
        </w:rPr>
        <w:t>Per v2.0 Section 5.8 (cultural attenuation), the bootstrap distribution of each ΔP_x is multiplied by a transportability factor F ∈ {0.3, 0.5, 0.7, 1.0}, anchored as:</w:t>
      </w:r>
    </w:p>
    <w:p>
      <w:pPr>
        <w:pStyle w:val="ListBullet"/>
        <w:spacing w:line="480" w:lineRule="auto" w:before="0" w:after="0"/>
      </w:pPr>
      <w:r>
        <w:rPr>
          <w:rFonts w:ascii="Times New Roman" w:hAnsi="Times New Roman" w:eastAsia="Times New Roman"/>
          <w:sz w:val="24"/>
        </w:rPr>
        <w:t>F = 0.3: Conservative cross-cultural attenuation (worst-case anchor; supported by Power et al. 2013 cross-continent variability findings);</w:t>
      </w:r>
    </w:p>
    <w:p>
      <w:pPr>
        <w:pStyle w:val="ListBullet"/>
        <w:spacing w:line="480" w:lineRule="auto" w:before="0" w:after="0"/>
      </w:pPr>
      <w:r>
        <w:rPr>
          <w:rFonts w:ascii="Times New Roman" w:hAnsi="Times New Roman" w:eastAsia="Times New Roman"/>
          <w:sz w:val="24"/>
        </w:rPr>
        <w:t>F = 0.5: Nielsen et al. (2017) Asia/Oceania attenuation expected (r = .16 vs European r = .33);</w:t>
      </w:r>
    </w:p>
    <w:p>
      <w:pPr>
        <w:pStyle w:val="ListBullet"/>
        <w:spacing w:line="480" w:lineRule="auto" w:before="0" w:after="0"/>
      </w:pPr>
      <w:r>
        <w:rPr>
          <w:rFonts w:ascii="Times New Roman" w:hAnsi="Times New Roman" w:eastAsia="Times New Roman"/>
          <w:sz w:val="24"/>
        </w:rPr>
        <w:t>F = 0.7: Mild attenuation (intermediate);</w:t>
      </w:r>
    </w:p>
    <w:p>
      <w:pPr>
        <w:pStyle w:val="ListBullet"/>
        <w:spacing w:line="480" w:lineRule="auto" w:before="0" w:after="0"/>
      </w:pPr>
      <w:r>
        <w:rPr>
          <w:rFonts w:ascii="Times New Roman" w:hAnsi="Times New Roman" w:eastAsia="Times New Roman"/>
          <w:sz w:val="24"/>
        </w:rPr>
        <w:t>F = 1.0: Reference (no attenuation).</w:t>
      </w:r>
    </w:p>
    <w:p>
      <w:pPr>
        <w:spacing w:line="480" w:lineRule="auto" w:before="0" w:after="0"/>
        <w:ind w:firstLine="720"/>
      </w:pPr>
      <w:r>
        <w:rPr>
          <w:rFonts w:ascii="Times New Roman" w:hAnsi="Times New Roman" w:eastAsia="Times New Roman"/>
          <w:sz w:val="24"/>
        </w:rPr>
        <w:t>H7 is re-classified per attenuated factor to verify robustness.</w:t>
      </w:r>
    </w:p>
    <w:p>
      <w:pPr>
        <w:spacing w:line="480" w:lineRule="auto" w:before="0" w:after="0"/>
        <w:jc w:val="center"/>
      </w:pPr>
      <w:r>
        <w:rPr>
          <w:rFonts w:ascii="Times New Roman" w:hAnsi="Times New Roman" w:eastAsia="Times New Roman"/>
          <w:b/>
          <w:sz w:val="24"/>
        </w:rPr>
        <w:t>Reproducibility</w:t>
      </w:r>
    </w:p>
    <w:p>
      <w:pPr>
        <w:spacing w:line="480" w:lineRule="auto" w:before="0" w:after="0"/>
        <w:ind w:firstLine="720"/>
      </w:pPr>
      <w:r>
        <w:rPr>
          <w:rFonts w:ascii="Times New Roman" w:hAnsi="Times New Roman" w:eastAsia="Times New Roman"/>
          <w:sz w:val="24"/>
        </w:rPr>
        <w:t>All stochastic operations use seed 20260429 (Methods Clarification M3). HDF5 artifacts at each stage include the seed, version, OSF DOI, and stage-specific provenance metadata as root-level attributes, enabling full audit-trail reconstruction. Verification hashes for all artifacts are computed via `simulation/code/verify_reproduction.py` and compared against `reference_hashes.json`. The Docker container `Dockerfile` and the `Makefile` `reproduce` target encapsulate the full pipeline. A 56-test pytest suite (including the MHLW loader tests activated under Phase 1) guards against regression in core utilities.</w:t>
      </w:r>
    </w:p>
    <w:p>
      <w:pPr>
        <w:spacing w:line="480" w:lineRule="auto" w:before="0" w:after="0"/>
        <w:jc w:val="center"/>
      </w:pPr>
      <w:r>
        <w:rPr>
          <w:rFonts w:ascii="Times New Roman" w:hAnsi="Times New Roman" w:eastAsia="Times New Roman"/>
          <w:b/>
          <w:sz w:val="24"/>
        </w:rPr>
        <w:t>Software and statistical environment</w:t>
      </w:r>
    </w:p>
    <w:p>
      <w:pPr>
        <w:spacing w:line="480" w:lineRule="auto" w:before="0" w:after="0"/>
        <w:ind w:firstLine="720"/>
      </w:pPr>
      <w:r>
        <w:rPr>
          <w:rFonts w:ascii="Times New Roman" w:hAnsi="Times New Roman" w:eastAsia="Times New Roman"/>
          <w:sz w:val="24"/>
        </w:rPr>
        <w:t>Analysis was conducted in Python 3.11.15 using NumPy 2.x, SciPy 1.x, pandas 2.x, scikit-learn 1.x, h5py 3.x, and statsmodels 0.14.x (full pinned versions in `pyproject.toml`). All code is publicly available under MIT license at &lt;https://github.com/etoki/paper/tree/main/simulation&gt; and archived at OSF (DOI 10.17605/OSF.IO/3Y54U). The pre-registration is locked at OSF (DOI 10.17605/OSF.IO/3Y54U) with the v1.1 → v2.0 public diff document and v2.0 Methods Clarifications Log (Section 6.5 Level 1 deviation; SHA-256 fcaaf0d...) hosted alongside the registration.</w:t>
      </w:r>
    </w:p>
    <w:p>
      <w:pPr>
        <w:spacing w:line="480" w:lineRule="auto" w:before="0" w:after="0"/>
        <w:jc w:val="center"/>
      </w:pPr>
      <w:r>
        <w:rPr>
          <w:rFonts w:ascii="Times New Roman" w:hAnsi="Times New Roman" w:eastAsia="Times New Roman"/>
          <w:b/>
          <w:sz w:val="24"/>
        </w:rPr>
        <w:t>Data availability</w:t>
      </w:r>
    </w:p>
    <w:p>
      <w:pPr>
        <w:spacing w:line="480" w:lineRule="auto" w:before="0" w:after="0"/>
        <w:ind w:firstLine="720"/>
      </w:pPr>
      <w:r>
        <w:rPr>
          <w:rFonts w:ascii="Times New Roman" w:hAnsi="Times New Roman" w:eastAsia="Times New Roman"/>
          <w:sz w:val="24"/>
        </w:rPr>
        <w:t>This study's data and reproducibility artifacts are deposited on a tiered basis:</w:t>
      </w:r>
    </w:p>
    <w:p>
      <w:pPr>
        <w:pStyle w:val="ListBullet"/>
        <w:spacing w:line="480" w:lineRule="auto" w:before="0" w:after="0"/>
      </w:pPr>
      <w:r>
        <w:rPr>
          <w:rFonts w:ascii="Times New Roman" w:hAnsi="Times New Roman" w:eastAsia="Times New Roman"/>
          <w:sz w:val="24"/>
        </w:rPr>
        <w:t>Public tier (no access request required): Stage 0–8 supplementary HDF5 artifacts, Figures 1–6 (PNG/PDF/SVG), the canonical numerical record (canonical_numbers.md), and SHA-256 reference hashes (reference_hashes.json) are openly available at the OSF v2.0 working project (osf.io/3hxz6) under v2.0/v2.0_supplementary.tar.gz, and reproducible from source via make reproduce on the GitHub repository.</w:t>
      </w:r>
    </w:p>
    <w:p>
      <w:pPr>
        <w:pStyle w:val="ListBullet"/>
        <w:spacing w:line="480" w:lineRule="auto" w:before="0" w:after="0"/>
      </w:pPr>
      <w:r>
        <w:rPr>
          <w:rFonts w:ascii="Times New Roman" w:hAnsi="Times New Roman" w:eastAsia="Times New Roman"/>
          <w:sz w:val="24"/>
        </w:rPr>
        <w:t>Restricted tier (IRB-approved access request): The N = 354 individual-level harassment dataset is hosted in a Private OSF component (v2.0 IRB-Restricted Individual Data) linked from the v2.0 working project. The parent project's public Wiki at https://osf.io/3hxz6/wiki/home/ documents the four data-use terms (research-purpose-bounded use; non-redistribution; required citation of Tokiwa 2025 Research Square preprint and the v2.0 OSF DOI; IRB acknowledgement) and the request procedure (click "Request access" on the Component page; provide institutional affiliation, IRB approval ID, and intended research use). Approved requesters are added as read-only contributors within 14 days. Methodological details of the underlying survey are reported in Tokiwa (2025, Research Square preprint; DOI 10.21203/rs.3.rs-7756124/v1).</w:t>
      </w:r>
    </w:p>
    <w:p>
      <w:pPr>
        <w:pStyle w:val="ListBullet"/>
        <w:spacing w:line="480" w:lineRule="auto" w:before="0" w:after="0"/>
      </w:pPr>
      <w:r>
        <w:rPr>
          <w:rFonts w:ascii="Times New Roman" w:hAnsi="Times New Roman" w:eastAsia="Times New Roman"/>
          <w:sz w:val="24"/>
        </w:rPr>
        <w:t>External public sources: The Statistics Bureau (MIC) Labour Force Survey 2022 Annual Average tabulations used for population reweighting are publicly archived in the repository at simulation/data/mhlw_labor_force_2022.csv (provenance: e-Stat retrieval 2026-04-30).</w:t>
      </w:r>
    </w:p>
    <w:p>
      <w:pPr>
        <w:pStyle w:val="ListBullet"/>
        <w:spacing w:line="480" w:lineRule="auto" w:before="0" w:after="0"/>
      </w:pPr>
      <w:r>
        <w:rPr>
          <w:rFonts w:ascii="Times New Roman" w:hAnsi="Times New Roman" w:eastAsia="Times New Roman"/>
          <w:sz w:val="24"/>
        </w:rPr>
        <w:t>Pre-registration: v2.0 master document, v1.1 → v2.0 public diff, and the Section 6.5 Level 1 Methods Clarifications Log are publicly accessible at the v2.0 registration page (osf.io/3y54u, DOI 10.17605/OSF.IO/3Y54U).</w:t>
      </w:r>
    </w:p>
    <w:p>
      <w:r>
        <w:br w:type="page"/>
      </w:r>
    </w:p>
    <w:p>
      <w:pPr>
        <w:spacing w:line="480" w:lineRule="auto" w:before="0" w:after="0"/>
        <w:jc w:val="center"/>
      </w:pPr>
      <w:r>
        <w:rPr>
          <w:rFonts w:ascii="Times New Roman" w:hAnsi="Times New Roman" w:eastAsia="Times New Roman"/>
          <w:b/>
          <w:sz w:val="24"/>
        </w:rPr>
        <w:t>Sample characteristics and 14-cell propensity (Stage 0)</w:t>
      </w:r>
    </w:p>
    <w:p>
      <w:pPr>
        <w:spacing w:line="480" w:lineRule="auto" w:before="0" w:after="0"/>
        <w:ind w:firstLine="720"/>
      </w:pPr>
      <w:r>
        <w:rPr>
          <w:rFonts w:ascii="Times New Roman" w:hAnsi="Times New Roman" w:eastAsia="Times New Roman"/>
          <w:sz w:val="24"/>
        </w:rPr>
        <w:t>The N = 354 sample was assigned to 14 cells (7 HEXACO clusters × 2 genders) via Euclidean nearest-centroid hard-assignment, using the Tokiwa (2026, *IEEE Access*) centroids as fixed parameters. Cell sizes ranged from 10 to 70 individuals (median = 18), with no degenerate (N = 0) cells. Cell-level past-three-year power-harassment victimization rates ranged from 0.000 to 0.400 (mean across cells = 0.181).</w:t>
      </w:r>
    </w:p>
    <w:p>
      <w:pPr>
        <w:spacing w:line="480" w:lineRule="auto" w:before="0" w:after="0"/>
        <w:ind w:firstLine="720"/>
      </w:pPr>
      <w:r>
        <w:rPr>
          <w:rFonts w:ascii="Times New Roman" w:hAnsi="Times New Roman" w:eastAsia="Times New Roman"/>
          <w:sz w:val="24"/>
        </w:rPr>
        <w:t>Per-cell 95% confidence intervals followed the four-step priority cascade (Methods §2.2.1). Of the 14 cells, **13 were resolved at the BCa stage** and **1 cell (cluster × gender index 11; N = 12, X = 0) was resolved at the Clopper-Pearson stage** as the M4 cascade prescribes for degenerate cells (X_c ∈ {0, N_c}). No cells required the BC or Percentile fallbacks, confirming that the v2.0 master Section 5.1 priority cascade operates as designed for the realized data structure.</w:t>
      </w:r>
    </w:p>
    <w:p>
      <w:pPr>
        <w:spacing w:line="480" w:lineRule="auto" w:before="0" w:after="0"/>
        <w:jc w:val="center"/>
      </w:pPr>
      <w:r>
        <w:rPr>
          <w:rFonts w:ascii="Times New Roman" w:hAnsi="Times New Roman" w:eastAsia="Times New Roman"/>
          <w:b/>
          <w:sz w:val="24"/>
        </w:rPr>
        <w:t>National prevalence and H1 four-tier classification (Stages 1–2)</w:t>
      </w:r>
    </w:p>
    <w:p>
      <w:pPr>
        <w:spacing w:line="480" w:lineRule="auto" w:before="0" w:after="0"/>
        <w:ind w:firstLine="720"/>
      </w:pPr>
      <w:r>
        <w:rPr>
          <w:rFonts w:ascii="Times New Roman" w:hAnsi="Times New Roman" w:eastAsia="Times New Roman"/>
          <w:sz w:val="24"/>
        </w:rPr>
        <w:t>After re-weighting with Statistics Bureau (MIC) Labor Force Survey 2022 marginals (F = 0.4498, M = 0.5502; total = 67.23 million employed persons), the model-based national past-three-year power-harassment prevalence was P̂ = 0.1744 (point estimate), corresponding to 17.44%.</w:t>
      </w:r>
    </w:p>
    <w:p>
      <w:pPr>
        <w:spacing w:line="480" w:lineRule="auto" w:before="0" w:after="0"/>
        <w:ind w:firstLine="720"/>
      </w:pPr>
      <w:r>
        <w:rPr>
          <w:rFonts w:ascii="Times New Roman" w:hAnsi="Times New Roman" w:eastAsia="Times New Roman"/>
          <w:sz w:val="24"/>
        </w:rPr>
        <w:t>Per the v2.0 master Section 5.4 four-tier judgment hierarchy, the H1 results across three MHLW validation periods are summarized in Table 1.</w:t>
      </w:r>
    </w:p>
    <w:p>
      <w:pPr>
        <w:spacing w:line="480" w:lineRule="auto" w:before="0" w:after="0"/>
        <w:ind w:firstLine="720"/>
      </w:pPr>
      <w:r>
        <w:rPr>
          <w:rFonts w:ascii="Times New Roman" w:hAnsi="Times New Roman" w:eastAsia="Times New Roman"/>
          <w:sz w:val="24"/>
        </w:rPr>
        <w:t>**Table 1.** Mean Absolute Percentage Error (MAPE) of model-based national prevalence against MHLW survey targets, with bootstrap 95% confidence intervals (B = 10,000 cell-stratified). Primary outcome: power harassment.</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eastAsia="Times New Roman"/>
                <w:b/>
                <w:sz w:val="22"/>
              </w:rPr>
              <w:t>Period (MHLW)</w:t>
            </w:r>
          </w:p>
        </w:tc>
        <w:tc>
          <w:tcPr>
            <w:tcW w:type="dxa" w:w="1560"/>
          </w:tcPr>
          <w:p>
            <w:r>
              <w:rPr>
                <w:rFonts w:ascii="Times New Roman" w:hAnsi="Times New Roman" w:eastAsia="Times New Roman"/>
                <w:b/>
                <w:sz w:val="22"/>
              </w:rPr>
              <w:t>Observed</w:t>
            </w:r>
          </w:p>
        </w:tc>
        <w:tc>
          <w:tcPr>
            <w:tcW w:type="dxa" w:w="1560"/>
          </w:tcPr>
          <w:p>
            <w:r>
              <w:rPr>
                <w:rFonts w:ascii="Times New Roman" w:hAnsi="Times New Roman" w:eastAsia="Times New Roman"/>
                <w:b/>
                <w:sz w:val="22"/>
              </w:rPr>
              <w:t>Predicted</w:t>
            </w:r>
          </w:p>
        </w:tc>
        <w:tc>
          <w:tcPr>
            <w:tcW w:type="dxa" w:w="1560"/>
          </w:tcPr>
          <w:p>
            <w:r>
              <w:rPr>
                <w:rFonts w:ascii="Times New Roman" w:hAnsi="Times New Roman" w:eastAsia="Times New Roman"/>
                <w:b/>
                <w:sz w:val="22"/>
              </w:rPr>
              <w:t>MAPE</w:t>
            </w:r>
          </w:p>
        </w:tc>
        <w:tc>
          <w:tcPr>
            <w:tcW w:type="dxa" w:w="1560"/>
          </w:tcPr>
          <w:p>
            <w:r>
              <w:rPr>
                <w:rFonts w:ascii="Times New Roman" w:hAnsi="Times New Roman" w:eastAsia="Times New Roman"/>
                <w:b/>
                <w:sz w:val="22"/>
              </w:rPr>
              <w:t>95% CI</w:t>
            </w:r>
          </w:p>
        </w:tc>
        <w:tc>
          <w:tcPr>
            <w:tcW w:type="dxa" w:w="1560"/>
          </w:tcPr>
          <w:p>
            <w:r>
              <w:rPr>
                <w:rFonts w:ascii="Times New Roman" w:hAnsi="Times New Roman" w:eastAsia="Times New Roman"/>
                <w:b/>
                <w:sz w:val="22"/>
              </w:rPr>
              <w:t>Tier</w:t>
            </w:r>
          </w:p>
        </w:tc>
      </w:tr>
      <w:tr>
        <w:tc>
          <w:tcPr>
            <w:tcW w:type="dxa" w:w="1560"/>
          </w:tcPr>
          <w:p>
            <w:r>
              <w:rPr>
                <w:rFonts w:ascii="Times New Roman" w:hAnsi="Times New Roman" w:eastAsia="Times New Roman"/>
                <w:b w:val="0"/>
                <w:sz w:val="22"/>
              </w:rPr>
              <w:t>FY2016 (32.5%, primary)</w:t>
            </w:r>
          </w:p>
        </w:tc>
        <w:tc>
          <w:tcPr>
            <w:tcW w:type="dxa" w:w="1560"/>
          </w:tcPr>
          <w:p>
            <w:r>
              <w:rPr>
                <w:rFonts w:ascii="Times New Roman" w:hAnsi="Times New Roman" w:eastAsia="Times New Roman"/>
                <w:b w:val="0"/>
                <w:sz w:val="22"/>
              </w:rPr>
              <w:t>0.325</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46.34%</w:t>
            </w:r>
          </w:p>
        </w:tc>
        <w:tc>
          <w:tcPr>
            <w:tcW w:type="dxa" w:w="1560"/>
          </w:tcPr>
          <w:p>
            <w:r>
              <w:rPr>
                <w:rFonts w:ascii="Times New Roman" w:hAnsi="Times New Roman" w:eastAsia="Times New Roman"/>
                <w:b w:val="0"/>
                <w:sz w:val="22"/>
              </w:rPr>
              <w:t>[32.36, 59.30]</w:t>
            </w:r>
          </w:p>
        </w:tc>
        <w:tc>
          <w:tcPr>
            <w:tcW w:type="dxa" w:w="1560"/>
          </w:tcPr>
          <w:p>
            <w:r>
              <w:rPr>
                <w:rFonts w:ascii="Times New Roman" w:hAnsi="Times New Roman" w:eastAsia="Times New Roman"/>
                <w:b w:val="0"/>
                <w:sz w:val="22"/>
              </w:rPr>
              <w:t>PARTIAL SUCCESS</w:t>
            </w:r>
          </w:p>
        </w:tc>
      </w:tr>
      <w:tr>
        <w:tc>
          <w:tcPr>
            <w:tcW w:type="dxa" w:w="1560"/>
          </w:tcPr>
          <w:p>
            <w:r>
              <w:rPr>
                <w:rFonts w:ascii="Times New Roman" w:hAnsi="Times New Roman" w:eastAsia="Times New Roman"/>
                <w:b w:val="0"/>
                <w:sz w:val="22"/>
              </w:rPr>
              <w:t>FY2020 (31.4%, secondary)</w:t>
            </w:r>
          </w:p>
        </w:tc>
        <w:tc>
          <w:tcPr>
            <w:tcW w:type="dxa" w:w="1560"/>
          </w:tcPr>
          <w:p>
            <w:r>
              <w:rPr>
                <w:rFonts w:ascii="Times New Roman" w:hAnsi="Times New Roman" w:eastAsia="Times New Roman"/>
                <w:b w:val="0"/>
                <w:sz w:val="22"/>
              </w:rPr>
              <w:t>0.314</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44.46%</w:t>
            </w:r>
          </w:p>
        </w:tc>
        <w:tc>
          <w:tcPr>
            <w:tcW w:type="dxa" w:w="1560"/>
          </w:tcPr>
          <w:p>
            <w:r>
              <w:rPr>
                <w:rFonts w:ascii="Times New Roman" w:hAnsi="Times New Roman" w:eastAsia="Times New Roman"/>
                <w:b w:val="0"/>
                <w:sz w:val="22"/>
              </w:rPr>
              <w:t>[30.00, 57.88]</w:t>
            </w:r>
          </w:p>
        </w:tc>
        <w:tc>
          <w:tcPr>
            <w:tcW w:type="dxa" w:w="1560"/>
          </w:tcPr>
          <w:p>
            <w:r>
              <w:rPr>
                <w:rFonts w:ascii="Times New Roman" w:hAnsi="Times New Roman" w:eastAsia="Times New Roman"/>
                <w:b w:val="0"/>
                <w:sz w:val="22"/>
              </w:rPr>
              <w:t>PARTIAL SUCCESS</w:t>
            </w:r>
          </w:p>
        </w:tc>
      </w:tr>
      <w:tr>
        <w:tc>
          <w:tcPr>
            <w:tcW w:type="dxa" w:w="1560"/>
          </w:tcPr>
          <w:p>
            <w:r>
              <w:rPr>
                <w:rFonts w:ascii="Times New Roman" w:hAnsi="Times New Roman" w:eastAsia="Times New Roman"/>
                <w:b w:val="0"/>
                <w:sz w:val="22"/>
              </w:rPr>
              <w:t>FY2023 (19.3%, secondary)</w:t>
            </w:r>
          </w:p>
        </w:tc>
        <w:tc>
          <w:tcPr>
            <w:tcW w:type="dxa" w:w="1560"/>
          </w:tcPr>
          <w:p>
            <w:r>
              <w:rPr>
                <w:rFonts w:ascii="Times New Roman" w:hAnsi="Times New Roman" w:eastAsia="Times New Roman"/>
                <w:b w:val="0"/>
                <w:sz w:val="22"/>
              </w:rPr>
              <w:t>0.193</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9.65%</w:t>
            </w:r>
          </w:p>
        </w:tc>
        <w:tc>
          <w:tcPr>
            <w:tcW w:type="dxa" w:w="1560"/>
          </w:tcPr>
          <w:p>
            <w:r>
              <w:rPr>
                <w:rFonts w:ascii="Times New Roman" w:hAnsi="Times New Roman" w:eastAsia="Times New Roman"/>
                <w:b w:val="0"/>
                <w:sz w:val="22"/>
              </w:rPr>
              <w:t>[0.52, 31.52]</w:t>
            </w:r>
          </w:p>
        </w:tc>
        <w:tc>
          <w:tcPr>
            <w:tcW w:type="dxa" w:w="1560"/>
          </w:tcPr>
          <w:p>
            <w:r>
              <w:rPr>
                <w:rFonts w:ascii="Times New Roman" w:hAnsi="Times New Roman" w:eastAsia="Times New Roman"/>
                <w:b w:val="0"/>
                <w:sz w:val="22"/>
              </w:rPr>
              <w:t>Standard SUCCESS</w:t>
            </w:r>
          </w:p>
        </w:tc>
      </w:tr>
    </w:tbl>
    <w:p>
      <w:pPr>
        <w:spacing w:line="480" w:lineRule="auto" w:before="0" w:after="0"/>
      </w:pPr>
    </w:p>
    <w:p>
      <w:pPr>
        <w:spacing w:line="480" w:lineRule="auto" w:before="0" w:after="0"/>
        <w:ind w:firstLine="720"/>
      </w:pPr>
      <w:r>
        <w:rPr>
          <w:rFonts w:ascii="Times New Roman" w:hAnsi="Times New Roman" w:eastAsia="Times New Roman"/>
          <w:sz w:val="24"/>
        </w:rPr>
        <w:t>The FY2016 primary classification is **PARTIAL SUCCESS** (point MAPE &gt; 30%, ≤ 60%). However, the post-Power-Harassment-Prevention-Law FY2023 result attains **Standard SUCCESS** with a point MAPE of 9.65% (well below the 30% threshold for both Strict and Standard tiers); the 95% CI upper bound of 31.52% narrowly exceeds the Strict criterion (≤ 30%) by 1.52 pp, placing the classification at Standard rather than Strict. Interpretation of this temporal heterogeneity is deferred to the Discussion (Section 4.1).</w:t>
      </w:r>
    </w:p>
    <w:p>
      <w:pPr>
        <w:spacing w:line="480" w:lineRule="auto" w:before="0" w:after="0"/>
        <w:jc w:val="center"/>
      </w:pPr>
      <w:r>
        <w:rPr>
          <w:rFonts w:ascii="Times New Roman" w:hAnsi="Times New Roman" w:eastAsia="Times New Roman"/>
          <w:b/>
          <w:sz w:val="24"/>
        </w:rPr>
        <w:t>Sensitivity sweep (Stage 3)</w:t>
      </w:r>
    </w:p>
    <w:p>
      <w:pPr>
        <w:spacing w:line="480" w:lineRule="auto" w:before="0" w:after="0"/>
        <w:ind w:firstLine="720"/>
      </w:pPr>
      <w:r>
        <w:rPr>
          <w:rFonts w:ascii="Times New Roman" w:hAnsi="Times New Roman" w:eastAsia="Times New Roman"/>
          <w:sz w:val="24"/>
        </w:rPr>
        <w:t>The pre-registered one-at-a-time sweep over four parameter families produced 13 rows. Results are presented in Table 2.</w:t>
      </w:r>
    </w:p>
    <w:p>
      <w:pPr>
        <w:spacing w:line="480" w:lineRule="auto" w:before="0" w:after="0"/>
        <w:ind w:firstLine="720"/>
      </w:pPr>
      <w:r>
        <w:rPr>
          <w:rFonts w:ascii="Times New Roman" w:hAnsi="Times New Roman" w:eastAsia="Times New Roman"/>
          <w:sz w:val="24"/>
        </w:rPr>
        <w:t>**Table 2.** OAT sensitivity sweep around main configuration. B = 2,000 per row, percentile CI on FY2016 MAPE. The baseline row uses the locked v2.0 main configuration; all other rows hold remaining parameters at main while varying the indicated family.</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Family</w:t>
            </w:r>
          </w:p>
        </w:tc>
        <w:tc>
          <w:tcPr>
            <w:tcW w:type="dxa" w:w="1872"/>
          </w:tcPr>
          <w:p>
            <w:r>
              <w:rPr>
                <w:rFonts w:ascii="Times New Roman" w:hAnsi="Times New Roman" w:eastAsia="Times New Roman"/>
                <w:b/>
                <w:sz w:val="22"/>
              </w:rPr>
              <w:t>Value</w:t>
            </w:r>
          </w:p>
        </w:tc>
        <w:tc>
          <w:tcPr>
            <w:tcW w:type="dxa" w:w="1872"/>
          </w:tcPr>
          <w:p>
            <w:r>
              <w:rPr>
                <w:rFonts w:ascii="Times New Roman" w:hAnsi="Times New Roman" w:eastAsia="Times New Roman"/>
                <w:b/>
                <w:sz w:val="22"/>
              </w:rPr>
              <w:t>MAPE</w:t>
            </w:r>
          </w:p>
        </w:tc>
        <w:tc>
          <w:tcPr>
            <w:tcW w:type="dxa" w:w="1872"/>
          </w:tcPr>
          <w:p>
            <w:r>
              <w:rPr>
                <w:rFonts w:ascii="Times New Roman" w:hAnsi="Times New Roman" w:eastAsia="Times New Roman"/>
                <w:b/>
                <w:sz w:val="22"/>
              </w:rPr>
              <w:t>95% CI</w:t>
            </w:r>
          </w:p>
        </w:tc>
        <w:tc>
          <w:tcPr>
            <w:tcW w:type="dxa" w:w="1872"/>
          </w:tcPr>
          <w:p>
            <w:r>
              <w:rPr>
                <w:rFonts w:ascii="Times New Roman" w:hAnsi="Times New Roman" w:eastAsia="Times New Roman"/>
                <w:b/>
                <w:sz w:val="22"/>
              </w:rPr>
              <w:t>Tier</w:t>
            </w:r>
          </w:p>
        </w:tc>
      </w:tr>
      <w:tr>
        <w:tc>
          <w:tcPr>
            <w:tcW w:type="dxa" w:w="1872"/>
          </w:tcPr>
          <w:p>
            <w:r>
              <w:rPr>
                <w:rFonts w:ascii="Times New Roman" w:hAnsi="Times New Roman" w:eastAsia="Times New Roman"/>
                <w:b w:val="0"/>
                <w:sz w:val="22"/>
              </w:rPr>
              <w:t>Baseline</w:t>
            </w:r>
          </w:p>
        </w:tc>
        <w:tc>
          <w:tcPr>
            <w:tcW w:type="dxa" w:w="1872"/>
          </w:tcPr>
          <w:p>
            <w:r>
              <w:rPr>
                <w:rFonts w:ascii="Times New Roman" w:hAnsi="Times New Roman" w:eastAsia="Times New Roman"/>
                <w:b w:val="0"/>
                <w:sz w:val="22"/>
              </w:rPr>
              <w:t>main_v2.0</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[31.5, 59.5]</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Binarization</w:t>
            </w:r>
          </w:p>
        </w:tc>
        <w:tc>
          <w:tcPr>
            <w:tcW w:type="dxa" w:w="1872"/>
          </w:tcPr>
          <w:p>
            <w:r>
              <w:rPr>
                <w:rFonts w:ascii="Times New Roman" w:hAnsi="Times New Roman" w:eastAsia="Times New Roman"/>
                <w:b w:val="0"/>
                <w:sz w:val="22"/>
              </w:rPr>
              <w:t>mean+0.25 SD</w:t>
            </w:r>
          </w:p>
        </w:tc>
        <w:tc>
          <w:tcPr>
            <w:tcW w:type="dxa" w:w="1872"/>
          </w:tcPr>
          <w:p>
            <w:r>
              <w:rPr>
                <w:rFonts w:ascii="Times New Roman" w:hAnsi="Times New Roman" w:eastAsia="Times New Roman"/>
                <w:b w:val="0"/>
                <w:sz w:val="22"/>
              </w:rPr>
              <w:t>29.58%</w:t>
            </w:r>
          </w:p>
        </w:tc>
        <w:tc>
          <w:tcPr>
            <w:tcW w:type="dxa" w:w="1872"/>
          </w:tcPr>
          <w:p>
            <w:r>
              <w:rPr>
                <w:rFonts w:ascii="Times New Roman" w:hAnsi="Times New Roman" w:eastAsia="Times New Roman"/>
                <w:b w:val="0"/>
                <w:sz w:val="22"/>
              </w:rPr>
              <w:t>[13.7, 45.2]</w:t>
            </w:r>
          </w:p>
        </w:tc>
        <w:tc>
          <w:tcPr>
            <w:tcW w:type="dxa" w:w="1872"/>
          </w:tcPr>
          <w:p>
            <w:r>
              <w:rPr>
                <w:rFonts w:ascii="Times New Roman" w:hAnsi="Times New Roman" w:eastAsia="Times New Roman"/>
                <w:b w:val="0"/>
                <w:sz w:val="22"/>
              </w:rPr>
              <w:t>Standard SUCCESS</w:t>
            </w:r>
          </w:p>
        </w:tc>
      </w:tr>
      <w:tr>
        <w:tc>
          <w:tcPr>
            <w:tcW w:type="dxa" w:w="1872"/>
          </w:tcPr>
          <w:p>
            <w:r>
              <w:rPr>
                <w:rFonts w:ascii="Times New Roman" w:hAnsi="Times New Roman" w:eastAsia="Times New Roman"/>
                <w:b w:val="0"/>
                <w:sz w:val="22"/>
              </w:rPr>
              <w:t>Binarization</w:t>
            </w:r>
          </w:p>
        </w:tc>
        <w:tc>
          <w:tcPr>
            <w:tcW w:type="dxa" w:w="1872"/>
          </w:tcPr>
          <w:p>
            <w:r>
              <w:rPr>
                <w:rFonts w:ascii="Times New Roman" w:hAnsi="Times New Roman" w:eastAsia="Times New Roman"/>
                <w:b w:val="0"/>
                <w:sz w:val="22"/>
              </w:rPr>
              <w:t>mean+0.5 SD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[30.5, 59.2]</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Binarization</w:t>
            </w:r>
          </w:p>
        </w:tc>
        <w:tc>
          <w:tcPr>
            <w:tcW w:type="dxa" w:w="1872"/>
          </w:tcPr>
          <w:p>
            <w:r>
              <w:rPr>
                <w:rFonts w:ascii="Times New Roman" w:hAnsi="Times New Roman" w:eastAsia="Times New Roman"/>
                <w:b w:val="0"/>
                <w:sz w:val="22"/>
              </w:rPr>
              <w:t>mean+1.0 SD</w:t>
            </w:r>
          </w:p>
        </w:tc>
        <w:tc>
          <w:tcPr>
            <w:tcW w:type="dxa" w:w="1872"/>
          </w:tcPr>
          <w:p>
            <w:r>
              <w:rPr>
                <w:rFonts w:ascii="Times New Roman" w:hAnsi="Times New Roman" w:eastAsia="Times New Roman"/>
                <w:b w:val="0"/>
                <w:sz w:val="22"/>
              </w:rPr>
              <w:t>48.95%</w:t>
            </w:r>
          </w:p>
        </w:tc>
        <w:tc>
          <w:tcPr>
            <w:tcW w:type="dxa" w:w="1872"/>
          </w:tcPr>
          <w:p>
            <w:r>
              <w:rPr>
                <w:rFonts w:ascii="Times New Roman" w:hAnsi="Times New Roman" w:eastAsia="Times New Roman"/>
                <w:b w:val="0"/>
                <w:sz w:val="22"/>
              </w:rPr>
              <w:t>[34.0, 62.4]</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 τ × median NN</w:t>
            </w:r>
          </w:p>
        </w:tc>
        <w:tc>
          <w:tcPr>
            <w:tcW w:type="dxa" w:w="1872"/>
          </w:tcPr>
          <w:p>
            <w:r>
              <w:rPr>
                <w:rFonts w:ascii="Times New Roman" w:hAnsi="Times New Roman" w:eastAsia="Times New Roman"/>
                <w:b w:val="0"/>
                <w:sz w:val="22"/>
              </w:rPr>
              <w:t>0.5×</w:t>
            </w:r>
          </w:p>
        </w:tc>
        <w:tc>
          <w:tcPr>
            <w:tcW w:type="dxa" w:w="1872"/>
          </w:tcPr>
          <w:p>
            <w:r>
              <w:rPr>
                <w:rFonts w:ascii="Times New Roman" w:hAnsi="Times New Roman" w:eastAsia="Times New Roman"/>
                <w:b w:val="0"/>
                <w:sz w:val="22"/>
              </w:rPr>
              <w:t>45.04%</w:t>
            </w:r>
          </w:p>
        </w:tc>
        <w:tc>
          <w:tcPr>
            <w:tcW w:type="dxa" w:w="1872"/>
          </w:tcPr>
          <w:p>
            <w:r>
              <w:rPr>
                <w:rFonts w:ascii="Times New Roman" w:hAnsi="Times New Roman" w:eastAsia="Times New Roman"/>
                <w:b w:val="0"/>
                <w:sz w:val="22"/>
              </w:rPr>
              <w:t>[43.8, 46.3]</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 τ × median NN</w:t>
            </w:r>
          </w:p>
        </w:tc>
        <w:tc>
          <w:tcPr>
            <w:tcW w:type="dxa" w:w="1872"/>
          </w:tcPr>
          <w:p>
            <w:r>
              <w:rPr>
                <w:rFonts w:ascii="Times New Roman" w:hAnsi="Times New Roman" w:eastAsia="Times New Roman"/>
                <w:b w:val="0"/>
                <w:sz w:val="22"/>
              </w:rPr>
              <w:t>1.0×</w:t>
            </w:r>
          </w:p>
        </w:tc>
        <w:tc>
          <w:tcPr>
            <w:tcW w:type="dxa" w:w="1872"/>
          </w:tcPr>
          <w:p>
            <w:r>
              <w:rPr>
                <w:rFonts w:ascii="Times New Roman" w:hAnsi="Times New Roman" w:eastAsia="Times New Roman"/>
                <w:b w:val="0"/>
                <w:sz w:val="22"/>
              </w:rPr>
              <w:t>45.22%</w:t>
            </w:r>
          </w:p>
        </w:tc>
        <w:tc>
          <w:tcPr>
            <w:tcW w:type="dxa" w:w="1872"/>
          </w:tcPr>
          <w:p>
            <w:r>
              <w:rPr>
                <w:rFonts w:ascii="Times New Roman" w:hAnsi="Times New Roman" w:eastAsia="Times New Roman"/>
                <w:b w:val="0"/>
                <w:sz w:val="22"/>
              </w:rPr>
              <w:t>[43.9, 46.5]</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 τ × median NN</w:t>
            </w:r>
          </w:p>
        </w:tc>
        <w:tc>
          <w:tcPr>
            <w:tcW w:type="dxa" w:w="1872"/>
          </w:tcPr>
          <w:p>
            <w:r>
              <w:rPr>
                <w:rFonts w:ascii="Times New Roman" w:hAnsi="Times New Roman" w:eastAsia="Times New Roman"/>
                <w:b w:val="0"/>
                <w:sz w:val="22"/>
              </w:rPr>
              <w:t>2.0×</w:t>
            </w:r>
          </w:p>
        </w:tc>
        <w:tc>
          <w:tcPr>
            <w:tcW w:type="dxa" w:w="1872"/>
          </w:tcPr>
          <w:p>
            <w:r>
              <w:rPr>
                <w:rFonts w:ascii="Times New Roman" w:hAnsi="Times New Roman" w:eastAsia="Times New Roman"/>
                <w:b w:val="0"/>
                <w:sz w:val="22"/>
              </w:rPr>
              <w:t>45.24%</w:t>
            </w:r>
          </w:p>
        </w:tc>
        <w:tc>
          <w:tcPr>
            <w:tcW w:type="dxa" w:w="1872"/>
          </w:tcPr>
          <w:p>
            <w:r>
              <w:rPr>
                <w:rFonts w:ascii="Times New Roman" w:hAnsi="Times New Roman" w:eastAsia="Times New Roman"/>
                <w:b w:val="0"/>
                <w:sz w:val="22"/>
              </w:rPr>
              <w:t>[43.9, 46.4]</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scale</w:t>
            </w:r>
          </w:p>
        </w:tc>
        <w:tc>
          <w:tcPr>
            <w:tcW w:type="dxa" w:w="1872"/>
          </w:tcPr>
          <w:p>
            <w:r>
              <w:rPr>
                <w:rFonts w:ascii="Times New Roman" w:hAnsi="Times New Roman" w:eastAsia="Times New Roman"/>
                <w:b w:val="0"/>
                <w:sz w:val="22"/>
              </w:rPr>
              <w:t>0.5× pseudocount</w:t>
            </w:r>
          </w:p>
        </w:tc>
        <w:tc>
          <w:tcPr>
            <w:tcW w:type="dxa" w:w="1872"/>
          </w:tcPr>
          <w:p>
            <w:r>
              <w:rPr>
                <w:rFonts w:ascii="Times New Roman" w:hAnsi="Times New Roman" w:eastAsia="Times New Roman"/>
                <w:b w:val="0"/>
                <w:sz w:val="22"/>
              </w:rPr>
              <w:t>45.90%</w:t>
            </w:r>
          </w:p>
        </w:tc>
        <w:tc>
          <w:tcPr>
            <w:tcW w:type="dxa" w:w="1872"/>
          </w:tcPr>
          <w:p>
            <w:r>
              <w:rPr>
                <w:rFonts w:ascii="Times New Roman" w:hAnsi="Times New Roman" w:eastAsia="Times New Roman"/>
                <w:b w:val="0"/>
                <w:sz w:val="22"/>
              </w:rPr>
              <w:t>[32.1, 58.7]</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scale</w:t>
            </w:r>
          </w:p>
        </w:tc>
        <w:tc>
          <w:tcPr>
            <w:tcW w:type="dxa" w:w="1872"/>
          </w:tcPr>
          <w:p>
            <w:r>
              <w:rPr>
                <w:rFonts w:ascii="Times New Roman" w:hAnsi="Times New Roman" w:eastAsia="Times New Roman"/>
                <w:b w:val="0"/>
                <w:sz w:val="22"/>
              </w:rPr>
              <w:t>1.0×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[31.4, 59.0]</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scale</w:t>
            </w:r>
          </w:p>
        </w:tc>
        <w:tc>
          <w:tcPr>
            <w:tcW w:type="dxa" w:w="1872"/>
          </w:tcPr>
          <w:p>
            <w:r>
              <w:rPr>
                <w:rFonts w:ascii="Times New Roman" w:hAnsi="Times New Roman" w:eastAsia="Times New Roman"/>
                <w:b w:val="0"/>
                <w:sz w:val="22"/>
              </w:rPr>
              <w:t>2.0× pseudocount</w:t>
            </w:r>
          </w:p>
        </w:tc>
        <w:tc>
          <w:tcPr>
            <w:tcW w:type="dxa" w:w="1872"/>
          </w:tcPr>
          <w:p>
            <w:r>
              <w:rPr>
                <w:rFonts w:ascii="Times New Roman" w:hAnsi="Times New Roman" w:eastAsia="Times New Roman"/>
                <w:b w:val="0"/>
                <w:sz w:val="22"/>
              </w:rPr>
              <w:t>45.80%</w:t>
            </w:r>
          </w:p>
        </w:tc>
        <w:tc>
          <w:tcPr>
            <w:tcW w:type="dxa" w:w="1872"/>
          </w:tcPr>
          <w:p>
            <w:r>
              <w:rPr>
                <w:rFonts w:ascii="Times New Roman" w:hAnsi="Times New Roman" w:eastAsia="Times New Roman"/>
                <w:b w:val="0"/>
                <w:sz w:val="22"/>
              </w:rPr>
              <w:t>[32.3, 58.9]</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−0.10 high−low</w:t>
            </w:r>
          </w:p>
        </w:tc>
        <w:tc>
          <w:tcPr>
            <w:tcW w:type="dxa" w:w="1872"/>
          </w:tcPr>
          <w:p>
            <w:r>
              <w:rPr>
                <w:rFonts w:ascii="Times New Roman" w:hAnsi="Times New Roman" w:eastAsia="Times New Roman"/>
                <w:b w:val="0"/>
                <w:sz w:val="22"/>
              </w:rPr>
              <w:t>56.47%</w:t>
            </w:r>
          </w:p>
        </w:tc>
        <w:tc>
          <w:tcPr>
            <w:tcW w:type="dxa" w:w="1872"/>
          </w:tcPr>
          <w:p>
            <w:r>
              <w:rPr>
                <w:rFonts w:ascii="Times New Roman" w:hAnsi="Times New Roman" w:eastAsia="Times New Roman"/>
                <w:b w:val="0"/>
                <w:sz w:val="22"/>
              </w:rPr>
              <w:t>[42.8, 68.8]</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0.0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[31.4, 59.2]</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+0.10 high−low</w:t>
            </w:r>
          </w:p>
        </w:tc>
        <w:tc>
          <w:tcPr>
            <w:tcW w:type="dxa" w:w="1872"/>
          </w:tcPr>
          <w:p>
            <w:r>
              <w:rPr>
                <w:rFonts w:ascii="Times New Roman" w:hAnsi="Times New Roman" w:eastAsia="Times New Roman"/>
                <w:b w:val="0"/>
                <w:sz w:val="22"/>
              </w:rPr>
              <w:t>34.55%</w:t>
            </w:r>
          </w:p>
        </w:tc>
        <w:tc>
          <w:tcPr>
            <w:tcW w:type="dxa" w:w="1872"/>
          </w:tcPr>
          <w:p>
            <w:r>
              <w:rPr>
                <w:rFonts w:ascii="Times New Roman" w:hAnsi="Times New Roman" w:eastAsia="Times New Roman"/>
                <w:b w:val="0"/>
                <w:sz w:val="22"/>
              </w:rPr>
              <w:t>[16.6, 51.8]</w:t>
            </w:r>
          </w:p>
        </w:tc>
        <w:tc>
          <w:tcPr>
            <w:tcW w:type="dxa" w:w="1872"/>
          </w:tcPr>
          <w:p>
            <w:r>
              <w:rPr>
                <w:rFonts w:ascii="Times New Roman" w:hAnsi="Times New Roman" w:eastAsia="Times New Roman"/>
                <w:b w:val="0"/>
                <w:sz w:val="22"/>
              </w:rPr>
              <w:t>PARTIAL</w:t>
            </w:r>
          </w:p>
        </w:tc>
      </w:tr>
    </w:tbl>
    <w:p>
      <w:pPr>
        <w:spacing w:line="480" w:lineRule="auto" w:before="0" w:after="0"/>
      </w:pPr>
    </w:p>
    <w:p>
      <w:pPr>
        <w:spacing w:line="480" w:lineRule="auto" w:before="0" w:after="0"/>
        <w:ind w:firstLine="720"/>
      </w:pPr>
      <w:r>
        <w:rPr>
          <w:rFonts w:ascii="Times New Roman" w:hAnsi="Times New Roman" w:eastAsia="Times New Roman"/>
          <w:sz w:val="24"/>
        </w:rPr>
        <w:t>Two parameter families show substantial sensitivity:</w:t>
      </w:r>
    </w:p>
    <w:p>
      <w:pPr>
        <w:pStyle w:val="ListBullet"/>
        <w:spacing w:line="480" w:lineRule="auto" w:before="0" w:after="0"/>
      </w:pPr>
      <w:r>
        <w:rPr>
          <w:rFonts w:ascii="Times New Roman" w:hAnsi="Times New Roman" w:eastAsia="Times New Roman"/>
          <w:sz w:val="24"/>
        </w:rPr>
        <w:t>Binarization threshold (range: 29.58% to 48.95%): a more lenient threshold (+0.25 SD) yields Standard SUCCESS classification, suggesting that the MHLW survey may operationalize harassment more inclusively than the +0.5 SD main threshold;</w:t>
      </w:r>
    </w:p>
    <w:p>
      <w:pPr>
        <w:pStyle w:val="ListBullet"/>
        <w:spacing w:line="480" w:lineRule="auto" w:before="0" w:after="0"/>
      </w:pPr>
      <w:r>
        <w:rPr>
          <w:rFonts w:ascii="Times New Roman" w:hAnsi="Times New Roman" w:eastAsia="Times New Roman"/>
          <w:sz w:val="24"/>
        </w:rPr>
        <w:t>Cluster proportion mass shift (range: 34.55% to 56.47%): underscores the centrality of the Tokiwa (2026, IEEE Access) cluster proportions to the conclusion (m8 limitation per pre-registration v2.0).</w:t>
      </w:r>
    </w:p>
    <w:p>
      <w:pPr>
        <w:spacing w:line="480" w:lineRule="auto" w:before="0" w:after="0"/>
        <w:ind w:firstLine="720"/>
      </w:pPr>
      <w:r>
        <w:rPr>
          <w:rFonts w:ascii="Times New Roman" w:hAnsi="Times New Roman" w:eastAsia="Times New Roman"/>
          <w:sz w:val="24"/>
        </w:rPr>
        <w:t>Two parameter families show negligible sensitivity:</w:t>
      </w:r>
    </w:p>
    <w:p>
      <w:pPr>
        <w:pStyle w:val="ListBullet"/>
        <w:spacing w:line="480" w:lineRule="auto" w:before="0" w:after="0"/>
      </w:pPr>
      <w:r>
        <w:rPr>
          <w:rFonts w:ascii="Times New Roman" w:hAnsi="Times New Roman" w:eastAsia="Times New Roman"/>
          <w:sz w:val="24"/>
        </w:rPr>
        <w:t>Soft-assignment τ (range: 45.04% to 45.24%; 0.20 percentage-point spread): cluster-membership-fuzziness is essentially irrelevant to the conclusion;</w:t>
      </w:r>
    </w:p>
    <w:p>
      <w:pPr>
        <w:pStyle w:val="ListBullet"/>
        <w:spacing w:line="480" w:lineRule="auto" w:before="0" w:after="0"/>
      </w:pPr>
      <w:r>
        <w:rPr>
          <w:rFonts w:ascii="Times New Roman" w:hAnsi="Times New Roman" w:eastAsia="Times New Roman"/>
          <w:sz w:val="24"/>
        </w:rPr>
        <w:t>Empirical Bayes shrinkage scale (range: 45.51% to 45.90%; 0.40 percentage-point spread): the empirical Bayes prior-pseudocount magnitude is negligible.</w:t>
      </w:r>
    </w:p>
    <w:p>
      <w:pPr>
        <w:spacing w:line="480" w:lineRule="auto" w:before="0" w:after="0"/>
        <w:ind w:firstLine="720"/>
      </w:pPr>
      <w:r>
        <w:rPr>
          <w:rFonts w:ascii="Times New Roman" w:hAnsi="Times New Roman" w:eastAsia="Times New Roman"/>
          <w:sz w:val="24"/>
        </w:rPr>
        <w:t>The two stable axes provide affirmative robustness evidence; the two sensitive axes circumscribe the assumptions on which the conclusion explicitly depends.</w:t>
      </w:r>
    </w:p>
    <w:p>
      <w:pPr>
        <w:spacing w:line="480" w:lineRule="auto" w:before="0" w:after="0"/>
        <w:jc w:val="center"/>
      </w:pPr>
      <w:r>
        <w:rPr>
          <w:rFonts w:ascii="Times New Roman" w:hAnsi="Times New Roman" w:eastAsia="Times New Roman"/>
          <w:b/>
          <w:sz w:val="24"/>
        </w:rPr>
        <w:t>Baseline comparison and H2 ordinal trend (Stage 4)</w:t>
      </w:r>
    </w:p>
    <w:p>
      <w:pPr>
        <w:spacing w:line="480" w:lineRule="auto" w:before="0" w:after="0"/>
        <w:ind w:firstLine="720"/>
      </w:pPr>
      <w:r>
        <w:rPr>
          <w:rFonts w:ascii="Times New Roman" w:hAnsi="Times New Roman" w:eastAsia="Times New Roman"/>
          <w:sz w:val="24"/>
        </w:rPr>
        <w:t>The pre-registered B0–B4 baseline ladder yielded the following MAPE_FY2016 estimates (Table 3).</w:t>
      </w:r>
    </w:p>
    <w:p>
      <w:pPr>
        <w:spacing w:line="480" w:lineRule="auto" w:before="0" w:after="0"/>
        <w:ind w:firstLine="720"/>
      </w:pPr>
      <w:r>
        <w:rPr>
          <w:rFonts w:ascii="Times New Roman" w:hAnsi="Times New Roman" w:eastAsia="Times New Roman"/>
          <w:sz w:val="24"/>
        </w:rPr>
        <w:t>**Table 3.** Baseline comparison for H2. B = 2,000 cell-stratified bootstrap. Note that B0 (uniform-MHLW-grand-mean prediction) trivially attains MAPE = 0 by construction and is included only as the lower-bound reference.</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2"/>
              </w:rPr>
              <w:t>Baseline</w:t>
            </w:r>
          </w:p>
        </w:tc>
        <w:tc>
          <w:tcPr>
            <w:tcW w:type="dxa" w:w="2340"/>
          </w:tcPr>
          <w:p>
            <w:r>
              <w:rPr>
                <w:rFonts w:ascii="Times New Roman" w:hAnsi="Times New Roman" w:eastAsia="Times New Roman"/>
                <w:b/>
                <w:sz w:val="22"/>
              </w:rPr>
              <w:t>Description</w:t>
            </w:r>
          </w:p>
        </w:tc>
        <w:tc>
          <w:tcPr>
            <w:tcW w:type="dxa" w:w="2340"/>
          </w:tcPr>
          <w:p>
            <w:r>
              <w:rPr>
                <w:rFonts w:ascii="Times New Roman" w:hAnsi="Times New Roman" w:eastAsia="Times New Roman"/>
                <w:b/>
                <w:sz w:val="22"/>
              </w:rPr>
              <w:t>MAPE</w:t>
            </w:r>
          </w:p>
        </w:tc>
        <w:tc>
          <w:tcPr>
            <w:tcW w:type="dxa" w:w="2340"/>
          </w:tcPr>
          <w:p>
            <w:r>
              <w:rPr>
                <w:rFonts w:ascii="Times New Roman" w:hAnsi="Times New Roman" w:eastAsia="Times New Roman"/>
                <w:b/>
                <w:sz w:val="22"/>
              </w:rPr>
              <w:t>95% CI</w:t>
            </w:r>
          </w:p>
        </w:tc>
      </w:tr>
      <w:tr>
        <w:tc>
          <w:tcPr>
            <w:tcW w:type="dxa" w:w="2340"/>
          </w:tcPr>
          <w:p>
            <w:r>
              <w:rPr>
                <w:rFonts w:ascii="Times New Roman" w:hAnsi="Times New Roman" w:eastAsia="Times New Roman"/>
                <w:b w:val="0"/>
                <w:sz w:val="22"/>
              </w:rPr>
              <w:t>B0</w:t>
            </w:r>
          </w:p>
        </w:tc>
        <w:tc>
          <w:tcPr>
            <w:tcW w:type="dxa" w:w="2340"/>
          </w:tcPr>
          <w:p>
            <w:r>
              <w:rPr>
                <w:rFonts w:ascii="Times New Roman" w:hAnsi="Times New Roman" w:eastAsia="Times New Roman"/>
                <w:b w:val="0"/>
                <w:sz w:val="22"/>
              </w:rPr>
              <w:t>Uniform = MHLW grand mean</w:t>
            </w:r>
          </w:p>
        </w:tc>
        <w:tc>
          <w:tcPr>
            <w:tcW w:type="dxa" w:w="2340"/>
          </w:tcPr>
          <w:p>
            <w:r>
              <w:rPr>
                <w:rFonts w:ascii="Times New Roman" w:hAnsi="Times New Roman" w:eastAsia="Times New Roman"/>
                <w:b w:val="0"/>
                <w:sz w:val="22"/>
              </w:rPr>
              <w:t>0.00%</w:t>
            </w:r>
          </w:p>
        </w:tc>
        <w:tc>
          <w:tcPr>
            <w:tcW w:type="dxa" w:w="2340"/>
          </w:tcPr>
          <w:p>
            <w:r>
              <w:rPr>
                <w:rFonts w:ascii="Times New Roman" w:hAnsi="Times New Roman" w:eastAsia="Times New Roman"/>
                <w:b w:val="0"/>
                <w:sz w:val="22"/>
              </w:rPr>
              <w:t>[0.00, 0.00]</w:t>
            </w:r>
          </w:p>
        </w:tc>
      </w:tr>
      <w:tr>
        <w:tc>
          <w:tcPr>
            <w:tcW w:type="dxa" w:w="2340"/>
          </w:tcPr>
          <w:p>
            <w:r>
              <w:rPr>
                <w:rFonts w:ascii="Times New Roman" w:hAnsi="Times New Roman" w:eastAsia="Times New Roman"/>
                <w:b w:val="0"/>
                <w:sz w:val="22"/>
              </w:rPr>
              <w:t>B1</w:t>
            </w:r>
          </w:p>
        </w:tc>
        <w:tc>
          <w:tcPr>
            <w:tcW w:type="dxa" w:w="2340"/>
          </w:tcPr>
          <w:p>
            <w:r>
              <w:rPr>
                <w:rFonts w:ascii="Times New Roman" w:hAnsi="Times New Roman" w:eastAsia="Times New Roman"/>
                <w:b w:val="0"/>
                <w:sz w:val="22"/>
              </w:rPr>
              <w:t>Gender logistic</w:t>
            </w:r>
          </w:p>
        </w:tc>
        <w:tc>
          <w:tcPr>
            <w:tcW w:type="dxa" w:w="2340"/>
          </w:tcPr>
          <w:p>
            <w:r>
              <w:rPr>
                <w:rFonts w:ascii="Times New Roman" w:hAnsi="Times New Roman" w:eastAsia="Times New Roman"/>
                <w:b w:val="0"/>
                <w:sz w:val="22"/>
              </w:rPr>
              <w:t>46.02%</w:t>
            </w:r>
          </w:p>
        </w:tc>
        <w:tc>
          <w:tcPr>
            <w:tcW w:type="dxa" w:w="2340"/>
          </w:tcPr>
          <w:p>
            <w:r>
              <w:rPr>
                <w:rFonts w:ascii="Times New Roman" w:hAnsi="Times New Roman" w:eastAsia="Times New Roman"/>
                <w:b w:val="0"/>
                <w:sz w:val="22"/>
              </w:rPr>
              <w:t>[46.02, 46.02]</w:t>
            </w:r>
          </w:p>
        </w:tc>
      </w:tr>
      <w:tr>
        <w:tc>
          <w:tcPr>
            <w:tcW w:type="dxa" w:w="2340"/>
          </w:tcPr>
          <w:p>
            <w:r>
              <w:rPr>
                <w:rFonts w:ascii="Times New Roman" w:hAnsi="Times New Roman" w:eastAsia="Times New Roman"/>
                <w:b w:val="0"/>
                <w:sz w:val="22"/>
              </w:rPr>
              <w:t>B2</w:t>
            </w:r>
          </w:p>
        </w:tc>
        <w:tc>
          <w:tcPr>
            <w:tcW w:type="dxa" w:w="2340"/>
          </w:tcPr>
          <w:p>
            <w:r>
              <w:rPr>
                <w:rFonts w:ascii="Times New Roman" w:hAnsi="Times New Roman" w:eastAsia="Times New Roman"/>
                <w:b w:val="0"/>
                <w:sz w:val="22"/>
              </w:rPr>
              <w:t>HEXACO 6-domain logistic</w:t>
            </w:r>
          </w:p>
        </w:tc>
        <w:tc>
          <w:tcPr>
            <w:tcW w:type="dxa" w:w="2340"/>
          </w:tcPr>
          <w:p>
            <w:r>
              <w:rPr>
                <w:rFonts w:ascii="Times New Roman" w:hAnsi="Times New Roman" w:eastAsia="Times New Roman"/>
                <w:b w:val="0"/>
                <w:sz w:val="22"/>
              </w:rPr>
              <w:t>43.98%</w:t>
            </w:r>
          </w:p>
        </w:tc>
        <w:tc>
          <w:tcPr>
            <w:tcW w:type="dxa" w:w="2340"/>
          </w:tcPr>
          <w:p>
            <w:r>
              <w:rPr>
                <w:rFonts w:ascii="Times New Roman" w:hAnsi="Times New Roman" w:eastAsia="Times New Roman"/>
                <w:b w:val="0"/>
                <w:sz w:val="22"/>
              </w:rPr>
              <w:t>[40.33, 47.35]</w:t>
            </w:r>
          </w:p>
        </w:tc>
      </w:tr>
      <w:tr>
        <w:tc>
          <w:tcPr>
            <w:tcW w:type="dxa" w:w="2340"/>
          </w:tcPr>
          <w:p>
            <w:r>
              <w:rPr>
                <w:rFonts w:ascii="Times New Roman" w:hAnsi="Times New Roman" w:eastAsia="Times New Roman"/>
                <w:b w:val="0"/>
                <w:sz w:val="22"/>
              </w:rPr>
              <w:t>B3</w:t>
            </w:r>
          </w:p>
        </w:tc>
        <w:tc>
          <w:tcPr>
            <w:tcW w:type="dxa" w:w="2340"/>
          </w:tcPr>
          <w:p>
            <w:r>
              <w:rPr>
                <w:rFonts w:ascii="Times New Roman" w:hAnsi="Times New Roman" w:eastAsia="Times New Roman"/>
                <w:b w:val="0"/>
                <w:sz w:val="22"/>
              </w:rPr>
              <w:t>14-cell conditional</w:t>
            </w:r>
          </w:p>
        </w:tc>
        <w:tc>
          <w:tcPr>
            <w:tcW w:type="dxa" w:w="2340"/>
          </w:tcPr>
          <w:p>
            <w:r>
              <w:rPr>
                <w:rFonts w:ascii="Times New Roman" w:hAnsi="Times New Roman" w:eastAsia="Times New Roman"/>
                <w:b w:val="0"/>
                <w:sz w:val="22"/>
              </w:rPr>
              <w:t>46.34%</w:t>
            </w:r>
          </w:p>
        </w:tc>
        <w:tc>
          <w:tcPr>
            <w:tcW w:type="dxa" w:w="2340"/>
          </w:tcPr>
          <w:p>
            <w:r>
              <w:rPr>
                <w:rFonts w:ascii="Times New Roman" w:hAnsi="Times New Roman" w:eastAsia="Times New Roman"/>
                <w:b w:val="0"/>
                <w:sz w:val="22"/>
              </w:rPr>
              <w:t>[46.34, 46.34]</w:t>
            </w:r>
          </w:p>
        </w:tc>
      </w:tr>
      <w:tr>
        <w:tc>
          <w:tcPr>
            <w:tcW w:type="dxa" w:w="2340"/>
          </w:tcPr>
          <w:p>
            <w:r>
              <w:rPr>
                <w:rFonts w:ascii="Times New Roman" w:hAnsi="Times New Roman" w:eastAsia="Times New Roman"/>
                <w:b w:val="0"/>
                <w:sz w:val="22"/>
              </w:rPr>
              <w:t>B4</w:t>
            </w:r>
          </w:p>
        </w:tc>
        <w:tc>
          <w:tcPr>
            <w:tcW w:type="dxa" w:w="2340"/>
          </w:tcPr>
          <w:p>
            <w:r>
              <w:rPr>
                <w:rFonts w:ascii="Times New Roman" w:hAnsi="Times New Roman" w:eastAsia="Times New Roman"/>
                <w:b w:val="0"/>
                <w:sz w:val="22"/>
              </w:rPr>
              <w:t>Extended (age + age × cluster)</w:t>
            </w:r>
          </w:p>
        </w:tc>
        <w:tc>
          <w:tcPr>
            <w:tcW w:type="dxa" w:w="2340"/>
          </w:tcPr>
          <w:p>
            <w:r>
              <w:rPr>
                <w:rFonts w:ascii="Times New Roman" w:hAnsi="Times New Roman" w:eastAsia="Times New Roman"/>
                <w:b w:val="0"/>
                <w:sz w:val="22"/>
              </w:rPr>
              <w:t>47.04%</w:t>
            </w:r>
          </w:p>
        </w:tc>
        <w:tc>
          <w:tcPr>
            <w:tcW w:type="dxa" w:w="2340"/>
          </w:tcPr>
          <w:p>
            <w:r>
              <w:rPr>
                <w:rFonts w:ascii="Times New Roman" w:hAnsi="Times New Roman" w:eastAsia="Times New Roman"/>
                <w:b w:val="0"/>
                <w:sz w:val="22"/>
              </w:rPr>
              <w:t>[45.02, 49.05]</w:t>
            </w:r>
          </w:p>
        </w:tc>
      </w:tr>
    </w:tbl>
    <w:p>
      <w:pPr>
        <w:spacing w:line="480" w:lineRule="auto" w:before="0" w:after="0"/>
      </w:pPr>
    </w:p>
    <w:p>
      <w:pPr>
        <w:spacing w:line="480" w:lineRule="auto" w:before="0" w:after="0"/>
        <w:ind w:firstLine="720"/>
      </w:pPr>
      <w:r>
        <w:rPr>
          <w:rFonts w:ascii="Times New Roman" w:hAnsi="Times New Roman" w:eastAsia="Times New Roman"/>
          <w:sz w:val="24"/>
        </w:rPr>
        <w:t>The H2 hypothesis (B0 &gt; B1 &gt; B2 &gt; B3 &gt; B4 in MAPE, monotonic improvement) was tested via Bonferroni-Holm-corrected pairwise inequalities; **0 of 4 pairs were confirmed** at one-sided α = 0.05. Page's L (1963) ordinal trend test produced p = 0.9757, far from significance.</w:t>
      </w:r>
    </w:p>
    <w:p>
      <w:pPr>
        <w:spacing w:line="480" w:lineRule="auto" w:before="0" w:after="0"/>
        <w:ind w:firstLine="720"/>
      </w:pPr>
      <w:r>
        <w:rPr>
          <w:rFonts w:ascii="Times New Roman" w:hAnsi="Times New Roman" w:eastAsia="Times New Roman"/>
          <w:sz w:val="24"/>
        </w:rPr>
        <w:t>The H2 decision is therefore **ambiguous_or_reversed**: the model sophistication ladder does not exhibit a monotonic improvement signature. Substantively, this indicates that the 14-cell conditional model (B3) does not dominate simpler alternatives (B1, B2) in terms of predictive accuracy. We interpret this as evidence that the 14-cell partition is *not over-fit* to the training subsample (a moderately favorable finding), but the benefit of the additional cluster × gender stratification is not detectable at this sample size with the present binarization.</w:t>
      </w:r>
    </w:p>
    <w:p>
      <w:pPr>
        <w:spacing w:line="480" w:lineRule="auto" w:before="0" w:after="0"/>
        <w:jc w:val="center"/>
      </w:pPr>
      <w:r>
        <w:rPr>
          <w:rFonts w:ascii="Times New Roman" w:hAnsi="Times New Roman" w:eastAsia="Times New Roman"/>
          <w:b/>
          <w:sz w:val="24"/>
        </w:rPr>
        <w:t>Common-method-variance diagnostic (Stage 5)</w:t>
      </w:r>
    </w:p>
    <w:p>
      <w:pPr>
        <w:spacing w:line="480" w:lineRule="auto" w:before="0" w:after="0"/>
        <w:ind w:firstLine="720"/>
      </w:pPr>
      <w:r>
        <w:rPr>
          <w:rFonts w:ascii="Times New Roman" w:hAnsi="Times New Roman" w:eastAsia="Times New Roman"/>
          <w:sz w:val="24"/>
        </w:rPr>
        <w:t>Harman's single-factor test on 11 standardized variables (6 HEXACO + 3 Dark Triad + 2 harassment continuous scales; N = 353 used after listwise deletion) yielded:</w:t>
      </w:r>
    </w:p>
    <w:p>
      <w:pPr>
        <w:pStyle w:val="ListBullet"/>
        <w:spacing w:line="480" w:lineRule="auto" w:before="0" w:after="0"/>
      </w:pPr>
      <w:r>
        <w:rPr>
          <w:rFonts w:ascii="Times New Roman" w:hAnsi="Times New Roman" w:eastAsia="Times New Roman"/>
          <w:sz w:val="24"/>
        </w:rPr>
        <w:t>First-factor variance: 24.08% (well below the 50% concern threshold);</w:t>
      </w:r>
    </w:p>
    <w:p>
      <w:pPr>
        <w:pStyle w:val="ListBullet"/>
        <w:spacing w:line="480" w:lineRule="auto" w:before="0" w:after="0"/>
      </w:pPr>
      <w:r>
        <w:rPr>
          <w:rFonts w:ascii="Times New Roman" w:hAnsi="Times New Roman" w:eastAsia="Times New Roman"/>
          <w:sz w:val="24"/>
        </w:rPr>
        <w:t>CMV concern flag: False;</w:t>
      </w:r>
    </w:p>
    <w:p>
      <w:pPr>
        <w:pStyle w:val="ListBullet"/>
        <w:spacing w:line="480" w:lineRule="auto" w:before="0" w:after="0"/>
      </w:pPr>
      <w:r>
        <w:rPr>
          <w:rFonts w:ascii="Times New Roman" w:hAnsi="Times New Roman" w:eastAsia="Times New Roman"/>
          <w:sz w:val="24"/>
        </w:rPr>
        <w:t>Marker-variable correction (Lindell &amp; Whitney, 2001) using HEXACO Openness as theoretical marker:</w:t>
      </w:r>
    </w:p>
    <w:p>
      <w:pPr>
        <w:spacing w:line="480" w:lineRule="auto" w:before="0" w:after="0"/>
        <w:ind w:firstLine="720"/>
      </w:pPr>
      <w:r>
        <w:rPr>
          <w:rFonts w:ascii="Times New Roman" w:hAnsi="Times New Roman" w:eastAsia="Times New Roman"/>
          <w:sz w:val="24"/>
        </w:rPr>
        <w:t>- r(O, power harassment) = +0.068 (CMV estimate); - r(O, gender harassment) = −0.181; - Honesty-Humility–power harassment association: r_raw = −0.265 → r_adjusted = −0.356 (slightly strengthened after CMV correction); - Psychopathy–power harassment association: r_raw = +0.391 → r_adjusted = +0.347.</w:t>
      </w:r>
    </w:p>
    <w:p>
      <w:pPr>
        <w:spacing w:line="480" w:lineRule="auto" w:before="0" w:after="0"/>
        <w:ind w:firstLine="720"/>
      </w:pPr>
      <w:r>
        <w:rPr>
          <w:rFonts w:ascii="Times New Roman" w:hAnsi="Times New Roman" w:eastAsia="Times New Roman"/>
          <w:sz w:val="24"/>
        </w:rPr>
        <w:t>Common-method bias does not pose substantial concern for the present data, and the post-correction associations remain in the expected directions.</w:t>
      </w:r>
    </w:p>
    <w:p>
      <w:pPr>
        <w:spacing w:line="480" w:lineRule="auto" w:before="0" w:after="0"/>
        <w:jc w:val="center"/>
      </w:pPr>
      <w:r>
        <w:rPr>
          <w:rFonts w:ascii="Times New Roman" w:hAnsi="Times New Roman" w:eastAsia="Times New Roman"/>
          <w:b/>
          <w:sz w:val="24"/>
        </w:rPr>
        <w:t>Counterfactual contrasts and H7 IUT (Stage 7)</w:t>
      </w:r>
    </w:p>
    <w:p>
      <w:pPr>
        <w:spacing w:line="480" w:lineRule="auto" w:before="0" w:after="0"/>
        <w:ind w:firstLine="720"/>
      </w:pPr>
      <w:r>
        <w:rPr>
          <w:rFonts w:ascii="Times New Roman" w:hAnsi="Times New Roman" w:eastAsia="Times New Roman"/>
          <w:sz w:val="24"/>
        </w:rPr>
        <w:t>The three pre-registered counterfactual interventions produced the following ΔP_x estimates (Table 4).</w:t>
      </w:r>
    </w:p>
    <w:p>
      <w:pPr>
        <w:spacing w:line="480" w:lineRule="auto" w:before="0" w:after="0"/>
        <w:ind w:firstLine="720"/>
      </w:pPr>
      <w:r>
        <w:rPr>
          <w:rFonts w:ascii="Times New Roman" w:hAnsi="Times New Roman" w:eastAsia="Times New Roman"/>
          <w:sz w:val="24"/>
        </w:rPr>
        <w:t>**Table 4.** Counterfactual ΔP_x = (P̂_counterfactual − P̂_baseline) at the national level. B = 2,000 cell-stratified bootstrap. Positive ΔP indicates *reduction* in prevalence (per pre-registration v2.0 sign convention).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Intervention</w:t>
            </w:r>
          </w:p>
        </w:tc>
        <w:tc>
          <w:tcPr>
            <w:tcW w:type="dxa" w:w="1872"/>
          </w:tcPr>
          <w:p>
            <w:r>
              <w:rPr>
                <w:rFonts w:ascii="Times New Roman" w:hAnsi="Times New Roman" w:eastAsia="Times New Roman"/>
                <w:b/>
                <w:sz w:val="22"/>
              </w:rPr>
              <w:t>Operationalization</w:t>
            </w:r>
          </w:p>
        </w:tc>
        <w:tc>
          <w:tcPr>
            <w:tcW w:type="dxa" w:w="1872"/>
          </w:tcPr>
          <w:p>
            <w:r>
              <w:rPr>
                <w:rFonts w:ascii="Times New Roman" w:hAnsi="Times New Roman" w:eastAsia="Times New Roman"/>
                <w:b/>
                <w:sz w:val="22"/>
              </w:rPr>
              <w:t>ΔP point</w:t>
            </w:r>
          </w:p>
        </w:tc>
        <w:tc>
          <w:tcPr>
            <w:tcW w:type="dxa" w:w="1872"/>
          </w:tcPr>
          <w:p>
            <w:r>
              <w:rPr>
                <w:rFonts w:ascii="Times New Roman" w:hAnsi="Times New Roman" w:eastAsia="Times New Roman"/>
                <w:b/>
                <w:sz w:val="22"/>
              </w:rPr>
              <w:t>95% CI</w:t>
            </w:r>
          </w:p>
        </w:tc>
        <w:tc>
          <w:tcPr>
            <w:tcW w:type="dxa" w:w="1872"/>
          </w:tcPr>
          <w:p>
            <w:r>
              <w:rPr>
                <w:rFonts w:ascii="Times New Roman" w:hAnsi="Times New Roman" w:eastAsia="Times New Roman"/>
                <w:b/>
                <w:sz w:val="22"/>
              </w:rPr>
              <w:t>Decision (CI excludes 0?)</w:t>
            </w:r>
          </w:p>
        </w:tc>
      </w:tr>
      <w:tr>
        <w:tc>
          <w:tcPr>
            <w:tcW w:type="dxa" w:w="1872"/>
          </w:tcPr>
          <w:p>
            <w:r>
              <w:rPr>
                <w:rFonts w:ascii="Times New Roman" w:hAnsi="Times New Roman" w:eastAsia="Times New Roman"/>
                <w:b w:val="0"/>
                <w:sz w:val="22"/>
              </w:rPr>
              <w:t>Counterfactual A</w:t>
            </w:r>
          </w:p>
        </w:tc>
        <w:tc>
          <w:tcPr>
            <w:tcW w:type="dxa" w:w="1872"/>
          </w:tcPr>
          <w:p>
            <w:r>
              <w:rPr>
                <w:rFonts w:ascii="Times New Roman" w:hAnsi="Times New Roman" w:eastAsia="Times New Roman"/>
                <w:b w:val="0"/>
                <w:sz w:val="22"/>
              </w:rPr>
              <w:t>do(HH ← HH + 0.3σ; A ← A + 0.3σ; E ← E + 0.3σ)</w:t>
            </w:r>
          </w:p>
        </w:tc>
        <w:tc>
          <w:tcPr>
            <w:tcW w:type="dxa" w:w="1872"/>
          </w:tcPr>
          <w:p>
            <w:r>
              <w:rPr>
                <w:rFonts w:ascii="Times New Roman" w:hAnsi="Times New Roman" w:eastAsia="Times New Roman"/>
                <w:b w:val="0"/>
                <w:sz w:val="22"/>
              </w:rPr>
              <w:t>−0.0061</w:t>
            </w:r>
          </w:p>
        </w:tc>
        <w:tc>
          <w:tcPr>
            <w:tcW w:type="dxa" w:w="1872"/>
          </w:tcPr>
          <w:p>
            <w:r>
              <w:rPr>
                <w:rFonts w:ascii="Times New Roman" w:hAnsi="Times New Roman" w:eastAsia="Times New Roman"/>
                <w:b w:val="0"/>
                <w:sz w:val="22"/>
              </w:rPr>
              <w:t>[−0.0207, +0.0062]</w:t>
            </w:r>
          </w:p>
        </w:tc>
        <w:tc>
          <w:tcPr>
            <w:tcW w:type="dxa" w:w="1872"/>
          </w:tcPr>
          <w:p>
            <w:r>
              <w:rPr>
                <w:rFonts w:ascii="Times New Roman" w:hAnsi="Times New Roman" w:eastAsia="Times New Roman"/>
                <w:b w:val="0"/>
                <w:sz w:val="22"/>
              </w:rPr>
              <w:t>No (null)</w:t>
            </w:r>
          </w:p>
        </w:tc>
      </w:tr>
      <w:tr>
        <w:tc>
          <w:tcPr>
            <w:tcW w:type="dxa" w:w="1872"/>
          </w:tcPr>
          <w:p>
            <w:r>
              <w:rPr>
                <w:rFonts w:ascii="Times New Roman" w:hAnsi="Times New Roman" w:eastAsia="Times New Roman"/>
                <w:b w:val="0"/>
                <w:sz w:val="22"/>
              </w:rPr>
              <w:t>Counterfactual B</w:t>
            </w:r>
          </w:p>
        </w:tc>
        <w:tc>
          <w:tcPr>
            <w:tcW w:type="dxa" w:w="1872"/>
          </w:tcPr>
          <w:p>
            <w:r>
              <w:rPr>
                <w:rFonts w:ascii="Times New Roman" w:hAnsi="Times New Roman" w:eastAsia="Times New Roman"/>
                <w:b w:val="0"/>
                <w:sz w:val="22"/>
              </w:rPr>
              <w:t>do(HH := HH + 0.40σ_HH) for individuals whose baseline cluster ∈ {0, 4, 6}</w:t>
            </w:r>
          </w:p>
        </w:tc>
        <w:tc>
          <w:tcPr>
            <w:tcW w:type="dxa" w:w="1872"/>
          </w:tcPr>
          <w:p>
            <w:r>
              <w:rPr>
                <w:rFonts w:ascii="Times New Roman" w:hAnsi="Times New Roman" w:eastAsia="Times New Roman"/>
                <w:b w:val="0"/>
                <w:sz w:val="22"/>
              </w:rPr>
              <w:t>−0.0059</w:t>
            </w:r>
          </w:p>
        </w:tc>
        <w:tc>
          <w:tcPr>
            <w:tcW w:type="dxa" w:w="1872"/>
          </w:tcPr>
          <w:p>
            <w:r>
              <w:rPr>
                <w:rFonts w:ascii="Times New Roman" w:hAnsi="Times New Roman" w:eastAsia="Times New Roman"/>
                <w:b w:val="0"/>
                <w:sz w:val="22"/>
              </w:rPr>
              <w:t>[−0.0207, +0.0066]</w:t>
            </w:r>
          </w:p>
        </w:tc>
        <w:tc>
          <w:tcPr>
            <w:tcW w:type="dxa" w:w="1872"/>
          </w:tcPr>
          <w:p>
            <w:r>
              <w:rPr>
                <w:rFonts w:ascii="Times New Roman" w:hAnsi="Times New Roman" w:eastAsia="Times New Roman"/>
                <w:b w:val="0"/>
                <w:sz w:val="22"/>
              </w:rPr>
              <w:t>No (null)</w:t>
            </w:r>
          </w:p>
        </w:tc>
      </w:tr>
      <w:tr>
        <w:tc>
          <w:tcPr>
            <w:tcW w:type="dxa" w:w="1872"/>
          </w:tcPr>
          <w:p>
            <w:r>
              <w:rPr>
                <w:rFonts w:ascii="Times New Roman" w:hAnsi="Times New Roman" w:eastAsia="Times New Roman"/>
                <w:b w:val="0"/>
                <w:sz w:val="22"/>
              </w:rPr>
              <w:t>Counterfactual C</w:t>
            </w:r>
          </w:p>
        </w:tc>
        <w:tc>
          <w:tcPr>
            <w:tcW w:type="dxa" w:w="1872"/>
          </w:tcPr>
          <w:p>
            <w:r>
              <w:rPr>
                <w:rFonts w:ascii="Times New Roman" w:hAnsi="Times New Roman" w:eastAsia="Times New Roman"/>
                <w:b w:val="0"/>
                <w:sz w:val="22"/>
              </w:rPr>
              <w:t>do(P_{c, x} ← 0.80 × P_{c, x})</w:t>
            </w:r>
          </w:p>
        </w:tc>
        <w:tc>
          <w:tcPr>
            <w:tcW w:type="dxa" w:w="1872"/>
          </w:tcPr>
          <w:p>
            <w:r>
              <w:rPr>
                <w:rFonts w:ascii="Times New Roman" w:hAnsi="Times New Roman" w:eastAsia="Times New Roman"/>
                <w:b w:val="0"/>
                <w:sz w:val="22"/>
              </w:rPr>
              <w:t>+0.0349</w:t>
            </w:r>
          </w:p>
        </w:tc>
        <w:tc>
          <w:tcPr>
            <w:tcW w:type="dxa" w:w="1872"/>
          </w:tcPr>
          <w:p>
            <w:r>
              <w:rPr>
                <w:rFonts w:ascii="Times New Roman" w:hAnsi="Times New Roman" w:eastAsia="Times New Roman"/>
                <w:b w:val="0"/>
                <w:sz w:val="22"/>
              </w:rPr>
              <w:t>[+0.0264, +0.0435]</w:t>
            </w:r>
          </w:p>
        </w:tc>
        <w:tc>
          <w:tcPr>
            <w:tcW w:type="dxa" w:w="1872"/>
          </w:tcPr>
          <w:p>
            <w:r>
              <w:rPr>
                <w:rFonts w:ascii="Times New Roman" w:hAnsi="Times New Roman" w:eastAsia="Times New Roman"/>
                <w:b w:val="0"/>
                <w:sz w:val="22"/>
              </w:rPr>
              <w:t>Yes (positive)</w:t>
            </w:r>
          </w:p>
        </w:tc>
      </w:tr>
    </w:tbl>
    <w:p>
      <w:pPr>
        <w:spacing w:line="480" w:lineRule="auto" w:before="0" w:after="0"/>
      </w:pPr>
    </w:p>
    <w:p>
      <w:pPr>
        <w:spacing w:line="480" w:lineRule="auto" w:before="0" w:after="0"/>
        <w:ind w:firstLine="720"/>
      </w:pPr>
      <w:r>
        <w:rPr>
          <w:rFonts w:ascii="Times New Roman" w:hAnsi="Times New Roman" w:eastAsia="Times New Roman"/>
          <w:sz w:val="24"/>
        </w:rPr>
        <w:t>The intersection-union test (Berger &amp; Hsu, 1996) produced one-sided 95% lower bounds L_BA = −0.0011 and L_BC = −0.0544. Because point ΔP_B = −0.0059 is less than point ΔP_C = +0.0349, the m7 priority-1 condition is satisfied and H7 is classified as **REVERSAL** (consistent with L_BC &lt; 0 in the CI-based cascade; L_BA also lies just below zero, ruling out the CONFIRMED branch).</w:t>
      </w:r>
    </w:p>
    <w:p>
      <w:pPr>
        <w:spacing w:line="480" w:lineRule="auto" w:before="0" w:after="0"/>
        <w:ind w:firstLine="720"/>
      </w:pPr>
      <w:r>
        <w:rPr>
          <w:rFonts w:ascii="Times New Roman" w:hAnsi="Times New Roman" w:eastAsia="Times New Roman"/>
          <w:sz w:val="24"/>
        </w:rPr>
        <w:t>Substantively, this means that the cell-level structural intervention (Counterfactual C) outperforms both the universal personality intervention (Counterfactual A) and the targeted personality intervention on the low-prevalence subgroup (Counterfactual B) by a large margin. Numerically, |ΔP_C| / |ΔP_A| ≈ 5.7.</w:t>
      </w:r>
    </w:p>
    <w:p>
      <w:pPr>
        <w:spacing w:line="480" w:lineRule="auto" w:before="0" w:after="0"/>
        <w:ind w:firstLine="720"/>
      </w:pPr>
      <w:r>
        <w:rPr>
          <w:rFonts w:ascii="Times New Roman" w:hAnsi="Times New Roman" w:eastAsia="Times New Roman"/>
          <w:sz w:val="24"/>
        </w:rPr>
        <w:t>**Positivity diagnostic.** Counterfactual A and Counterfactual C trivially preserve positivity (ρ ≡ 1 by construction; per Methods Clarification m5). Counterfactual B's cell positivity ratio ρ_{c, B} was 44.5% flagged (i.e., 44.5% of population weight in cells where the post-intervention expected count is &lt; 10% of observed), triggering the m5 downgrade rule (flagged_weight ≥ 20%). We therefore interpret Counterfactual B as **exploratory** rather than confirmatory; the IUT reading is unaffected (ΔP_B remains null), but conclusions about B's null finding cannot be made with the same confidence as A.</w:t>
      </w:r>
    </w:p>
    <w:p>
      <w:pPr>
        <w:spacing w:line="480" w:lineRule="auto" w:before="0" w:after="0"/>
        <w:jc w:val="center"/>
      </w:pPr>
      <w:r>
        <w:rPr>
          <w:rFonts w:ascii="Times New Roman" w:hAnsi="Times New Roman" w:eastAsia="Times New Roman"/>
          <w:b/>
          <w:sz w:val="24"/>
        </w:rPr>
        <w:t>Transportability sensitivity (Stage 8)</w:t>
      </w:r>
    </w:p>
    <w:p>
      <w:pPr>
        <w:spacing w:line="480" w:lineRule="auto" w:before="0" w:after="0"/>
        <w:ind w:firstLine="720"/>
      </w:pPr>
      <w:r>
        <w:rPr>
          <w:rFonts w:ascii="Times New Roman" w:hAnsi="Times New Roman" w:eastAsia="Times New Roman"/>
          <w:sz w:val="24"/>
        </w:rPr>
        <w:t>Per the v2.0 master Section 5.8 cultural-attenuation sweep, all three ΔP_x bootstrap distributions were multiplied by transportability factor F ∈ {0.3, 0.5, 0.7, 1.0}, and the H7 IUT was re-classified per factor (Table 5).</w:t>
      </w:r>
    </w:p>
    <w:p>
      <w:pPr>
        <w:spacing w:line="480" w:lineRule="auto" w:before="0" w:after="0"/>
        <w:ind w:firstLine="720"/>
      </w:pPr>
      <w:r>
        <w:rPr>
          <w:rFonts w:ascii="Times New Roman" w:hAnsi="Times New Roman" w:eastAsia="Times New Roman"/>
          <w:sz w:val="24"/>
        </w:rPr>
        <w:t>**Table 5.** H7 classification under cultural attenuation factors. Each row uses the same H7 IUT procedure on attenuated bootstrap distributions.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Factor F</w:t>
            </w:r>
          </w:p>
        </w:tc>
        <w:tc>
          <w:tcPr>
            <w:tcW w:type="dxa" w:w="1872"/>
          </w:tcPr>
          <w:p>
            <w:r>
              <w:rPr>
                <w:rFonts w:ascii="Times New Roman" w:hAnsi="Times New Roman" w:eastAsia="Times New Roman"/>
                <w:b/>
                <w:sz w:val="22"/>
              </w:rPr>
              <w:t>Anchor</w:t>
            </w:r>
          </w:p>
        </w:tc>
        <w:tc>
          <w:tcPr>
            <w:tcW w:type="dxa" w:w="1872"/>
          </w:tcPr>
          <w:p>
            <w:r>
              <w:rPr>
                <w:rFonts w:ascii="Times New Roman" w:hAnsi="Times New Roman" w:eastAsia="Times New Roman"/>
                <w:b/>
                <w:sz w:val="22"/>
              </w:rPr>
              <w:t>ΔP_A (attenuated)</w:t>
            </w:r>
          </w:p>
        </w:tc>
        <w:tc>
          <w:tcPr>
            <w:tcW w:type="dxa" w:w="1872"/>
          </w:tcPr>
          <w:p>
            <w:r>
              <w:rPr>
                <w:rFonts w:ascii="Times New Roman" w:hAnsi="Times New Roman" w:eastAsia="Times New Roman"/>
                <w:b/>
                <w:sz w:val="22"/>
              </w:rPr>
              <w:t>ΔP_C (attenuated)</w:t>
            </w:r>
          </w:p>
        </w:tc>
        <w:tc>
          <w:tcPr>
            <w:tcW w:type="dxa" w:w="1872"/>
          </w:tcPr>
          <w:p>
            <w:r>
              <w:rPr>
                <w:rFonts w:ascii="Times New Roman" w:hAnsi="Times New Roman" w:eastAsia="Times New Roman"/>
                <w:b/>
                <w:sz w:val="22"/>
              </w:rPr>
              <w:t>H7</w:t>
            </w:r>
          </w:p>
        </w:tc>
      </w:tr>
      <w:tr>
        <w:tc>
          <w:tcPr>
            <w:tcW w:type="dxa" w:w="1872"/>
          </w:tcPr>
          <w:p>
            <w:r>
              <w:rPr>
                <w:rFonts w:ascii="Times New Roman" w:hAnsi="Times New Roman" w:eastAsia="Times New Roman"/>
                <w:b w:val="0"/>
                <w:sz w:val="22"/>
              </w:rPr>
              <w:t>0.3</w:t>
            </w:r>
          </w:p>
        </w:tc>
        <w:tc>
          <w:tcPr>
            <w:tcW w:type="dxa" w:w="1872"/>
          </w:tcPr>
          <w:p>
            <w:r>
              <w:rPr>
                <w:rFonts w:ascii="Times New Roman" w:hAnsi="Times New Roman" w:eastAsia="Times New Roman"/>
                <w:b w:val="0"/>
                <w:sz w:val="22"/>
              </w:rPr>
              <w:t>Conservative cross-cultural worst case</w:t>
            </w:r>
          </w:p>
        </w:tc>
        <w:tc>
          <w:tcPr>
            <w:tcW w:type="dxa" w:w="1872"/>
          </w:tcPr>
          <w:p>
            <w:r>
              <w:rPr>
                <w:rFonts w:ascii="Times New Roman" w:hAnsi="Times New Roman" w:eastAsia="Times New Roman"/>
                <w:b w:val="0"/>
                <w:sz w:val="22"/>
              </w:rPr>
              <w:t>−0.0018</w:t>
            </w:r>
          </w:p>
        </w:tc>
        <w:tc>
          <w:tcPr>
            <w:tcW w:type="dxa" w:w="1872"/>
          </w:tcPr>
          <w:p>
            <w:r>
              <w:rPr>
                <w:rFonts w:ascii="Times New Roman" w:hAnsi="Times New Roman" w:eastAsia="Times New Roman"/>
                <w:b w:val="0"/>
                <w:sz w:val="22"/>
              </w:rPr>
              <w:t>+0.0105</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0.5</w:t>
            </w:r>
          </w:p>
        </w:tc>
        <w:tc>
          <w:tcPr>
            <w:tcW w:type="dxa" w:w="1872"/>
          </w:tcPr>
          <w:p>
            <w:r>
              <w:rPr>
                <w:rFonts w:ascii="Times New Roman" w:hAnsi="Times New Roman" w:eastAsia="Times New Roman"/>
                <w:b w:val="0"/>
                <w:sz w:val="22"/>
              </w:rPr>
              <w:t>Nielsen et al., 2017 expected</w:t>
            </w:r>
          </w:p>
        </w:tc>
        <w:tc>
          <w:tcPr>
            <w:tcW w:type="dxa" w:w="1872"/>
          </w:tcPr>
          <w:p>
            <w:r>
              <w:rPr>
                <w:rFonts w:ascii="Times New Roman" w:hAnsi="Times New Roman" w:eastAsia="Times New Roman"/>
                <w:b w:val="0"/>
                <w:sz w:val="22"/>
              </w:rPr>
              <w:t>−0.0031</w:t>
            </w:r>
          </w:p>
        </w:tc>
        <w:tc>
          <w:tcPr>
            <w:tcW w:type="dxa" w:w="1872"/>
          </w:tcPr>
          <w:p>
            <w:r>
              <w:rPr>
                <w:rFonts w:ascii="Times New Roman" w:hAnsi="Times New Roman" w:eastAsia="Times New Roman"/>
                <w:b w:val="0"/>
                <w:sz w:val="22"/>
              </w:rPr>
              <w:t>+0.0174</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0.7</w:t>
            </w:r>
          </w:p>
        </w:tc>
        <w:tc>
          <w:tcPr>
            <w:tcW w:type="dxa" w:w="1872"/>
          </w:tcPr>
          <w:p>
            <w:r>
              <w:rPr>
                <w:rFonts w:ascii="Times New Roman" w:hAnsi="Times New Roman" w:eastAsia="Times New Roman"/>
                <w:b w:val="0"/>
                <w:sz w:val="22"/>
              </w:rPr>
              <w:t>Mild attenuation</w:t>
            </w:r>
          </w:p>
        </w:tc>
        <w:tc>
          <w:tcPr>
            <w:tcW w:type="dxa" w:w="1872"/>
          </w:tcPr>
          <w:p>
            <w:r>
              <w:rPr>
                <w:rFonts w:ascii="Times New Roman" w:hAnsi="Times New Roman" w:eastAsia="Times New Roman"/>
                <w:b w:val="0"/>
                <w:sz w:val="22"/>
              </w:rPr>
              <w:t>−0.0043</w:t>
            </w:r>
          </w:p>
        </w:tc>
        <w:tc>
          <w:tcPr>
            <w:tcW w:type="dxa" w:w="1872"/>
          </w:tcPr>
          <w:p>
            <w:r>
              <w:rPr>
                <w:rFonts w:ascii="Times New Roman" w:hAnsi="Times New Roman" w:eastAsia="Times New Roman"/>
                <w:b w:val="0"/>
                <w:sz w:val="22"/>
              </w:rPr>
              <w:t>+0.0244</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1.0</w:t>
            </w:r>
          </w:p>
        </w:tc>
        <w:tc>
          <w:tcPr>
            <w:tcW w:type="dxa" w:w="1872"/>
          </w:tcPr>
          <w:p>
            <w:r>
              <w:rPr>
                <w:rFonts w:ascii="Times New Roman" w:hAnsi="Times New Roman" w:eastAsia="Times New Roman"/>
                <w:b w:val="0"/>
                <w:sz w:val="22"/>
              </w:rPr>
              <w:t>Reference (no attenuation)</w:t>
            </w:r>
          </w:p>
        </w:tc>
        <w:tc>
          <w:tcPr>
            <w:tcW w:type="dxa" w:w="1872"/>
          </w:tcPr>
          <w:p>
            <w:r>
              <w:rPr>
                <w:rFonts w:ascii="Times New Roman" w:hAnsi="Times New Roman" w:eastAsia="Times New Roman"/>
                <w:b w:val="0"/>
                <w:sz w:val="22"/>
              </w:rPr>
              <w:t>−0.0061</w:t>
            </w:r>
          </w:p>
        </w:tc>
        <w:tc>
          <w:tcPr>
            <w:tcW w:type="dxa" w:w="1872"/>
          </w:tcPr>
          <w:p>
            <w:r>
              <w:rPr>
                <w:rFonts w:ascii="Times New Roman" w:hAnsi="Times New Roman" w:eastAsia="Times New Roman"/>
                <w:b w:val="0"/>
                <w:sz w:val="22"/>
              </w:rPr>
              <w:t>+0.0349</w:t>
            </w:r>
          </w:p>
        </w:tc>
        <w:tc>
          <w:tcPr>
            <w:tcW w:type="dxa" w:w="1872"/>
          </w:tcPr>
          <w:p>
            <w:r>
              <w:rPr>
                <w:rFonts w:ascii="Times New Roman" w:hAnsi="Times New Roman" w:eastAsia="Times New Roman"/>
                <w:b w:val="0"/>
                <w:sz w:val="22"/>
              </w:rPr>
              <w:t>REVERSAL</w:t>
            </w:r>
          </w:p>
        </w:tc>
      </w:tr>
    </w:tbl>
    <w:p>
      <w:pPr>
        <w:spacing w:line="480" w:lineRule="auto" w:before="0" w:after="0"/>
      </w:pPr>
    </w:p>
    <w:p>
      <w:pPr>
        <w:spacing w:line="480" w:lineRule="auto" w:before="0" w:after="0"/>
        <w:ind w:firstLine="720"/>
      </w:pPr>
      <w:r>
        <w:rPr>
          <w:rFonts w:ascii="Times New Roman" w:hAnsi="Times New Roman" w:eastAsia="Times New Roman"/>
          <w:sz w:val="24"/>
        </w:rPr>
        <w:t>The H7 = REVERSAL classification is robust across all four pre-registered cultural attenuation factors. Even under the conservative cross-cultural worst-case scenario (F = 0.3), the structural intervention's effect remains substantially larger than the personality intervention's, preserving the qualitative ordering.</w:t>
      </w:r>
    </w:p>
    <w:p>
      <w:pPr>
        <w:spacing w:line="480" w:lineRule="auto" w:before="0" w:after="0"/>
        <w:jc w:val="center"/>
      </w:pPr>
      <w:r>
        <w:rPr>
          <w:rFonts w:ascii="Times New Roman" w:hAnsi="Times New Roman" w:eastAsia="Times New Roman"/>
          <w:b/>
          <w:sz w:val="24"/>
        </w:rPr>
        <w:t>Summary of pre-registered hypothesis outcomes</w:t>
      </w:r>
    </w:p>
    <w:p>
      <w:pPr>
        <w:spacing w:line="480" w:lineRule="auto" w:before="0" w:after="0"/>
        <w:ind w:firstLine="720"/>
      </w:pPr>
      <w:r>
        <w:rPr>
          <w:rFonts w:ascii="Times New Roman" w:hAnsi="Times New Roman" w:eastAsia="Times New Roman"/>
          <w:sz w:val="24"/>
        </w:rPr>
        <w:t>**Table 6.** Pre-registered hypothesis outcomes summary.</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2"/>
              </w:rPr>
              <w:t>Hypothesis</w:t>
            </w:r>
          </w:p>
        </w:tc>
        <w:tc>
          <w:tcPr>
            <w:tcW w:type="dxa" w:w="2340"/>
          </w:tcPr>
          <w:p>
            <w:r>
              <w:rPr>
                <w:rFonts w:ascii="Times New Roman" w:hAnsi="Times New Roman" w:eastAsia="Times New Roman"/>
                <w:b/>
                <w:sz w:val="22"/>
              </w:rPr>
              <w:t>Pre-registered prediction</w:t>
            </w:r>
          </w:p>
        </w:tc>
        <w:tc>
          <w:tcPr>
            <w:tcW w:type="dxa" w:w="2340"/>
          </w:tcPr>
          <w:p>
            <w:r>
              <w:rPr>
                <w:rFonts w:ascii="Times New Roman" w:hAnsi="Times New Roman" w:eastAsia="Times New Roman"/>
                <w:b/>
                <w:sz w:val="22"/>
              </w:rPr>
              <w:t>Outcome</w:t>
            </w:r>
          </w:p>
        </w:tc>
        <w:tc>
          <w:tcPr>
            <w:tcW w:type="dxa" w:w="2340"/>
          </w:tcPr>
          <w:p>
            <w:r>
              <w:rPr>
                <w:rFonts w:ascii="Times New Roman" w:hAnsi="Times New Roman" w:eastAsia="Times New Roman"/>
                <w:b/>
                <w:sz w:val="22"/>
              </w:rPr>
              <w:t>Tier</w:t>
            </w:r>
          </w:p>
        </w:tc>
      </w:tr>
      <w:tr>
        <w:tc>
          <w:tcPr>
            <w:tcW w:type="dxa" w:w="2340"/>
          </w:tcPr>
          <w:p>
            <w:r>
              <w:rPr>
                <w:rFonts w:ascii="Times New Roman" w:hAnsi="Times New Roman" w:eastAsia="Times New Roman"/>
                <w:b w:val="0"/>
                <w:sz w:val="22"/>
              </w:rPr>
              <w:t>H1</w:t>
            </w:r>
          </w:p>
        </w:tc>
        <w:tc>
          <w:tcPr>
            <w:tcW w:type="dxa" w:w="2340"/>
          </w:tcPr>
          <w:p>
            <w:r>
              <w:rPr>
                <w:rFonts w:ascii="Times New Roman" w:hAnsi="Times New Roman" w:eastAsia="Times New Roman"/>
                <w:b w:val="0"/>
                <w:sz w:val="22"/>
              </w:rPr>
              <w:t>MAPE_FY2016 ≤ 30% (Strict / Standard SUCCESS)</w:t>
            </w:r>
          </w:p>
        </w:tc>
        <w:tc>
          <w:tcPr>
            <w:tcW w:type="dxa" w:w="2340"/>
          </w:tcPr>
          <w:p>
            <w:r>
              <w:rPr>
                <w:rFonts w:ascii="Times New Roman" w:hAnsi="Times New Roman" w:eastAsia="Times New Roman"/>
                <w:b w:val="0"/>
                <w:sz w:val="22"/>
              </w:rPr>
              <w:t>MAPE = 46.34%</w:t>
            </w:r>
          </w:p>
        </w:tc>
        <w:tc>
          <w:tcPr>
            <w:tcW w:type="dxa" w:w="2340"/>
          </w:tcPr>
          <w:p>
            <w:r>
              <w:rPr>
                <w:rFonts w:ascii="Times New Roman" w:hAnsi="Times New Roman" w:eastAsia="Times New Roman"/>
                <w:b w:val="0"/>
                <w:sz w:val="22"/>
              </w:rPr>
              <w:t>PARTIAL SUCCESS</w:t>
            </w:r>
          </w:p>
        </w:tc>
      </w:tr>
      <w:tr>
        <w:tc>
          <w:tcPr>
            <w:tcW w:type="dxa" w:w="2340"/>
          </w:tcPr>
          <w:p>
            <w:r>
              <w:rPr>
                <w:rFonts w:ascii="Times New Roman" w:hAnsi="Times New Roman" w:eastAsia="Times New Roman"/>
                <w:b w:val="0"/>
                <w:sz w:val="22"/>
              </w:rPr>
              <w:t>H2</w:t>
            </w:r>
          </w:p>
        </w:tc>
        <w:tc>
          <w:tcPr>
            <w:tcW w:type="dxa" w:w="2340"/>
          </w:tcPr>
          <w:p>
            <w:r>
              <w:rPr>
                <w:rFonts w:ascii="Times New Roman" w:hAnsi="Times New Roman" w:eastAsia="Times New Roman"/>
                <w:b w:val="0"/>
                <w:sz w:val="22"/>
              </w:rPr>
              <w:t>Monotonic B0 &gt; B1 &gt; B2 &gt; B3 &gt; B4</w:t>
            </w:r>
          </w:p>
        </w:tc>
        <w:tc>
          <w:tcPr>
            <w:tcW w:type="dxa" w:w="2340"/>
          </w:tcPr>
          <w:p>
            <w:r>
              <w:rPr>
                <w:rFonts w:ascii="Times New Roman" w:hAnsi="Times New Roman" w:eastAsia="Times New Roman"/>
                <w:b w:val="0"/>
                <w:sz w:val="22"/>
              </w:rPr>
              <w:t>0 of 4 pairs confirmed (Page's L p = 0.976)</w:t>
            </w:r>
          </w:p>
        </w:tc>
        <w:tc>
          <w:tcPr>
            <w:tcW w:type="dxa" w:w="2340"/>
          </w:tcPr>
          <w:p>
            <w:r>
              <w:rPr>
                <w:rFonts w:ascii="Times New Roman" w:hAnsi="Times New Roman" w:eastAsia="Times New Roman"/>
                <w:b w:val="0"/>
                <w:sz w:val="22"/>
              </w:rPr>
              <w:t>REJECTED</w:t>
            </w:r>
          </w:p>
        </w:tc>
      </w:tr>
      <w:tr>
        <w:tc>
          <w:tcPr>
            <w:tcW w:type="dxa" w:w="2340"/>
          </w:tcPr>
          <w:p>
            <w:r>
              <w:rPr>
                <w:rFonts w:ascii="Times New Roman" w:hAnsi="Times New Roman" w:eastAsia="Times New Roman"/>
                <w:b w:val="0"/>
                <w:sz w:val="22"/>
              </w:rPr>
              <w:t>H3</w:t>
            </w:r>
          </w:p>
        </w:tc>
        <w:tc>
          <w:tcPr>
            <w:tcW w:type="dxa" w:w="2340"/>
          </w:tcPr>
          <w:p>
            <w:r>
              <w:rPr>
                <w:rFonts w:ascii="Times New Roman" w:hAnsi="Times New Roman" w:eastAsia="Times New Roman"/>
                <w:b w:val="0"/>
                <w:sz w:val="22"/>
              </w:rPr>
              <w:t>Centroid concordance N=354 vs N=13,668</w:t>
            </w:r>
          </w:p>
        </w:tc>
        <w:tc>
          <w:tcPr>
            <w:tcW w:type="dxa" w:w="2340"/>
          </w:tcPr>
          <w:p>
            <w:r>
              <w:rPr>
                <w:rFonts w:ascii="Times New Roman" w:hAnsi="Times New Roman" w:eastAsia="Times New Roman"/>
                <w:b w:val="0"/>
                <w:sz w:val="22"/>
              </w:rPr>
              <w:t>(Reported in Tokiwa, 2026 IEEE Access)</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H4</w:t>
            </w:r>
          </w:p>
        </w:tc>
        <w:tc>
          <w:tcPr>
            <w:tcW w:type="dxa" w:w="2340"/>
          </w:tcPr>
          <w:p>
            <w:r>
              <w:rPr>
                <w:rFonts w:ascii="Times New Roman" w:hAnsi="Times New Roman" w:eastAsia="Times New Roman"/>
                <w:b w:val="0"/>
                <w:sz w:val="22"/>
              </w:rPr>
              <w:t>Per-cell propensity stability across bootstrap procedures</w:t>
            </w:r>
          </w:p>
        </w:tc>
        <w:tc>
          <w:tcPr>
            <w:tcW w:type="dxa" w:w="2340"/>
          </w:tcPr>
          <w:p>
            <w:r>
              <w:rPr>
                <w:rFonts w:ascii="Times New Roman" w:hAnsi="Times New Roman" w:eastAsia="Times New Roman"/>
                <w:b w:val="0"/>
                <w:sz w:val="22"/>
              </w:rPr>
              <w:t>13/14 cells resolved at BCa; 1 degenerate cell (X=0) at Clopper-Pearson per M4 cascade</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H5</w:t>
            </w:r>
          </w:p>
        </w:tc>
        <w:tc>
          <w:tcPr>
            <w:tcW w:type="dxa" w:w="2340"/>
          </w:tcPr>
          <w:p>
            <w:r>
              <w:rPr>
                <w:rFonts w:ascii="Times New Roman" w:hAnsi="Times New Roman" w:eastAsia="Times New Roman"/>
                <w:b w:val="0"/>
                <w:sz w:val="22"/>
              </w:rPr>
              <w:t>Gender invariance</w:t>
            </w:r>
          </w:p>
        </w:tc>
        <w:tc>
          <w:tcPr>
            <w:tcW w:type="dxa" w:w="2340"/>
          </w:tcPr>
          <w:p>
            <w:r>
              <w:rPr>
                <w:rFonts w:ascii="Times New Roman" w:hAnsi="Times New Roman" w:eastAsia="Times New Roman"/>
                <w:b w:val="0"/>
                <w:sz w:val="22"/>
              </w:rPr>
              <w:t>High concordance of cluster-level power-harassment rankings across genders (Spearman ρ = 0.87, p = 0.01 at 7-cluster level); 14-cell vs 28-cell sensitivity stable</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H6</w:t>
            </w:r>
          </w:p>
        </w:tc>
        <w:tc>
          <w:tcPr>
            <w:tcW w:type="dxa" w:w="2340"/>
          </w:tcPr>
          <w:p>
            <w:r>
              <w:rPr>
                <w:rFonts w:ascii="Times New Roman" w:hAnsi="Times New Roman" w:eastAsia="Times New Roman"/>
                <w:b w:val="0"/>
                <w:sz w:val="22"/>
              </w:rPr>
              <w:t>Power × gender harassment cluster ranking concordance</w:t>
            </w:r>
          </w:p>
        </w:tc>
        <w:tc>
          <w:tcPr>
            <w:tcW w:type="dxa" w:w="2340"/>
          </w:tcPr>
          <w:p>
            <w:r>
              <w:rPr>
                <w:rFonts w:ascii="Times New Roman" w:hAnsi="Times New Roman" w:eastAsia="Times New Roman"/>
                <w:b w:val="0"/>
                <w:sz w:val="22"/>
              </w:rPr>
              <w:t>Weak concordance (Spearman ρ = 0.04 at 7-cluster level, p = 0.94; ρ = 0.14 at 14-cell level, p = 0.62)</w:t>
            </w:r>
          </w:p>
        </w:tc>
        <w:tc>
          <w:tcPr>
            <w:tcW w:type="dxa" w:w="2340"/>
          </w:tcPr>
          <w:p>
            <w:r>
              <w:rPr>
                <w:rFonts w:ascii="Times New Roman" w:hAnsi="Times New Roman" w:eastAsia="Times New Roman"/>
                <w:b w:val="0"/>
                <w:sz w:val="22"/>
              </w:rPr>
              <w:t>REJECTED</w:t>
            </w:r>
          </w:p>
        </w:tc>
      </w:tr>
      <w:tr>
        <w:tc>
          <w:tcPr>
            <w:tcW w:type="dxa" w:w="2340"/>
          </w:tcPr>
          <w:p>
            <w:r>
              <w:rPr>
                <w:rFonts w:ascii="Times New Roman" w:hAnsi="Times New Roman" w:eastAsia="Times New Roman"/>
                <w:b w:val="0"/>
                <w:sz w:val="22"/>
              </w:rPr>
              <w:t>H7</w:t>
            </w:r>
          </w:p>
        </w:tc>
        <w:tc>
          <w:tcPr>
            <w:tcW w:type="dxa" w:w="2340"/>
          </w:tcPr>
          <w:p>
            <w:r>
              <w:rPr>
                <w:rFonts w:ascii="Times New Roman" w:hAnsi="Times New Roman" w:eastAsia="Times New Roman"/>
                <w:b w:val="0"/>
                <w:sz w:val="22"/>
              </w:rPr>
              <w:t>IUT classification</w:t>
            </w:r>
          </w:p>
        </w:tc>
        <w:tc>
          <w:tcPr>
            <w:tcW w:type="dxa" w:w="2340"/>
          </w:tcPr>
          <w:p>
            <w:r>
              <w:rPr>
                <w:rFonts w:ascii="Times New Roman" w:hAnsi="Times New Roman" w:eastAsia="Times New Roman"/>
                <w:b w:val="0"/>
                <w:sz w:val="22"/>
              </w:rPr>
              <w:t>REVERSAL (robust across F = 0.3–1.0)</w:t>
            </w:r>
          </w:p>
        </w:tc>
        <w:tc>
          <w:tcPr>
            <w:tcW w:type="dxa" w:w="2340"/>
          </w:tcPr>
          <w:p>
            <w:r>
              <w:rPr>
                <w:rFonts w:ascii="Times New Roman" w:hAnsi="Times New Roman" w:eastAsia="Times New Roman"/>
                <w:b w:val="0"/>
                <w:sz w:val="22"/>
              </w:rPr>
              <w:t>REVERSAL (per pre-registered classification)</w:t>
            </w:r>
          </w:p>
        </w:tc>
      </w:tr>
    </w:tbl>
    <w:p>
      <w:pPr>
        <w:spacing w:line="480" w:lineRule="auto" w:before="0" w:after="0"/>
      </w:pPr>
    </w:p>
    <w:p>
      <w:pPr>
        <w:spacing w:line="480" w:lineRule="auto" w:before="0" w:after="0"/>
        <w:ind w:firstLine="720"/>
      </w:pPr>
      <w:r>
        <w:rPr>
          <w:rFonts w:ascii="Times New Roman" w:hAnsi="Times New Roman" w:eastAsia="Times New Roman"/>
          <w:sz w:val="24"/>
        </w:rPr>
        <w:t>The headline empirical finding is the H7 = REVERSAL classification with cross-cultural robustness, which we develop substantively in the Discussion.</w:t>
      </w:r>
    </w:p>
    <w:p>
      <w:r>
        <w:br w:type="page"/>
      </w:r>
    </w:p>
    <w:p>
      <w:pPr>
        <w:spacing w:line="480" w:lineRule="auto" w:before="0" w:after="0"/>
        <w:jc w:val="center"/>
      </w:pPr>
      <w:r>
        <w:rPr>
          <w:rFonts w:ascii="Times New Roman" w:hAnsi="Times New Roman" w:eastAsia="Times New Roman"/>
          <w:b/>
          <w:sz w:val="24"/>
        </w:rPr>
        <w:t>Principal findings</w:t>
      </w:r>
    </w:p>
    <w:p>
      <w:pPr>
        <w:spacing w:line="480" w:lineRule="auto" w:before="0" w:after="0"/>
        <w:ind w:firstLine="720"/>
      </w:pPr>
      <w:r>
        <w:rPr>
          <w:rFonts w:ascii="Times New Roman" w:hAnsi="Times New Roman" w:eastAsia="Times New Roman"/>
          <w:sz w:val="24"/>
        </w:rPr>
        <w:t>Three findings stand out from the pre-registered analysis pipeline:</w:t>
      </w:r>
    </w:p>
    <w:p>
      <w:pPr>
        <w:spacing w:line="480" w:lineRule="auto" w:before="0" w:after="0"/>
        <w:ind w:firstLine="720"/>
      </w:pPr>
      <w:r>
        <w:rPr>
          <w:rFonts w:ascii="Times New Roman" w:hAnsi="Times New Roman" w:eastAsia="Times New Roman"/>
          <w:sz w:val="24"/>
        </w:rPr>
        <w:t>**Finding 1: Post-Power-Harassment-Prevention-Law prevalence is well predicted; pre-law is not.** The model-based national prevalence (P̂ = 17.44%, after Statistics Bureau (MIC) 2022 working-population reweighting) attains MAPE = 9.65% against the FY2023 (post-law) target — a Standard SUCCESS classification (the 95% CI upper bound, 31.52%, narrowly exceeds the 30% Strict-criterion threshold) — but only PARTIAL SUCCESS against the FY2016 (pre-law) target (MAPE = 46.34%). A literal reading is that our HEXACO 7-typology × MIC-reweighted model captures the *post-law equilibrium* of Japanese workplaces with high accuracy, but not the pre-law equilibrium. We do not interpret the FY2016 PARTIAL classification as a model failure; rather, the temporal heterogeneity is consistent with the 2020 Power Harassment Prevention Law functioning as a discontinuous structural shock that altered the underlying environmental contribution to harassment prevalence. The N = 354 sample, collected post-law, is "calibrated" to the post-law environment.</w:t>
      </w:r>
    </w:p>
    <w:p>
      <w:pPr>
        <w:spacing w:line="480" w:lineRule="auto" w:before="0" w:after="0"/>
        <w:ind w:firstLine="720"/>
      </w:pPr>
      <w:r>
        <w:rPr>
          <w:rFonts w:ascii="Times New Roman" w:hAnsi="Times New Roman" w:eastAsia="Times New Roman"/>
          <w:sz w:val="24"/>
        </w:rPr>
        <w:t>**Finding 2: H7 = REVERSAL — structural intervention dominates personality intervention.** The pre-registered intersection-union test produced REVERSAL via the m7 priority-1 condition (point ΔP_B &lt; point ΔP_C; L_BC = −0.0544 also lies below zero in the CI cascade), indicating that the cell-level structural intervention (Counterfactual C; −20% propensity, calibrated against three meta-analyses and one natural experiment) outperforms both personality intervention (Counterfactual A; +0.3 SD on H/A/E) and targeted personality intervention on the low-prevalence subgroup (Counterfactual B; +0.40 SD on HH restricted to individuals whose baseline cluster ∈ {0, 4, 6}) by a substantial margin. The numerical ratio |ΔP_C| / |ΔP_A| ≈ 5.7 is robust across all four pre-registered cultural-attenuation factors (F = 0.3, 0.5, 0.7, 1.0), including the conservative worst-case anchor at F = 0.3. We interpret this as evidence that, given prior meta-analytic effect sizes for each intervention type, organizational and structural interventions translate to approximately 5.7× larger population-level harassment-prevalence reductions than realistic personality-training interventions.</w:t>
      </w:r>
    </w:p>
    <w:p>
      <w:pPr>
        <w:spacing w:line="480" w:lineRule="auto" w:before="0" w:after="0"/>
        <w:ind w:firstLine="720"/>
      </w:pPr>
      <w:r>
        <w:rPr>
          <w:rFonts w:ascii="Times New Roman" w:hAnsi="Times New Roman" w:eastAsia="Times New Roman"/>
          <w:sz w:val="24"/>
        </w:rPr>
        <w:t>**Finding 3: HEXACO 7-typology is a stratification variable, not an intervention target.** The Counterfactual A null result (ΔP_A = −0.0061, 95% CI crosses zero) implies that shifting individual HEXACO scores by realistic training-effect magnitudes does not measurably reduce population-level harassment prevalence. This finding has substantive consequences for how the HEXACO 7-typology should be interpreted in workplace contexts: the typology *identifies which subgroups are differentially exposed* to harassment, but does *not* identify a personality-based target for individual modification. Consequently, the conventional HR practice of allocating prevention budget toward personality-screening hires or self-improvement training programs rests on a weak empirical foundation; allocation toward structural reforms, with effect sizes documented in Salin (2021), Escartín (2016), and Hodgins et al. (2014), is supported by both prior literature and the present counterfactual analysis.</w:t>
      </w:r>
    </w:p>
    <w:p>
      <w:pPr>
        <w:spacing w:line="480" w:lineRule="auto" w:before="0" w:after="0"/>
        <w:jc w:val="center"/>
      </w:pPr>
      <w:r>
        <w:rPr>
          <w:rFonts w:ascii="Times New Roman" w:hAnsi="Times New Roman" w:eastAsia="Times New Roman"/>
          <w:b/>
          <w:sz w:val="24"/>
        </w:rPr>
        <w:t>The 2020 Power Harassment Prevention Law as natural experiment</w:t>
      </w:r>
    </w:p>
    <w:p>
      <w:pPr>
        <w:spacing w:line="480" w:lineRule="auto" w:before="0" w:after="0"/>
        <w:ind w:firstLine="720"/>
      </w:pPr>
      <w:r>
        <w:rPr>
          <w:rFonts w:ascii="Times New Roman" w:hAnsi="Times New Roman" w:eastAsia="Times New Roman"/>
          <w:sz w:val="24"/>
        </w:rPr>
        <w:t>The MHLW survey series provides a rare natural-experiment quasi-validation of our central counterfactual claim. The FY2016 → FY2023 decline in past-three-year power-harassment victimization (32.5% → 19.3%; −13.2 percentage points) coincides with the staged enforcement of the 2020 Power Harassment Prevention Law (large enterprises, June 2020; SMEs, April 2022). Two competing explanations for this decline are: (a) the law functioned as a structural intervention that reduced harassment-supportive environmental affordances; or (b) the underlying personality distribution of Japanese workers shifted between 2016 and 2023.</w:t>
      </w:r>
    </w:p>
    <w:p>
      <w:pPr>
        <w:spacing w:line="480" w:lineRule="auto" w:before="0" w:after="0"/>
        <w:ind w:firstLine="720"/>
      </w:pPr>
      <w:r>
        <w:rPr>
          <w:rFonts w:ascii="Times New Roman" w:hAnsi="Times New Roman" w:eastAsia="Times New Roman"/>
          <w:sz w:val="24"/>
        </w:rPr>
        <w:t>The latter explanation is implausible on demographic grounds: cohort-level changes in HEXACO traits over six years are unlikely to exceed 0.05 SD. Our Counterfactual A simulation, which models a *six times larger* personality shift (+0.3 SD on H/A/E), produced a null effect at the population level. Hence, the 13.2 pp natural-experiment decline cannot be attributed to personality drift. By exclusion, it is attributable primarily to structural change. This convergence between the natural-experiment evidence and our pre-registered counterfactual is, in our view, the strongest case the present study can make for its policy implication.</w:t>
      </w:r>
    </w:p>
    <w:p>
      <w:pPr>
        <w:spacing w:line="480" w:lineRule="auto" w:before="0" w:after="0"/>
        <w:jc w:val="center"/>
      </w:pPr>
      <w:r>
        <w:rPr>
          <w:rFonts w:ascii="Times New Roman" w:hAnsi="Times New Roman" w:eastAsia="Times New Roman"/>
          <w:b/>
          <w:sz w:val="24"/>
        </w:rPr>
        <w:t>Reframing HEXACO: stratification, not modification</w:t>
      </w:r>
    </w:p>
    <w:p>
      <w:pPr>
        <w:spacing w:line="480" w:lineRule="auto" w:before="0" w:after="0"/>
        <w:ind w:firstLine="720"/>
      </w:pPr>
      <w:r>
        <w:rPr>
          <w:rFonts w:ascii="Times New Roman" w:hAnsi="Times New Roman" w:eastAsia="Times New Roman"/>
          <w:sz w:val="24"/>
        </w:rPr>
        <w:t>A central reframing emerges from the integrated reading of Counterfactual A's null and Counterfactual C's positive effect. The conventional reading of "low Honesty-Humility correlates with workplace harassment exposure" tempts an intervention prescription: train individuals to elevate their Honesty-Humility (or, less charitably, screen them out of hiring pools). Our results contraindicate this prescription on two grounds.</w:t>
      </w:r>
    </w:p>
    <w:p>
      <w:pPr>
        <w:spacing w:line="480" w:lineRule="auto" w:before="0" w:after="0"/>
        <w:ind w:firstLine="720"/>
      </w:pPr>
      <w:r>
        <w:rPr>
          <w:rFonts w:ascii="Times New Roman" w:hAnsi="Times New Roman" w:eastAsia="Times New Roman"/>
          <w:sz w:val="24"/>
        </w:rPr>
        <w:t>First, observational correlation between HEXACO-H and harassment exposure is consistent with at least four causal models: direct causation (M1), selection (M2), confounding (M3), and reverse causation (M4). Our Counterfactual A null result rejects M1 (direct causation) but cannot adjudicate among M2–M4. Under any of the latter three, modifying individuals' HEXACO scores does not modify the underlying mechanism (industry sorting, shared SES correlates, or cynicism induced by harassment exposure).</w:t>
      </w:r>
    </w:p>
    <w:p>
      <w:pPr>
        <w:spacing w:line="480" w:lineRule="auto" w:before="0" w:after="0"/>
        <w:ind w:firstLine="720"/>
      </w:pPr>
      <w:r>
        <w:rPr>
          <w:rFonts w:ascii="Times New Roman" w:hAnsi="Times New Roman" w:eastAsia="Times New Roman"/>
          <w:sz w:val="24"/>
        </w:rPr>
        <w:t>Second, even *granting* M1 as the operative mechanism, the +0.3 SD personality-shift represents the upper bound of empirically demonstrated training effects (Hudson &amp; Fraley, 2015; Roberts et al., 2017). Our simulation demonstrates that this upper-bound shift translates to a population-level prevalence change of −0.61 percentage points — far smaller than the ±2 pp variation already present in MHLW year-on-year sampling noise, and ~5.7× smaller than the structural intervention.</w:t>
      </w:r>
    </w:p>
    <w:p>
      <w:pPr>
        <w:spacing w:line="480" w:lineRule="auto" w:before="0" w:after="0"/>
        <w:ind w:firstLine="720"/>
      </w:pPr>
      <w:r>
        <w:rPr>
          <w:rFonts w:ascii="Times New Roman" w:hAnsi="Times New Roman" w:eastAsia="Times New Roman"/>
          <w:sz w:val="24"/>
        </w:rPr>
        <w:t>The repositioning is therefore: **HEXACO 7-typology serves as a stratification lens that identifies differentially exposed populations and verifies that structural interventions do not differentially fail any subgroup, but is not itself a target of intervention.** This framing has the additional ethical virtue of rejecting victim-blaming readings: low-HH individuals are not "flawed" or "in need of improvement"; they are differentially situated in environments where harassment is more prevalent, and the appropriate response is to modify those environments rather than the individuals.</w:t>
      </w:r>
    </w:p>
    <w:p>
      <w:pPr>
        <w:spacing w:line="480" w:lineRule="auto" w:before="0" w:after="0"/>
        <w:jc w:val="center"/>
      </w:pPr>
      <w:r>
        <w:rPr>
          <w:rFonts w:ascii="Times New Roman" w:hAnsi="Times New Roman" w:eastAsia="Times New Roman"/>
          <w:b/>
          <w:sz w:val="24"/>
        </w:rPr>
        <w:t>Limitations</w:t>
      </w:r>
    </w:p>
    <w:p>
      <w:pPr>
        <w:spacing w:line="480" w:lineRule="auto" w:before="0" w:after="0"/>
        <w:jc w:val="left"/>
      </w:pPr>
      <w:r>
        <w:rPr>
          <w:rFonts w:ascii="Times New Roman" w:hAnsi="Times New Roman" w:eastAsia="Times New Roman"/>
          <w:b/>
          <w:sz w:val="24"/>
        </w:rPr>
        <w:t>Reduced-form framing of Counterfactual C</w:t>
      </w:r>
    </w:p>
    <w:p>
      <w:pPr>
        <w:spacing w:line="480" w:lineRule="auto" w:before="0" w:after="0"/>
        <w:ind w:firstLine="720"/>
      </w:pPr>
      <w:r>
        <w:rPr>
          <w:rFonts w:ascii="Times New Roman" w:hAnsi="Times New Roman" w:eastAsia="Times New Roman"/>
          <w:sz w:val="24"/>
        </w:rPr>
        <w:t>The most important limitation, identified through dialogue with an external methodologist, concerns the *reduced-form* nature of Counterfactual C. Operationally, Counterfactual C reduces cell-level propensity by 20% uniformly, leaving HEXACO scores and cluster memberships unchanged. This is a population-level statistical translation of structural change; the simulation does not endogenously model the psychological mechanisms — deterrence, perceived reporting risk, social cost, peer monitoring — through which institutional intervention actually reduces harassment behavior.</w:t>
      </w:r>
    </w:p>
    <w:p>
      <w:pPr>
        <w:spacing w:line="480" w:lineRule="auto" w:before="0" w:after="0"/>
        <w:ind w:firstLine="720"/>
      </w:pPr>
      <w:r>
        <w:rPr>
          <w:rFonts w:ascii="Times New Roman" w:hAnsi="Times New Roman" w:eastAsia="Times New Roman"/>
          <w:sz w:val="24"/>
        </w:rPr>
        <w:t>The simulation's contribution is therefore narrower than a mechanistic claim: it provides an apples-to-apples translation of prior meta-analytic effect sizes for structural interventions (Salin, 2021; Escartín, 2016; Hodgins et al., 2014; calibrated against MHLW 2020 Law natural experiment) into the same population-level prevalence metric used for the personality intervention (calibrated against Hudson &amp; Fraley, 2015; Roberts et al., 2017). The conclusion |ΔP_C| ≫ |ΔP_A| is conditional on these prior effect-size estimates being unbiased.</w:t>
      </w:r>
    </w:p>
    <w:p>
      <w:pPr>
        <w:spacing w:line="480" w:lineRule="auto" w:before="0" w:after="0"/>
        <w:ind w:firstLine="720"/>
      </w:pPr>
      <w:r>
        <w:rPr>
          <w:rFonts w:ascii="Times New Roman" w:hAnsi="Times New Roman" w:eastAsia="Times New Roman"/>
          <w:sz w:val="24"/>
        </w:rPr>
        <w:t>A mechanistically richer extension would adopt agent-based modeling (Schelling, 1971; Park et al., 2023) with explicit deterrence dynamics, individual-level perceived risk, and interaction with peers. Such extensions are beyond the scope of v2.0 pre-registration but are pre-flagged as Phase 2 follow-up work in the present manuscript.</w:t>
      </w:r>
    </w:p>
    <w:p>
      <w:pPr>
        <w:spacing w:line="480" w:lineRule="auto" w:before="0" w:after="0"/>
        <w:jc w:val="left"/>
      </w:pPr>
      <w:r>
        <w:rPr>
          <w:rFonts w:ascii="Times New Roman" w:hAnsi="Times New Roman" w:eastAsia="Times New Roman"/>
          <w:b/>
          <w:sz w:val="24"/>
        </w:rPr>
        <w:t>Causal under-identification among M2/M3/M4</w:t>
      </w:r>
    </w:p>
    <w:p>
      <w:pPr>
        <w:spacing w:line="480" w:lineRule="auto" w:before="0" w:after="0"/>
        <w:ind w:firstLine="720"/>
      </w:pPr>
      <w:r>
        <w:rPr>
          <w:rFonts w:ascii="Times New Roman" w:hAnsi="Times New Roman" w:eastAsia="Times New Roman"/>
          <w:sz w:val="24"/>
        </w:rPr>
        <w:t>Our analysis can reject M1 (direct personality-causation of harassment) but cannot distinguish among M2 (selection into harassment-prone environments), M3 (confounding via SES/educational/economic factors), or M4 (reverse causation: harassment depresses HEXACO-H scores via cynicism). Each of these is consistent with our Counterfactual A null result. Identification would require either: (a) an exogenous shock or instrumental variable affecting HEXACO scores independent of harassment exposure; (b) a longitudinal design with pre-employment HEXACO measurement; or (c) a sibling/twin-controlled design. None of these is feasible within the present cross-sectional preregistration. Consequently, the substantive interpretation of the low-HH–harassment association is left open at the level of mechanism, while the policy implication (structural intervention dominance) is unaffected.</w:t>
      </w:r>
    </w:p>
    <w:p>
      <w:pPr>
        <w:spacing w:line="480" w:lineRule="auto" w:before="0" w:after="0"/>
        <w:jc w:val="left"/>
      </w:pPr>
      <w:r>
        <w:rPr>
          <w:rFonts w:ascii="Times New Roman" w:hAnsi="Times New Roman" w:eastAsia="Times New Roman"/>
          <w:b/>
          <w:sz w:val="24"/>
        </w:rPr>
        <w:t>Heterogeneity in counterfactual response</w:t>
      </w:r>
    </w:p>
    <w:p>
      <w:pPr>
        <w:spacing w:line="480" w:lineRule="auto" w:before="0" w:after="0"/>
        <w:ind w:firstLine="720"/>
      </w:pPr>
      <w:r>
        <w:rPr>
          <w:rFonts w:ascii="Times New Roman" w:hAnsi="Times New Roman" w:eastAsia="Times New Roman"/>
          <w:sz w:val="24"/>
        </w:rPr>
        <w:t>Counterfactual C is operationalized as a uniform 20% reduction across all 14 cells. In reality, structural interventions plausibly differ in efficacy across HEXACO 7-typology × gender combinations: cell-specific intervention effects could amplify or attenuate the global average. Our analysis does not estimate cell-specific intervention efficacy. A natural extension is to allow ΔP_C to vary by cell, parameterized as a multiplicative factor F_c per cell, and to estimate F_c via auxiliary data (e.g., MHLW industry × gender breakdowns of intervention adoption).</w:t>
      </w:r>
    </w:p>
    <w:p>
      <w:pPr>
        <w:spacing w:line="480" w:lineRule="auto" w:before="0" w:after="0"/>
        <w:jc w:val="left"/>
      </w:pPr>
      <w:r>
        <w:rPr>
          <w:rFonts w:ascii="Times New Roman" w:hAnsi="Times New Roman" w:eastAsia="Times New Roman"/>
          <w:b/>
          <w:sz w:val="24"/>
        </w:rPr>
        <w:t>Static framing</w:t>
      </w:r>
    </w:p>
    <w:p>
      <w:pPr>
        <w:spacing w:line="480" w:lineRule="auto" w:before="0" w:after="0"/>
        <w:ind w:firstLine="720"/>
      </w:pPr>
      <w:r>
        <w:rPr>
          <w:rFonts w:ascii="Times New Roman" w:hAnsi="Times New Roman" w:eastAsia="Times New Roman"/>
          <w:sz w:val="24"/>
        </w:rPr>
        <w:t>The simulation produces a single population-level snapshot under each counterfactual; it does not model dynamic effects such as institutional erosion (intervention efficacy decay over time), behavioral adaptation (perpetrator response), or composition change (workforce HEXACO drift). Stage 8's transportability factor sweep partially addresses this concern by stress-testing the conclusion against attenuation, but a fully dynamic agent-based extension is required for endogenous modeling of these mechanisms.</w:t>
      </w:r>
    </w:p>
    <w:p>
      <w:pPr>
        <w:spacing w:line="480" w:lineRule="auto" w:before="0" w:after="0"/>
        <w:jc w:val="left"/>
      </w:pPr>
      <w:r>
        <w:rPr>
          <w:rFonts w:ascii="Times New Roman" w:hAnsi="Times New Roman" w:eastAsia="Times New Roman"/>
          <w:b/>
          <w:sz w:val="24"/>
        </w:rPr>
        <w:t>m8 limitation: cluster proportions M3-fixed</w:t>
      </w:r>
    </w:p>
    <w:p>
      <w:pPr>
        <w:spacing w:line="480" w:lineRule="auto" w:before="0" w:after="0"/>
        <w:ind w:firstLine="720"/>
      </w:pPr>
      <w:r>
        <w:rPr>
          <w:rFonts w:ascii="Times New Roman" w:hAnsi="Times New Roman" w:eastAsia="Times New Roman"/>
          <w:sz w:val="24"/>
        </w:rPr>
        <w:t>Per Methods Clarification m8, the 7-cluster proportions used in Stage 1 reweighting remain fixed at the Tokiwa (2026, *IEEE Access*) values for N = 13,668; only the gender marginal is updated to the Statistics Bureau (MIC) 2022 working-population value. This is a conscious limitation: the Labor Force Survey does not capture HEXACO cluster membership, so the cluster proportions cannot be updated. The OAT sensitivity sweep over cluster mass shifts (Section 3.3) shows that the H1 conclusion depends on the cluster proportions, with MAPE ranging from 34.55% (favorable composition) to 56.47% (unfavorable). We disclose this dependency explicitly and recommend that future Phase 2 work integrate larger-sample HEXACO surveys (e.g., the JLPS panel) to relax this constraint.</w:t>
      </w:r>
    </w:p>
    <w:p>
      <w:pPr>
        <w:spacing w:line="480" w:lineRule="auto" w:before="0" w:after="0"/>
        <w:jc w:val="left"/>
      </w:pPr>
      <w:r>
        <w:rPr>
          <w:rFonts w:ascii="Times New Roman" w:hAnsi="Times New Roman" w:eastAsia="Times New Roman"/>
          <w:b/>
          <w:sz w:val="24"/>
        </w:rPr>
        <w:t>Sample-size and external-validity caveats</w:t>
      </w:r>
    </w:p>
    <w:p>
      <w:pPr>
        <w:spacing w:line="480" w:lineRule="auto" w:before="0" w:after="0"/>
        <w:ind w:firstLine="720"/>
      </w:pPr>
      <w:r>
        <w:rPr>
          <w:rFonts w:ascii="Times New Roman" w:hAnsi="Times New Roman" w:eastAsia="Times New Roman"/>
          <w:sz w:val="24"/>
        </w:rPr>
        <w:t>The N = 354 individual-level harassment sample is demographically heterogeneous within Japan but does not match the MHLW survey's sampling frame perfectly. The cell sizes range from 10 to 70 (median 18); some cells contribute weakly to per-cell propensity precision. The sensitivity sweep over EB shrinkage scale (Section 3.3) confirms that estimates are robust to alternative shrinkage strengths, but precision could be improved with larger samples. We have refrained from pooling additional samples to preserve pre-registration integrity; future replication studies are encouraged.</w:t>
      </w:r>
    </w:p>
    <w:p>
      <w:pPr>
        <w:spacing w:line="480" w:lineRule="auto" w:before="0" w:after="0"/>
        <w:jc w:val="center"/>
      </w:pPr>
      <w:r>
        <w:rPr>
          <w:rFonts w:ascii="Times New Roman" w:hAnsi="Times New Roman" w:eastAsia="Times New Roman"/>
          <w:b/>
          <w:sz w:val="24"/>
        </w:rPr>
        <w:t>Implications for workplace harassment policy</w:t>
      </w:r>
    </w:p>
    <w:p>
      <w:pPr>
        <w:spacing w:line="480" w:lineRule="auto" w:before="0" w:after="0"/>
        <w:ind w:firstLine="720"/>
      </w:pPr>
      <w:r>
        <w:rPr>
          <w:rFonts w:ascii="Times New Roman" w:hAnsi="Times New Roman" w:eastAsia="Times New Roman"/>
          <w:sz w:val="24"/>
        </w:rPr>
        <w:t>The integrated findings carry three policy implications:</w:t>
      </w:r>
    </w:p>
    <w:p>
      <w:pPr>
        <w:spacing w:line="480" w:lineRule="auto" w:before="0" w:after="0"/>
        <w:ind w:firstLine="720"/>
      </w:pPr>
      <w:r>
        <w:rPr>
          <w:rFonts w:ascii="Times New Roman" w:hAnsi="Times New Roman" w:eastAsia="Times New Roman"/>
          <w:sz w:val="24"/>
        </w:rPr>
        <w:t>1. **Resource reallocation.** Japanese corporate HR programs typically allocate the majority of harassment-prevention budget to person-level interventions: anti-harassment training modules, sensitivity workshops, and screening protocols. Our results suggest that a meaningful reallocation toward structural interventions — anonymous reporting channels, independent investigation units, 360-degree evaluation, mid-management training in coaching skills — would yield approximately 5.7× larger population-level reductions in harassment prevalence per unit of intervention. 2. **Causal humility about HEXACO-based screening.** The use of HEXACO scores (or related personality assessments) in pre-employment screening to filter out "harassment-prone" candidates is not supported by our analysis. The HEXACO–harassment association is consistent with selection into harassment-prone environments rather than direct causation; screening on HEXACO would simply re-route low-HH applicants to less protective workplaces, without reducing aggregate harassment. 3. **Continued evaluation of the 2020 Power Harassment Prevention Law.** Our analysis converges with the MHLW natural experiment in attributing the FY2016–FY2023 decline to structural mechanisms. We recommend that the law's enforcement be strengthened in the SME sector (where compliance has been documented as weaker) and that auxiliary mechanisms — anonymous reporting, independent investigation, retaliation prohibition — be empirically evaluated for differential efficacy.</w:t>
      </w:r>
    </w:p>
    <w:p>
      <w:pPr>
        <w:spacing w:line="480" w:lineRule="auto" w:before="0" w:after="0"/>
        <w:jc w:val="center"/>
      </w:pPr>
      <w:r>
        <w:rPr>
          <w:rFonts w:ascii="Times New Roman" w:hAnsi="Times New Roman" w:eastAsia="Times New Roman"/>
          <w:b/>
          <w:sz w:val="24"/>
        </w:rPr>
        <w:t>Conclusion</w:t>
      </w:r>
    </w:p>
    <w:p>
      <w:pPr>
        <w:spacing w:line="480" w:lineRule="auto" w:before="0" w:after="0"/>
        <w:ind w:firstLine="720"/>
      </w:pPr>
      <w:r>
        <w:rPr>
          <w:rFonts w:ascii="Times New Roman" w:hAnsi="Times New Roman" w:eastAsia="Times New Roman"/>
          <w:sz w:val="24"/>
        </w:rPr>
        <w:t>We pre-registered and executed a HEXACO 7-typology workplace harassment microsimulation that emulates a target trial of three counterfactual interventions in Japan. The null result for personality intervention (Counterfactual A; ΔP_A = −0.0061, CI crosses zero) and the strongly positive result for structural intervention (Counterfactual C; ΔP_C = +0.0349, CI excludes zero), corroborated by the H7 IUT classification of REVERSAL across all four pre-registered cultural attenuation factors, support the conclusion that *structural interventions translate to approximately 5.7× larger population-level harassment-prevalence reductions than realistic personality-training interventions*, given prior meta-analytic effect-size literature. The 2020 Power Harassment Prevention Law's natural-experiment 13.2 pp decline corroborates the policy mechanism. We reposition HEXACO 7-typology as a stratification lens that identifies differentially exposed populations rather than as a target of intervention, and reject victim-blaming framings of harassment exposure. All code, data, and intermediate artifacts are publicly available under MIT license; full reproducibility is verified via SHA-256 hash comparison against the v2.0 OSF registration.</w:t>
      </w:r>
    </w:p>
    <w:p>
      <w:r>
        <w:br w:type="page"/>
      </w:r>
    </w:p>
    <w:p>
      <w:pPr>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Ashton, M.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Ashton, M. C., &amp; Lee, K. (2009). The HEXACO-60: A short measure of the major dimensions of personality. Journal of Personality Assessment, 91(4), 340–345. https://doi.org/10.1080/00223890902935878</w:t>
      </w:r>
    </w:p>
    <w:p>
      <w:pPr>
        <w:spacing w:line="480" w:lineRule="auto" w:before="0" w:after="0"/>
        <w:ind w:left="720" w:hanging="720"/>
      </w:pPr>
      <w:r>
        <w:rPr>
          <w:rFonts w:ascii="Times New Roman" w:hAnsi="Times New Roman" w:eastAsia="Times New Roman"/>
          <w:sz w:val="24"/>
        </w:rPr>
        <w:t>Berger, R. L., &amp; Hsu, J. C. (1996). Bioequivalence trials, intersection-union tests and equivalence confidence sets. Statistical Science, 11(4), 283–319. https://doi.org/10.1214/ss/1032280304</w:t>
      </w:r>
    </w:p>
    <w:p>
      <w:pPr>
        <w:spacing w:line="480" w:lineRule="auto" w:before="0" w:after="0"/>
        <w:ind w:left="720" w:hanging="720"/>
      </w:pPr>
      <w:r>
        <w:rPr>
          <w:rFonts w:ascii="Times New Roman" w:hAnsi="Times New Roman" w:eastAsia="Times New Roman"/>
          <w:sz w:val="24"/>
        </w:rPr>
        <w:t>Carlin, B. P., &amp; Louis, T. A. (2000). Bayes and empirical Bayes methods for data analysis (2nd ed.). Chapman &amp; Hall/CRC.</w:t>
      </w:r>
    </w:p>
    <w:p>
      <w:pPr>
        <w:spacing w:line="480" w:lineRule="auto" w:before="0" w:after="0"/>
        <w:ind w:left="720" w:hanging="720"/>
      </w:pPr>
      <w:r>
        <w:rPr>
          <w:rFonts w:ascii="Times New Roman" w:hAnsi="Times New Roman" w:eastAsia="Times New Roman"/>
          <w:sz w:val="24"/>
        </w:rPr>
        <w:t>Efron, B. (1987). Better bootstrap confidence intervals. Journal of the American Statistical Association, 82(397), 171–185. https://doi.org/10.1080/01621459.1987.10478410</w:t>
      </w:r>
    </w:p>
    <w:p>
      <w:pPr>
        <w:spacing w:line="480" w:lineRule="auto" w:before="0" w:after="0"/>
        <w:ind w:left="720" w:hanging="720"/>
      </w:pPr>
      <w:r>
        <w:rPr>
          <w:rFonts w:ascii="Times New Roman" w:hAnsi="Times New Roman" w:eastAsia="Times New Roman"/>
          <w:sz w:val="24"/>
        </w:rPr>
        <w:t>Escartín, J. (2016). Insights into workplace bullying: Psychosocial drivers and effective interventions. Psychology Research and Behavior Management, 9, 157–169. https://doi.org/10.2147/PRBM.S91211</w:t>
      </w:r>
    </w:p>
    <w:p>
      <w:pPr>
        <w:spacing w:line="480" w:lineRule="auto" w:before="0" w:after="0"/>
        <w:ind w:left="720" w:hanging="720"/>
      </w:pPr>
      <w:r>
        <w:rPr>
          <w:rFonts w:ascii="Times New Roman" w:hAnsi="Times New Roman" w:eastAsia="Times New Roman"/>
          <w:sz w:val="24"/>
        </w:rPr>
        <w:t>Glasø, L., Matthiesen, S. B., Nielsen, M. B., &amp; Einarsen, S. (2007). Do targets of workplace bullying portray a general victim personality profile? Scandinavian Journal of Psychology, 48(4), 313–319. https://doi.org/10.1111/j.1467-9450.2007.00554.x</w:t>
      </w:r>
    </w:p>
    <w:p>
      <w:pPr>
        <w:spacing w:line="480" w:lineRule="auto" w:before="0" w:after="0"/>
        <w:ind w:left="720" w:hanging="720"/>
      </w:pPr>
      <w:r>
        <w:rPr>
          <w:rFonts w:ascii="Times New Roman" w:hAnsi="Times New Roman" w:eastAsia="Times New Roman"/>
          <w:sz w:val="24"/>
        </w:rPr>
        <w:t>Hernán, M. A., &amp; Robins, J. M. (2016). Using big data to emulate a target trial when a randomized trial is not available. American Journal of Epidemiology, 183(8), 758–764. https://doi.org/10.1093/aje/kwv254</w:t>
      </w:r>
    </w:p>
    <w:p>
      <w:pPr>
        <w:spacing w:line="480" w:lineRule="auto" w:before="0" w:after="0"/>
        <w:ind w:left="720" w:hanging="720"/>
      </w:pPr>
      <w:r>
        <w:rPr>
          <w:rFonts w:ascii="Times New Roman" w:hAnsi="Times New Roman" w:eastAsia="Times New Roman"/>
          <w:sz w:val="24"/>
        </w:rPr>
        <w:t>Hernán, M. A., &amp; Robins, J. M. (2020). Causal inference: What if. Chapman &amp; Hall/CRC. https://www.hsph.harvard.edu/miguel-hernan/causal-inference-book/</w:t>
      </w:r>
    </w:p>
    <w:p>
      <w:pPr>
        <w:spacing w:line="480" w:lineRule="auto" w:before="0" w:after="0"/>
        <w:ind w:left="720" w:hanging="720"/>
      </w:pPr>
      <w:r>
        <w:rPr>
          <w:rFonts w:ascii="Times New Roman" w:hAnsi="Times New Roman" w:eastAsia="Times New Roman"/>
          <w:sz w:val="24"/>
        </w:rPr>
        <w:t>Hershcovis, M. S., &amp; Barling, J. (2010). Towards a multi-foci approach to workplace aggression: A meta-analytic review of outcomes from different perpetrators. Journal of Organizational Behavior, 31(1), 24–44. https://doi.org/10.1002/job.621</w:t>
      </w:r>
    </w:p>
    <w:p>
      <w:pPr>
        <w:spacing w:line="480" w:lineRule="auto" w:before="0" w:after="0"/>
        <w:ind w:left="720" w:hanging="720"/>
      </w:pPr>
      <w:r>
        <w:rPr>
          <w:rFonts w:ascii="Times New Roman" w:hAnsi="Times New Roman" w:eastAsia="Times New Roman"/>
          <w:sz w:val="24"/>
        </w:rPr>
        <w:t>Hodgins, M., MacCurtain, S., &amp; Mannix-McNamara, P. (2014). Workplace bullying and incivility: A systematic review of interventions. International Journal of Workplace Health Management, 7(1), 54–72. https://doi.org/10.1108/IJWHM-08-2013-0030</w:t>
      </w:r>
    </w:p>
    <w:p>
      <w:pPr>
        <w:spacing w:line="480" w:lineRule="auto" w:before="0" w:after="0"/>
        <w:ind w:left="720" w:hanging="720"/>
      </w:pPr>
      <w:r>
        <w:rPr>
          <w:rFonts w:ascii="Times New Roman" w:hAnsi="Times New Roman" w:eastAsia="Times New Roman"/>
          <w:sz w:val="24"/>
        </w:rPr>
        <w:t>Hudgens, M. G., &amp; Halloran, M. E. (2008). Toward causal inference with interference. Journal of the American Statistical Association, 103(482), 832–842. https://doi.org/10.1198/016214508000000292</w:t>
      </w:r>
    </w:p>
    <w:p>
      <w:pPr>
        <w:spacing w:line="480" w:lineRule="auto" w:before="0" w:after="0"/>
        <w:ind w:left="720" w:hanging="720"/>
      </w:pPr>
      <w:r>
        <w:rPr>
          <w:rFonts w:ascii="Times New Roman" w:hAnsi="Times New Roman" w:eastAsia="Times New Roman"/>
          <w:sz w:val="24"/>
        </w:rPr>
        <w:t>Hudson, N. W., &amp; Fraley, R. C. (2015). Volitional personality trait change: Can people choose to change their personality traits? Journal of Personality and Social Psychology, 109(3), 490–507. https://doi.org/10.1037/pspp0000021</w:t>
      </w:r>
    </w:p>
    <w:p>
      <w:pPr>
        <w:spacing w:line="480" w:lineRule="auto" w:before="0" w:after="0"/>
        <w:ind w:left="720" w:hanging="720"/>
      </w:pPr>
      <w:r>
        <w:rPr>
          <w:rFonts w:ascii="Times New Roman" w:hAnsi="Times New Roman" w:eastAsia="Times New Roman"/>
          <w:sz w:val="24"/>
        </w:rPr>
        <w:t>Kobayashi, A., &amp; Tanaka, K. (2010). Development of the Gender Harassment Scale. Japanese Journal of Industrial and Organizational Psychology, 24(1), 15–27. https://doi.org/10.32222/jaiop.24.1_15 [in Japanese]</w:t>
      </w:r>
    </w:p>
    <w:p>
      <w:pPr>
        <w:spacing w:line="480" w:lineRule="auto" w:before="0" w:after="0"/>
        <w:ind w:left="720" w:hanging="720"/>
      </w:pPr>
      <w:r>
        <w:rPr>
          <w:rFonts w:ascii="Times New Roman" w:hAnsi="Times New Roman" w:eastAsia="Times New Roman"/>
          <w:sz w:val="24"/>
        </w:rPr>
        <w:t>Lee, K., Ashton, M. C., Wiltshire, J., Bourdage, J. S., Visser, B. A., &amp; Gallucci, A. (2013). Sex, power, and money: Prediction from the Dark Triad and Honesty-Humility. European Journal of Personality, 27(2), 169–184. https://doi.org/10.1002/per.1860</w:t>
      </w:r>
    </w:p>
    <w:p>
      <w:pPr>
        <w:spacing w:line="480" w:lineRule="auto" w:before="0" w:after="0"/>
        <w:ind w:left="720" w:hanging="720"/>
      </w:pPr>
      <w:r>
        <w:rPr>
          <w:rFonts w:ascii="Times New Roman" w:hAnsi="Times New Roman" w:eastAsia="Times New Roman"/>
          <w:sz w:val="24"/>
        </w:rPr>
        <w:t>Lindell, M. K., &amp; Whitney, D. J. (2001). Accounting for common method variance in cross-sectional research designs. Journal of Applied Psychology, 86(1), 114–121. https://doi.org/10.1037/0021-9010.86.1.114</w:t>
      </w:r>
    </w:p>
    <w:p>
      <w:pPr>
        <w:spacing w:line="480" w:lineRule="auto" w:before="0" w:after="0"/>
        <w:ind w:left="720" w:hanging="720"/>
      </w:pPr>
      <w:r>
        <w:rPr>
          <w:rFonts w:ascii="Times New Roman" w:hAnsi="Times New Roman" w:eastAsia="Times New Roman"/>
          <w:sz w:val="24"/>
        </w:rPr>
        <w:t>Linton, D. K., &amp; Power, J. L. (2013). The personality traits of workplace bullies are often shared by their victims: Is there a dark side to victims? Personality and Individual Differences, 54(6), 738–743. https://doi.org/10.1016/j.paid.2012.11.026</w:t>
      </w:r>
    </w:p>
    <w:p>
      <w:pPr>
        <w:spacing w:line="480" w:lineRule="auto" w:before="0" w:after="0"/>
        <w:ind w:left="720" w:hanging="720"/>
      </w:pPr>
      <w:r>
        <w:rPr>
          <w:rFonts w:ascii="Times New Roman" w:hAnsi="Times New Roman" w:eastAsia="Times New Roman"/>
          <w:sz w:val="24"/>
        </w:rPr>
        <w:t>Mikkelsen, E. G., Hansen, Å. M., Persson, R., Byrgesen, M. F., &amp; Hogh, A. (2020). Individual consequences of being exposed to workplace bullying. In S. Einarsen, H. Hoel, D. Zapf, &amp; C. L. Cooper (Eds.), Bullying and harassment in the workplace: Theory, research and practice (3rd ed., pp. 163–208). CRC Press. https://doi.org/10.1201/9780429462528-6</w:t>
      </w:r>
    </w:p>
    <w:p>
      <w:pPr>
        <w:spacing w:line="480" w:lineRule="auto" w:before="0" w:after="0"/>
        <w:ind w:left="720" w:hanging="720"/>
      </w:pPr>
      <w:r>
        <w:rPr>
          <w:rFonts w:ascii="Times New Roman" w:hAnsi="Times New Roman" w:eastAsia="Times New Roman"/>
          <w:sz w:val="24"/>
        </w:rPr>
        <w:t>Ministry of Health, Labour and Welfare (MHLW). (2017). Workplace harassment survey: H28 (FY2016) results [Original report in Japanese]. https://www.mhlw.go.jp/</w:t>
      </w:r>
    </w:p>
    <w:p>
      <w:pPr>
        <w:spacing w:line="480" w:lineRule="auto" w:before="0" w:after="0"/>
        <w:ind w:left="720" w:hanging="720"/>
      </w:pPr>
      <w:r>
        <w:rPr>
          <w:rFonts w:ascii="Times New Roman" w:hAnsi="Times New Roman" w:eastAsia="Times New Roman"/>
          <w:sz w:val="24"/>
        </w:rPr>
        <w:t>Ministry of Health, Labour and Welfare (MHLW). (2021). Workplace harassment survey: R2 (FY2020) results [Original report in Japanese]. https://www.mhlw.go.jp/</w:t>
      </w:r>
    </w:p>
    <w:p>
      <w:pPr>
        <w:spacing w:line="480" w:lineRule="auto" w:before="0" w:after="0"/>
        <w:ind w:left="720" w:hanging="720"/>
      </w:pPr>
      <w:r>
        <w:rPr>
          <w:rFonts w:ascii="Times New Roman" w:hAnsi="Times New Roman" w:eastAsia="Times New Roman"/>
          <w:sz w:val="24"/>
        </w:rPr>
        <w:t>Ministry of Health, Labour and Welfare (MHLW). (2024). Workplace harassment survey: R5 (FY2023) results [Original report in Japanese]. https://www.mhlw.go.jp/</w:t>
      </w:r>
    </w:p>
    <w:p>
      <w:pPr>
        <w:spacing w:line="480" w:lineRule="auto" w:before="0" w:after="0"/>
        <w:ind w:left="720" w:hanging="720"/>
      </w:pPr>
      <w:r>
        <w:rPr>
          <w:rFonts w:ascii="Times New Roman" w:hAnsi="Times New Roman" w:eastAsia="Times New Roman"/>
          <w:sz w:val="24"/>
        </w:rPr>
        <w:t>Nielsen, M. B., Glasø, L., &amp; Einarsen, S. (2017). Exposure to workplace harassment and the Five Factor Model of personality: A meta-analysis. Personality and Individual Differences, 104, 195–206. https://doi.org/10.1016/j.paid.2016.08.015</w:t>
      </w:r>
    </w:p>
    <w:p>
      <w:pPr>
        <w:spacing w:line="480" w:lineRule="auto" w:before="0" w:after="0"/>
        <w:ind w:left="720" w:hanging="720"/>
      </w:pPr>
      <w:r>
        <w:rPr>
          <w:rFonts w:ascii="Times New Roman" w:hAnsi="Times New Roman" w:eastAsia="Times New Roman"/>
          <w:sz w:val="24"/>
        </w:rPr>
        <w:t>Page, E. B. (1963). Ordered hypotheses for multiple treatments: A significance test for linear ranks. Journal of the American Statistical Association, 58(301), 216–230. https://doi.org/10.1080/01621459.1963.10500843</w:t>
      </w:r>
    </w:p>
    <w:p>
      <w:pPr>
        <w:spacing w:line="480" w:lineRule="auto" w:before="0" w:after="0"/>
        <w:ind w:left="720" w:hanging="720"/>
      </w:pPr>
      <w:r>
        <w:rPr>
          <w:rFonts w:ascii="Times New Roman" w:hAnsi="Times New Roman" w:eastAsia="Times New Roman"/>
          <w:sz w:val="24"/>
        </w:rPr>
        <w:t>Park, J. S., O'Brien, J. C., Cai, C. J., Morris, M. R., Liang, P., &amp; Bernstein, M. S. (2023). Generative agents: Interactive simulacra of human behavior. In Proceedings of the 36th Annual ACM Symposium on User Interface Software and Technology (Article 2, pp. 1–22). https://doi.org/10.1145/3586183.3606763</w:t>
      </w:r>
    </w:p>
    <w:p>
      <w:pPr>
        <w:spacing w:line="480" w:lineRule="auto" w:before="0" w:after="0"/>
        <w:ind w:left="720" w:hanging="720"/>
      </w:pPr>
      <w:r>
        <w:rPr>
          <w:rFonts w:ascii="Times New Roman" w:hAnsi="Times New Roman" w:eastAsia="Times New Roman"/>
          <w:sz w:val="24"/>
        </w:rPr>
        <w:t>Pearl, J. (2009). Causality: Models, reasoning, and inference (2nd ed.). Cambridge University Press.</w:t>
      </w:r>
    </w:p>
    <w:p>
      <w:pPr>
        <w:spacing w:line="480" w:lineRule="auto" w:before="0" w:after="0"/>
        <w:ind w:left="720" w:hanging="720"/>
      </w:pPr>
      <w:r>
        <w:rPr>
          <w:rFonts w:ascii="Times New Roman" w:hAnsi="Times New Roman" w:eastAsia="Times New Roman"/>
          <w:sz w:val="24"/>
        </w:rPr>
        <w:t>Pilch, I., &amp; Turska, E. (2015). Relationships between Machiavellianism, organizational culture, and workplace bullying: Emotional abuse from the target's and the perpetrator's perspective. Journal of Business Ethics, 128(1), 83–93. https://doi.org/10.1007/s10551-014-2081-3</w:t>
      </w:r>
    </w:p>
    <w:p>
      <w:pPr>
        <w:spacing w:line="480" w:lineRule="auto" w:before="0" w:after="0"/>
        <w:ind w:left="720" w:hanging="720"/>
      </w:pPr>
      <w:r>
        <w:rPr>
          <w:rFonts w:ascii="Times New Roman" w:hAnsi="Times New Roman" w:eastAsia="Times New Roman"/>
          <w:sz w:val="24"/>
        </w:rPr>
        <w:t>Podsakoff, P. M., MacKenzie, S. B., Lee, J. Y., &amp; Podsakoff, N. P. (2003). Common method biases in behavioral research: A critical review of the literature and recommended remedies. Journal of Applied Psychology, 88(5), 879–903. https://doi.org/10.1037/0021-9010.88.5.879</w:t>
      </w:r>
    </w:p>
    <w:p>
      <w:pPr>
        <w:spacing w:line="480" w:lineRule="auto" w:before="0" w:after="0"/>
        <w:ind w:left="720" w:hanging="720"/>
      </w:pPr>
      <w:r>
        <w:rPr>
          <w:rFonts w:ascii="Times New Roman" w:hAnsi="Times New Roman" w:eastAsia="Times New Roman"/>
          <w:sz w:val="24"/>
        </w:rPr>
        <w:t>Power, J. L., Brotheridge, C. M., Blenkinsopp, J., Bowes-Sperry, L., Bozionelos, N., Buzády, Z., Chuang, A., Drnevich, D., Garzon-Vico, A., Leighton, C., Madero, S. M., Mak, W., Mathew, R., Monserrat, S. I., Mujtaba, B. G., Olivas-Lujan, M. R., Polycroniou, P., Sprigg, C. A., Axtell, C., … Nnedum, A. U. O. (2013). Acceptability of workplace bullying: A comparative study on six continents. Journal of Business Research, 66(3), 374–380. https://doi.org/10.1016/j.jbusres.2011.08.018</w:t>
      </w:r>
    </w:p>
    <w:p>
      <w:pPr>
        <w:spacing w:line="480" w:lineRule="auto" w:before="0" w:after="0"/>
        <w:ind w:left="720" w:hanging="720"/>
      </w:pPr>
      <w:r>
        <w:rPr>
          <w:rFonts w:ascii="Times New Roman" w:hAnsi="Times New Roman" w:eastAsia="Times New Roman"/>
          <w:sz w:val="24"/>
        </w:rPr>
        <w:t>Roberts, B. W., Luo, J., Briley, D. A., Chow, P. I., Su, R., &amp; Hill, P. L. (2017). A systematic review of personality trait change through intervention. Psychological Bulletin, 143(2), 117–141. https://doi.org/10.1037/bul0000088</w:t>
      </w:r>
    </w:p>
    <w:p>
      <w:pPr>
        <w:spacing w:line="480" w:lineRule="auto" w:before="0" w:after="0"/>
        <w:ind w:left="720" w:hanging="720"/>
      </w:pPr>
      <w:r>
        <w:rPr>
          <w:rFonts w:ascii="Times New Roman" w:hAnsi="Times New Roman" w:eastAsia="Times New Roman"/>
          <w:sz w:val="24"/>
        </w:rPr>
        <w:t>Rutter, C. M., Zaslavsky, A. M., &amp; Feuer, E. J. (2011). Dynamic microsimulation models for health outcomes: A review. Medical Decision Making, 31(1), 10–18. https://doi.org/10.1177/0272989X10369005</w:t>
      </w:r>
    </w:p>
    <w:p>
      <w:pPr>
        <w:spacing w:line="480" w:lineRule="auto" w:before="0" w:after="0"/>
        <w:ind w:left="720" w:hanging="720"/>
      </w:pPr>
      <w:r>
        <w:rPr>
          <w:rFonts w:ascii="Times New Roman" w:hAnsi="Times New Roman" w:eastAsia="Times New Roman"/>
          <w:sz w:val="24"/>
        </w:rPr>
        <w:t>Salin, D. (2003). Ways of explaining workplace bullying: A review of enabling, motivating and precipitating structures and processes in the work environment. Human Relations, 56(10), 1213–1232. https://doi.org/10.1177/00187267035610003</w:t>
      </w:r>
    </w:p>
    <w:p>
      <w:pPr>
        <w:spacing w:line="480" w:lineRule="auto" w:before="0" w:after="0"/>
        <w:ind w:left="720" w:hanging="720"/>
      </w:pPr>
      <w:r>
        <w:rPr>
          <w:rFonts w:ascii="Times New Roman" w:hAnsi="Times New Roman" w:eastAsia="Times New Roman"/>
          <w:sz w:val="24"/>
        </w:rPr>
        <w:t>Salin, D. (2021). Workplace bullying and gender: An overview of empirical findings. In P. D'Cruz, E. Noronha, C. Caponecchia, J. Escartín, D. Salin, &amp; M. R. Tuckey (Eds.), Dignity and inclusion at work: Handbooks of workplace bullying, emotional abuse and harassment (Vol. 3, pp. 331–361). Springer. https://doi.org/10.1007/978-981-13-0218-3_12</w:t>
      </w:r>
    </w:p>
    <w:p>
      <w:pPr>
        <w:spacing w:line="480" w:lineRule="auto" w:before="0" w:after="0"/>
        <w:ind w:left="720" w:hanging="720"/>
      </w:pPr>
      <w:r>
        <w:rPr>
          <w:rFonts w:ascii="Times New Roman" w:hAnsi="Times New Roman" w:eastAsia="Times New Roman"/>
          <w:sz w:val="24"/>
        </w:rPr>
        <w:t>Schelling, T. C. (1971). Dynamic models of segregation. Journal of Mathematical Sociology, 1(2), 143–186. https://doi.org/10.1080/0022250X.1971.9989794</w:t>
      </w:r>
    </w:p>
    <w:p>
      <w:pPr>
        <w:spacing w:line="480" w:lineRule="auto" w:before="0" w:after="0"/>
        <w:ind w:left="720" w:hanging="720"/>
      </w:pPr>
      <w:r>
        <w:rPr>
          <w:rFonts w:ascii="Times New Roman" w:hAnsi="Times New Roman" w:eastAsia="Times New Roman"/>
          <w:sz w:val="24"/>
        </w:rPr>
        <w:t>Spielauer, M. (2011). What is social science microsimulation? Social Science Computer Review, 29(1), 9–20. https://doi.org/10.1177/0894439310370085</w:t>
      </w:r>
    </w:p>
    <w:p>
      <w:pPr>
        <w:spacing w:line="480" w:lineRule="auto" w:before="0" w:after="0"/>
        <w:ind w:left="720" w:hanging="720"/>
      </w:pPr>
      <w:r>
        <w:rPr>
          <w:rFonts w:ascii="Times New Roman" w:hAnsi="Times New Roman" w:eastAsia="Times New Roman"/>
          <w:sz w:val="24"/>
        </w:rPr>
        <w:t>Statistics Bureau, Ministry of Internal Affairs and Communications. (2023). Labour Force Survey (Basic Tabulation): 2022 Annual Average Results Summary [Original report in Japanese]. Tokyo: Statistics Bureau. Retrieved 2026-04-30 from https://www.e-stat.go.jp/</w:t>
      </w:r>
    </w:p>
    <w:p>
      <w:pPr>
        <w:spacing w:line="480" w:lineRule="auto" w:before="0" w:after="0"/>
        <w:ind w:left="720" w:hanging="720"/>
      </w:pPr>
      <w:r>
        <w:rPr>
          <w:rFonts w:ascii="Times New Roman" w:hAnsi="Times New Roman" w:eastAsia="Times New Roman"/>
          <w:sz w:val="24"/>
        </w:rPr>
        <w:t>Tokiwa, E. (2026). Cultural influences on personality types: A cluster analysis of HEXACO traits in Japan. IEEE Access. https://doi.org/10.1109/ACCESS.2026.3651324</w:t>
      </w:r>
    </w:p>
    <w:p>
      <w:pPr>
        <w:spacing w:line="480" w:lineRule="auto" w:before="0" w:after="0"/>
        <w:ind w:left="720" w:hanging="720"/>
      </w:pPr>
      <w:r>
        <w:rPr>
          <w:rFonts w:ascii="Times New Roman" w:hAnsi="Times New Roman" w:eastAsia="Times New Roman"/>
          <w:sz w:val="24"/>
        </w:rPr>
        <w:t>Tokiwa, E. (2025). Predicting power and gender harassment from HEXACO and Dark Traits (Version 1) [Preprint]. Research Square. https://doi.org/10.21203/rs.3.rs-7756124/v1</w:t>
      </w:r>
    </w:p>
    <w:p>
      <w:pPr>
        <w:spacing w:line="480" w:lineRule="auto" w:before="0" w:after="0"/>
        <w:ind w:left="720" w:hanging="720"/>
      </w:pPr>
      <w:r>
        <w:rPr>
          <w:rFonts w:ascii="Times New Roman" w:hAnsi="Times New Roman" w:eastAsia="Times New Roman"/>
          <w:sz w:val="24"/>
        </w:rPr>
        <w:t>Tou, K., Tsuda, A., Nii, M., Yamahiro, T., &amp; Irie, M. (2017). Development of new power harassment questionnaire in workplace. In Proceedings of the 81st Annual Convention of the Japanese Psychological Association. Japanese Psychological Association. [Conference paper; in Japanese]</w:t>
      </w:r>
    </w:p>
    <w:p>
      <w:pPr>
        <w:spacing w:line="480" w:lineRule="auto" w:before="0" w:after="0"/>
        <w:ind w:left="720" w:hanging="720"/>
      </w:pPr>
      <w:r>
        <w:rPr>
          <w:rFonts w:ascii="Times New Roman" w:hAnsi="Times New Roman" w:eastAsia="Times New Roman"/>
          <w:sz w:val="24"/>
        </w:rPr>
        <w:t>Wakabayashi, A. (2014). A sixth personality domain that is independent of the Big Five domains: The psychometric properties of the HEXACO Personality Inventory in a Japanese sample. Japanese Psychological Research, 56(3), 211–223. https://doi.org/10.1111/jpr.12045</w:t>
      </w:r>
    </w:p>
    <w:p>
      <w:pPr>
        <w:spacing w:line="480" w:lineRule="auto" w:before="0" w:after="0"/>
        <w:jc w:val="center"/>
      </w:pPr>
      <w:r>
        <w:rPr>
          <w:rFonts w:ascii="Times New Roman" w:hAnsi="Times New Roman" w:eastAsia="Times New Roman"/>
          <w:b/>
          <w:sz w:val="24"/>
        </w:rPr>
        <w:t>Reference notes</w:t>
      </w:r>
    </w:p>
    <w:p>
      <w:pPr>
        <w:spacing w:line="480" w:lineRule="auto" w:before="0" w:after="0"/>
        <w:ind w:left="720" w:hanging="720"/>
      </w:pPr>
      <w:r>
        <w:rPr>
          <w:rFonts w:ascii="Times New Roman" w:hAnsi="Times New Roman" w:eastAsia="Times New Roman"/>
          <w:sz w:val="24"/>
        </w:rPr>
        <w:t>1. Tokiwa (2026, IEEE Access) and Tokiwa (2025, Research Square preprint) are self-citations from the same author; their DOIs (10.1109/ACCESS.2026.3651324 and 10.21203/rs.3.rs-7756124/v1, respectively) are confirmed and resolvable as of submission. 2. MHLW survey series citations point to the Japanese government MHLW website; English-language summaries are available at the same URL with ?lang=en query parameter (verification recommended at submission time). 3. Kobayashi &amp; Tanaka (2010) and Tou et al. (2017) citations sourced from Tokiwa (2025) harassment preprint Manuscript_all.docx (verified 2026-04-30); the Tou et al. (2017) reference is a Japanese Psychological Association conference proceedings rather than a journal article. 4. Roberts et al. (2017) is the principal personality-change-intervention meta-analysis cited alongside Hudson and Fraley (2015) for the +0.3 SD upper-bound calibration of Counterfactual A.</w:t>
      </w:r>
    </w:p>
    <w:p>
      <w:r>
        <w:br w:type="page"/>
      </w:r>
    </w:p>
    <w:p>
      <w:pPr>
        <w:spacing w:line="480" w:lineRule="auto" w:before="0" w:after="0"/>
        <w:jc w:val="center"/>
      </w:pPr>
      <w:r>
        <w:rPr>
          <w:rFonts w:ascii="Times New Roman" w:hAnsi="Times New Roman" w:eastAsia="Times New Roman"/>
          <w:b/>
          <w:sz w:val="24"/>
        </w:rPr>
        <w:t>Tables</w:t>
      </w:r>
    </w:p>
    <w:p>
      <w:pPr>
        <w:spacing w:line="480" w:lineRule="auto" w:before="0" w:after="0"/>
        <w:jc w:val="left"/>
      </w:pPr>
      <w:r>
        <w:rPr>
          <w:rFonts w:ascii="Times New Roman" w:hAnsi="Times New Roman" w:eastAsia="Times New Roman"/>
          <w:b/>
          <w:sz w:val="24"/>
        </w:rPr>
        <w:t>Table 1. H1 Four-Tier Classification of Mean Absolute Percentage Error (MAPE) Across Three MHLW Validation Periods</w:t>
      </w:r>
    </w:p>
    <w:p>
      <w:pPr>
        <w:spacing w:line="480" w:lineRule="auto" w:before="0" w:after="0"/>
      </w:pPr>
      <w:r>
        <w:rPr>
          <w:rFonts w:ascii="Times New Roman" w:hAnsi="Times New Roman" w:eastAsia="Times New Roman"/>
          <w:sz w:val="24"/>
        </w:rPr>
        <w:t>*Note*. Predicted values are computed via 14-cell HEXACO 7-typology × gender propensity weighted by Statistics Bureau (MIC) Labor Force Survey 2022 marginals. Bootstrap 95% CIs use B = 10,000 cell-stratified resamples (Methods Clarification m3). Tier classification per pre-registered four-tier hierarchy (v2.0 Section 5.4).</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eastAsia="Times New Roman"/>
                <w:b/>
                <w:sz w:val="22"/>
              </w:rPr>
              <w:t>Period (MHLW)</w:t>
            </w:r>
          </w:p>
        </w:tc>
        <w:tc>
          <w:tcPr>
            <w:tcW w:type="dxa" w:w="1560"/>
          </w:tcPr>
          <w:p>
            <w:r>
              <w:rPr>
                <w:rFonts w:ascii="Times New Roman" w:hAnsi="Times New Roman" w:eastAsia="Times New Roman"/>
                <w:b/>
                <w:sz w:val="22"/>
              </w:rPr>
              <w:t>Observed</w:t>
            </w:r>
          </w:p>
        </w:tc>
        <w:tc>
          <w:tcPr>
            <w:tcW w:type="dxa" w:w="1560"/>
          </w:tcPr>
          <w:p>
            <w:r>
              <w:rPr>
                <w:rFonts w:ascii="Times New Roman" w:hAnsi="Times New Roman" w:eastAsia="Times New Roman"/>
                <w:b/>
                <w:sz w:val="22"/>
              </w:rPr>
              <w:t>Predicted</w:t>
            </w:r>
          </w:p>
        </w:tc>
        <w:tc>
          <w:tcPr>
            <w:tcW w:type="dxa" w:w="1560"/>
          </w:tcPr>
          <w:p>
            <w:r>
              <w:rPr>
                <w:rFonts w:ascii="Times New Roman" w:hAnsi="Times New Roman" w:eastAsia="Times New Roman"/>
                <w:b/>
                <w:sz w:val="22"/>
              </w:rPr>
              <w:t>MAPE</w:t>
            </w:r>
          </w:p>
        </w:tc>
        <w:tc>
          <w:tcPr>
            <w:tcW w:type="dxa" w:w="1560"/>
          </w:tcPr>
          <w:p>
            <w:r>
              <w:rPr>
                <w:rFonts w:ascii="Times New Roman" w:hAnsi="Times New Roman" w:eastAsia="Times New Roman"/>
                <w:b/>
                <w:sz w:val="22"/>
              </w:rPr>
              <w:t>95% CI</w:t>
            </w:r>
          </w:p>
        </w:tc>
        <w:tc>
          <w:tcPr>
            <w:tcW w:type="dxa" w:w="1560"/>
          </w:tcPr>
          <w:p>
            <w:r>
              <w:rPr>
                <w:rFonts w:ascii="Times New Roman" w:hAnsi="Times New Roman" w:eastAsia="Times New Roman"/>
                <w:b/>
                <w:sz w:val="22"/>
              </w:rPr>
              <w:t>Tier</w:t>
            </w:r>
          </w:p>
        </w:tc>
      </w:tr>
      <w:tr>
        <w:tc>
          <w:tcPr>
            <w:tcW w:type="dxa" w:w="1560"/>
          </w:tcPr>
          <w:p>
            <w:r>
              <w:rPr>
                <w:rFonts w:ascii="Times New Roman" w:hAnsi="Times New Roman" w:eastAsia="Times New Roman"/>
                <w:b w:val="0"/>
                <w:sz w:val="22"/>
              </w:rPr>
              <w:t>FY2016 (32.5%, primary)</w:t>
            </w:r>
          </w:p>
        </w:tc>
        <w:tc>
          <w:tcPr>
            <w:tcW w:type="dxa" w:w="1560"/>
          </w:tcPr>
          <w:p>
            <w:r>
              <w:rPr>
                <w:rFonts w:ascii="Times New Roman" w:hAnsi="Times New Roman" w:eastAsia="Times New Roman"/>
                <w:b w:val="0"/>
                <w:sz w:val="22"/>
              </w:rPr>
              <w:t>0.325</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46.34%</w:t>
            </w:r>
          </w:p>
        </w:tc>
        <w:tc>
          <w:tcPr>
            <w:tcW w:type="dxa" w:w="1560"/>
          </w:tcPr>
          <w:p>
            <w:r>
              <w:rPr>
                <w:rFonts w:ascii="Times New Roman" w:hAnsi="Times New Roman" w:eastAsia="Times New Roman"/>
                <w:b w:val="0"/>
                <w:sz w:val="22"/>
              </w:rPr>
              <w:t>[32.36, 59.30]</w:t>
            </w:r>
          </w:p>
        </w:tc>
        <w:tc>
          <w:tcPr>
            <w:tcW w:type="dxa" w:w="1560"/>
          </w:tcPr>
          <w:p>
            <w:r>
              <w:rPr>
                <w:rFonts w:ascii="Times New Roman" w:hAnsi="Times New Roman" w:eastAsia="Times New Roman"/>
                <w:b w:val="0"/>
                <w:sz w:val="22"/>
              </w:rPr>
              <w:t>PARTIAL SUCCESS</w:t>
            </w:r>
          </w:p>
        </w:tc>
      </w:tr>
      <w:tr>
        <w:tc>
          <w:tcPr>
            <w:tcW w:type="dxa" w:w="1560"/>
          </w:tcPr>
          <w:p>
            <w:r>
              <w:rPr>
                <w:rFonts w:ascii="Times New Roman" w:hAnsi="Times New Roman" w:eastAsia="Times New Roman"/>
                <w:b w:val="0"/>
                <w:sz w:val="22"/>
              </w:rPr>
              <w:t>FY2020 (31.4%, secondary)</w:t>
            </w:r>
          </w:p>
        </w:tc>
        <w:tc>
          <w:tcPr>
            <w:tcW w:type="dxa" w:w="1560"/>
          </w:tcPr>
          <w:p>
            <w:r>
              <w:rPr>
                <w:rFonts w:ascii="Times New Roman" w:hAnsi="Times New Roman" w:eastAsia="Times New Roman"/>
                <w:b w:val="0"/>
                <w:sz w:val="22"/>
              </w:rPr>
              <w:t>0.314</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44.46%</w:t>
            </w:r>
          </w:p>
        </w:tc>
        <w:tc>
          <w:tcPr>
            <w:tcW w:type="dxa" w:w="1560"/>
          </w:tcPr>
          <w:p>
            <w:r>
              <w:rPr>
                <w:rFonts w:ascii="Times New Roman" w:hAnsi="Times New Roman" w:eastAsia="Times New Roman"/>
                <w:b w:val="0"/>
                <w:sz w:val="22"/>
              </w:rPr>
              <w:t>[30.00, 57.88]</w:t>
            </w:r>
          </w:p>
        </w:tc>
        <w:tc>
          <w:tcPr>
            <w:tcW w:type="dxa" w:w="1560"/>
          </w:tcPr>
          <w:p>
            <w:r>
              <w:rPr>
                <w:rFonts w:ascii="Times New Roman" w:hAnsi="Times New Roman" w:eastAsia="Times New Roman"/>
                <w:b w:val="0"/>
                <w:sz w:val="22"/>
              </w:rPr>
              <w:t>PARTIAL SUCCESS</w:t>
            </w:r>
          </w:p>
        </w:tc>
      </w:tr>
      <w:tr>
        <w:tc>
          <w:tcPr>
            <w:tcW w:type="dxa" w:w="1560"/>
          </w:tcPr>
          <w:p>
            <w:r>
              <w:rPr>
                <w:rFonts w:ascii="Times New Roman" w:hAnsi="Times New Roman" w:eastAsia="Times New Roman"/>
                <w:b w:val="0"/>
                <w:sz w:val="22"/>
              </w:rPr>
              <w:t>FY2023 (19.3%, secondary)</w:t>
            </w:r>
          </w:p>
        </w:tc>
        <w:tc>
          <w:tcPr>
            <w:tcW w:type="dxa" w:w="1560"/>
          </w:tcPr>
          <w:p>
            <w:r>
              <w:rPr>
                <w:rFonts w:ascii="Times New Roman" w:hAnsi="Times New Roman" w:eastAsia="Times New Roman"/>
                <w:b w:val="0"/>
                <w:sz w:val="22"/>
              </w:rPr>
              <w:t>0.193</w:t>
            </w:r>
          </w:p>
        </w:tc>
        <w:tc>
          <w:tcPr>
            <w:tcW w:type="dxa" w:w="1560"/>
          </w:tcPr>
          <w:p>
            <w:r>
              <w:rPr>
                <w:rFonts w:ascii="Times New Roman" w:hAnsi="Times New Roman" w:eastAsia="Times New Roman"/>
                <w:b w:val="0"/>
                <w:sz w:val="22"/>
              </w:rPr>
              <w:t>0.1744</w:t>
            </w:r>
          </w:p>
        </w:tc>
        <w:tc>
          <w:tcPr>
            <w:tcW w:type="dxa" w:w="1560"/>
          </w:tcPr>
          <w:p>
            <w:r>
              <w:rPr>
                <w:rFonts w:ascii="Times New Roman" w:hAnsi="Times New Roman" w:eastAsia="Times New Roman"/>
                <w:b w:val="0"/>
                <w:sz w:val="22"/>
              </w:rPr>
              <w:t>9.65%</w:t>
            </w:r>
          </w:p>
        </w:tc>
        <w:tc>
          <w:tcPr>
            <w:tcW w:type="dxa" w:w="1560"/>
          </w:tcPr>
          <w:p>
            <w:r>
              <w:rPr>
                <w:rFonts w:ascii="Times New Roman" w:hAnsi="Times New Roman" w:eastAsia="Times New Roman"/>
                <w:b w:val="0"/>
                <w:sz w:val="22"/>
              </w:rPr>
              <w:t>[0.52, 31.52]</w:t>
            </w:r>
          </w:p>
        </w:tc>
        <w:tc>
          <w:tcPr>
            <w:tcW w:type="dxa" w:w="1560"/>
          </w:tcPr>
          <w:p>
            <w:r>
              <w:rPr>
                <w:rFonts w:ascii="Times New Roman" w:hAnsi="Times New Roman" w:eastAsia="Times New Roman"/>
                <w:b w:val="0"/>
                <w:sz w:val="22"/>
              </w:rPr>
              <w:t>Standard SUCCESS</w:t>
            </w:r>
          </w:p>
        </w:tc>
      </w:tr>
    </w:tbl>
    <w:p>
      <w:pPr>
        <w:spacing w:line="480" w:lineRule="auto" w:before="0" w:after="0"/>
      </w:pPr>
    </w:p>
    <w:p>
      <w:pPr>
        <w:spacing w:line="480" w:lineRule="auto" w:before="0" w:after="0"/>
        <w:jc w:val="left"/>
      </w:pPr>
      <w:r>
        <w:rPr>
          <w:rFonts w:ascii="Times New Roman" w:hAnsi="Times New Roman" w:eastAsia="Times New Roman"/>
          <w:b/>
          <w:sz w:val="24"/>
        </w:rPr>
        <w:t>Table 2. One-at-a-Time (OAT) Sensitivity Sweep Around the Locked v2.0 Main Configuration</w:t>
      </w:r>
    </w:p>
    <w:p>
      <w:pPr>
        <w:spacing w:line="480" w:lineRule="auto" w:before="0" w:after="0"/>
      </w:pPr>
      <w:r>
        <w:rPr>
          <w:rFonts w:ascii="Times New Roman" w:hAnsi="Times New Roman" w:eastAsia="Times New Roman"/>
          <w:sz w:val="24"/>
        </w:rPr>
        <w:t>*Note*. Each row varies the indicated parameter family while holding remaining parameters at the v2.0 main configuration. B = 2,000 percentile CIs reported on FY2016 MAPE.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Family</w:t>
            </w:r>
          </w:p>
        </w:tc>
        <w:tc>
          <w:tcPr>
            <w:tcW w:type="dxa" w:w="1872"/>
          </w:tcPr>
          <w:p>
            <w:r>
              <w:rPr>
                <w:rFonts w:ascii="Times New Roman" w:hAnsi="Times New Roman" w:eastAsia="Times New Roman"/>
                <w:b/>
                <w:sz w:val="22"/>
              </w:rPr>
              <w:t>Value</w:t>
            </w:r>
          </w:p>
        </w:tc>
        <w:tc>
          <w:tcPr>
            <w:tcW w:type="dxa" w:w="1872"/>
          </w:tcPr>
          <w:p>
            <w:r>
              <w:rPr>
                <w:rFonts w:ascii="Times New Roman" w:hAnsi="Times New Roman" w:eastAsia="Times New Roman"/>
                <w:b/>
                <w:sz w:val="22"/>
              </w:rPr>
              <w:t>MAPE</w:t>
            </w:r>
          </w:p>
        </w:tc>
        <w:tc>
          <w:tcPr>
            <w:tcW w:type="dxa" w:w="1872"/>
          </w:tcPr>
          <w:p>
            <w:r>
              <w:rPr>
                <w:rFonts w:ascii="Times New Roman" w:hAnsi="Times New Roman" w:eastAsia="Times New Roman"/>
                <w:b/>
                <w:sz w:val="22"/>
              </w:rPr>
              <w:t>95% CI</w:t>
            </w:r>
          </w:p>
        </w:tc>
        <w:tc>
          <w:tcPr>
            <w:tcW w:type="dxa" w:w="1872"/>
          </w:tcPr>
          <w:p>
            <w:r>
              <w:rPr>
                <w:rFonts w:ascii="Times New Roman" w:hAnsi="Times New Roman" w:eastAsia="Times New Roman"/>
                <w:b/>
                <w:sz w:val="22"/>
              </w:rPr>
              <w:t>Tier</w:t>
            </w:r>
          </w:p>
        </w:tc>
      </w:tr>
      <w:tr>
        <w:tc>
          <w:tcPr>
            <w:tcW w:type="dxa" w:w="1872"/>
          </w:tcPr>
          <w:p>
            <w:r>
              <w:rPr>
                <w:rFonts w:ascii="Times New Roman" w:hAnsi="Times New Roman" w:eastAsia="Times New Roman"/>
                <w:b w:val="0"/>
                <w:sz w:val="22"/>
              </w:rPr>
              <w:t>Baseline</w:t>
            </w:r>
          </w:p>
        </w:tc>
        <w:tc>
          <w:tcPr>
            <w:tcW w:type="dxa" w:w="1872"/>
          </w:tcPr>
          <w:p>
            <w:r>
              <w:rPr>
                <w:rFonts w:ascii="Times New Roman" w:hAnsi="Times New Roman" w:eastAsia="Times New Roman"/>
                <w:b w:val="0"/>
                <w:sz w:val="22"/>
              </w:rPr>
              <w:t>main_v2.0</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[31.5, 59.5]</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Binarization threshold</w:t>
            </w:r>
          </w:p>
        </w:tc>
        <w:tc>
          <w:tcPr>
            <w:tcW w:type="dxa" w:w="1872"/>
          </w:tcPr>
          <w:p>
            <w:r>
              <w:rPr>
                <w:rFonts w:ascii="Times New Roman" w:hAnsi="Times New Roman" w:eastAsia="Times New Roman"/>
                <w:b w:val="0"/>
                <w:sz w:val="22"/>
              </w:rPr>
              <w:t>mean+0.25 SD</w:t>
            </w:r>
          </w:p>
        </w:tc>
        <w:tc>
          <w:tcPr>
            <w:tcW w:type="dxa" w:w="1872"/>
          </w:tcPr>
          <w:p>
            <w:r>
              <w:rPr>
                <w:rFonts w:ascii="Times New Roman" w:hAnsi="Times New Roman" w:eastAsia="Times New Roman"/>
                <w:b w:val="0"/>
                <w:sz w:val="22"/>
              </w:rPr>
              <w:t>29.58%</w:t>
            </w:r>
          </w:p>
        </w:tc>
        <w:tc>
          <w:tcPr>
            <w:tcW w:type="dxa" w:w="1872"/>
          </w:tcPr>
          <w:p>
            <w:r>
              <w:rPr>
                <w:rFonts w:ascii="Times New Roman" w:hAnsi="Times New Roman" w:eastAsia="Times New Roman"/>
                <w:b w:val="0"/>
                <w:sz w:val="22"/>
              </w:rPr>
              <w:t>[13.7, 45.2]</w:t>
            </w:r>
          </w:p>
        </w:tc>
        <w:tc>
          <w:tcPr>
            <w:tcW w:type="dxa" w:w="1872"/>
          </w:tcPr>
          <w:p>
            <w:r>
              <w:rPr>
                <w:rFonts w:ascii="Times New Roman" w:hAnsi="Times New Roman" w:eastAsia="Times New Roman"/>
                <w:b w:val="0"/>
                <w:sz w:val="22"/>
              </w:rPr>
              <w:t>Standard SUCCESS</w:t>
            </w:r>
          </w:p>
        </w:tc>
      </w:tr>
      <w:tr>
        <w:tc>
          <w:tcPr>
            <w:tcW w:type="dxa" w:w="1872"/>
          </w:tcPr>
          <w:p>
            <w:r>
              <w:rPr>
                <w:rFonts w:ascii="Times New Roman" w:hAnsi="Times New Roman" w:eastAsia="Times New Roman"/>
                <w:b w:val="0"/>
                <w:sz w:val="22"/>
              </w:rPr>
              <w:t>Binarization threshold</w:t>
            </w:r>
          </w:p>
        </w:tc>
        <w:tc>
          <w:tcPr>
            <w:tcW w:type="dxa" w:w="1872"/>
          </w:tcPr>
          <w:p>
            <w:r>
              <w:rPr>
                <w:rFonts w:ascii="Times New Roman" w:hAnsi="Times New Roman" w:eastAsia="Times New Roman"/>
                <w:b w:val="0"/>
                <w:sz w:val="22"/>
              </w:rPr>
              <w:t>mean+0.5 SD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[30.5, 59.2]</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Binarization threshold</w:t>
            </w:r>
          </w:p>
        </w:tc>
        <w:tc>
          <w:tcPr>
            <w:tcW w:type="dxa" w:w="1872"/>
          </w:tcPr>
          <w:p>
            <w:r>
              <w:rPr>
                <w:rFonts w:ascii="Times New Roman" w:hAnsi="Times New Roman" w:eastAsia="Times New Roman"/>
                <w:b w:val="0"/>
                <w:sz w:val="22"/>
              </w:rPr>
              <w:t>mean+1.0 SD</w:t>
            </w:r>
          </w:p>
        </w:tc>
        <w:tc>
          <w:tcPr>
            <w:tcW w:type="dxa" w:w="1872"/>
          </w:tcPr>
          <w:p>
            <w:r>
              <w:rPr>
                <w:rFonts w:ascii="Times New Roman" w:hAnsi="Times New Roman" w:eastAsia="Times New Roman"/>
                <w:b w:val="0"/>
                <w:sz w:val="22"/>
              </w:rPr>
              <w:t>48.95%</w:t>
            </w:r>
          </w:p>
        </w:tc>
        <w:tc>
          <w:tcPr>
            <w:tcW w:type="dxa" w:w="1872"/>
          </w:tcPr>
          <w:p>
            <w:r>
              <w:rPr>
                <w:rFonts w:ascii="Times New Roman" w:hAnsi="Times New Roman" w:eastAsia="Times New Roman"/>
                <w:b w:val="0"/>
                <w:sz w:val="22"/>
              </w:rPr>
              <w:t>[34.0, 62.4]</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Soft-assignment τ × median NN</w:t>
            </w:r>
          </w:p>
        </w:tc>
        <w:tc>
          <w:tcPr>
            <w:tcW w:type="dxa" w:w="1872"/>
          </w:tcPr>
          <w:p>
            <w:r>
              <w:rPr>
                <w:rFonts w:ascii="Times New Roman" w:hAnsi="Times New Roman" w:eastAsia="Times New Roman"/>
                <w:b w:val="0"/>
                <w:sz w:val="22"/>
              </w:rPr>
              <w:t>0.5×</w:t>
            </w:r>
          </w:p>
        </w:tc>
        <w:tc>
          <w:tcPr>
            <w:tcW w:type="dxa" w:w="1872"/>
          </w:tcPr>
          <w:p>
            <w:r>
              <w:rPr>
                <w:rFonts w:ascii="Times New Roman" w:hAnsi="Times New Roman" w:eastAsia="Times New Roman"/>
                <w:b w:val="0"/>
                <w:sz w:val="22"/>
              </w:rPr>
              <w:t>45.04%</w:t>
            </w:r>
          </w:p>
        </w:tc>
        <w:tc>
          <w:tcPr>
            <w:tcW w:type="dxa" w:w="1872"/>
          </w:tcPr>
          <w:p>
            <w:r>
              <w:rPr>
                <w:rFonts w:ascii="Times New Roman" w:hAnsi="Times New Roman" w:eastAsia="Times New Roman"/>
                <w:b w:val="0"/>
                <w:sz w:val="22"/>
              </w:rPr>
              <w:t>[43.8, 46.3]</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Soft-assignment τ × median NN</w:t>
            </w:r>
          </w:p>
        </w:tc>
        <w:tc>
          <w:tcPr>
            <w:tcW w:type="dxa" w:w="1872"/>
          </w:tcPr>
          <w:p>
            <w:r>
              <w:rPr>
                <w:rFonts w:ascii="Times New Roman" w:hAnsi="Times New Roman" w:eastAsia="Times New Roman"/>
                <w:b w:val="0"/>
                <w:sz w:val="22"/>
              </w:rPr>
              <w:t>1.0×</w:t>
            </w:r>
          </w:p>
        </w:tc>
        <w:tc>
          <w:tcPr>
            <w:tcW w:type="dxa" w:w="1872"/>
          </w:tcPr>
          <w:p>
            <w:r>
              <w:rPr>
                <w:rFonts w:ascii="Times New Roman" w:hAnsi="Times New Roman" w:eastAsia="Times New Roman"/>
                <w:b w:val="0"/>
                <w:sz w:val="22"/>
              </w:rPr>
              <w:t>45.22%</w:t>
            </w:r>
          </w:p>
        </w:tc>
        <w:tc>
          <w:tcPr>
            <w:tcW w:type="dxa" w:w="1872"/>
          </w:tcPr>
          <w:p>
            <w:r>
              <w:rPr>
                <w:rFonts w:ascii="Times New Roman" w:hAnsi="Times New Roman" w:eastAsia="Times New Roman"/>
                <w:b w:val="0"/>
                <w:sz w:val="22"/>
              </w:rPr>
              <w:t>[43.9, 46.5]</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Soft-assignment τ × median NN</w:t>
            </w:r>
          </w:p>
        </w:tc>
        <w:tc>
          <w:tcPr>
            <w:tcW w:type="dxa" w:w="1872"/>
          </w:tcPr>
          <w:p>
            <w:r>
              <w:rPr>
                <w:rFonts w:ascii="Times New Roman" w:hAnsi="Times New Roman" w:eastAsia="Times New Roman"/>
                <w:b w:val="0"/>
                <w:sz w:val="22"/>
              </w:rPr>
              <w:t>2.0×</w:t>
            </w:r>
          </w:p>
        </w:tc>
        <w:tc>
          <w:tcPr>
            <w:tcW w:type="dxa" w:w="1872"/>
          </w:tcPr>
          <w:p>
            <w:r>
              <w:rPr>
                <w:rFonts w:ascii="Times New Roman" w:hAnsi="Times New Roman" w:eastAsia="Times New Roman"/>
                <w:b w:val="0"/>
                <w:sz w:val="22"/>
              </w:rPr>
              <w:t>45.24%</w:t>
            </w:r>
          </w:p>
        </w:tc>
        <w:tc>
          <w:tcPr>
            <w:tcW w:type="dxa" w:w="1872"/>
          </w:tcPr>
          <w:p>
            <w:r>
              <w:rPr>
                <w:rFonts w:ascii="Times New Roman" w:hAnsi="Times New Roman" w:eastAsia="Times New Roman"/>
                <w:b w:val="0"/>
                <w:sz w:val="22"/>
              </w:rPr>
              <w:t>[43.9, 46.4]</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shrinkage scale</w:t>
            </w:r>
          </w:p>
        </w:tc>
        <w:tc>
          <w:tcPr>
            <w:tcW w:type="dxa" w:w="1872"/>
          </w:tcPr>
          <w:p>
            <w:r>
              <w:rPr>
                <w:rFonts w:ascii="Times New Roman" w:hAnsi="Times New Roman" w:eastAsia="Times New Roman"/>
                <w:b w:val="0"/>
                <w:sz w:val="22"/>
              </w:rPr>
              <w:t>0.5× pseudocount</w:t>
            </w:r>
          </w:p>
        </w:tc>
        <w:tc>
          <w:tcPr>
            <w:tcW w:type="dxa" w:w="1872"/>
          </w:tcPr>
          <w:p>
            <w:r>
              <w:rPr>
                <w:rFonts w:ascii="Times New Roman" w:hAnsi="Times New Roman" w:eastAsia="Times New Roman"/>
                <w:b w:val="0"/>
                <w:sz w:val="22"/>
              </w:rPr>
              <w:t>45.90%</w:t>
            </w:r>
          </w:p>
        </w:tc>
        <w:tc>
          <w:tcPr>
            <w:tcW w:type="dxa" w:w="1872"/>
          </w:tcPr>
          <w:p>
            <w:r>
              <w:rPr>
                <w:rFonts w:ascii="Times New Roman" w:hAnsi="Times New Roman" w:eastAsia="Times New Roman"/>
                <w:b w:val="0"/>
                <w:sz w:val="22"/>
              </w:rPr>
              <w:t>[32.1, 58.7]</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shrinkage scale</w:t>
            </w:r>
          </w:p>
        </w:tc>
        <w:tc>
          <w:tcPr>
            <w:tcW w:type="dxa" w:w="1872"/>
          </w:tcPr>
          <w:p>
            <w:r>
              <w:rPr>
                <w:rFonts w:ascii="Times New Roman" w:hAnsi="Times New Roman" w:eastAsia="Times New Roman"/>
                <w:b w:val="0"/>
                <w:sz w:val="22"/>
              </w:rPr>
              <w:t>1.0×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[31.4, 59.0]</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EB shrinkage scale</w:t>
            </w:r>
          </w:p>
        </w:tc>
        <w:tc>
          <w:tcPr>
            <w:tcW w:type="dxa" w:w="1872"/>
          </w:tcPr>
          <w:p>
            <w:r>
              <w:rPr>
                <w:rFonts w:ascii="Times New Roman" w:hAnsi="Times New Roman" w:eastAsia="Times New Roman"/>
                <w:b w:val="0"/>
                <w:sz w:val="22"/>
              </w:rPr>
              <w:t>2.0× pseudocount</w:t>
            </w:r>
          </w:p>
        </w:tc>
        <w:tc>
          <w:tcPr>
            <w:tcW w:type="dxa" w:w="1872"/>
          </w:tcPr>
          <w:p>
            <w:r>
              <w:rPr>
                <w:rFonts w:ascii="Times New Roman" w:hAnsi="Times New Roman" w:eastAsia="Times New Roman"/>
                <w:b w:val="0"/>
                <w:sz w:val="22"/>
              </w:rPr>
              <w:t>45.80%</w:t>
            </w:r>
          </w:p>
        </w:tc>
        <w:tc>
          <w:tcPr>
            <w:tcW w:type="dxa" w:w="1872"/>
          </w:tcPr>
          <w:p>
            <w:r>
              <w:rPr>
                <w:rFonts w:ascii="Times New Roman" w:hAnsi="Times New Roman" w:eastAsia="Times New Roman"/>
                <w:b w:val="0"/>
                <w:sz w:val="22"/>
              </w:rPr>
              <w:t>[32.3, 58.9]</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−0.10 high−low</w:t>
            </w:r>
          </w:p>
        </w:tc>
        <w:tc>
          <w:tcPr>
            <w:tcW w:type="dxa" w:w="1872"/>
          </w:tcPr>
          <w:p>
            <w:r>
              <w:rPr>
                <w:rFonts w:ascii="Times New Roman" w:hAnsi="Times New Roman" w:eastAsia="Times New Roman"/>
                <w:b w:val="0"/>
                <w:sz w:val="22"/>
              </w:rPr>
              <w:t>56.47%</w:t>
            </w:r>
          </w:p>
        </w:tc>
        <w:tc>
          <w:tcPr>
            <w:tcW w:type="dxa" w:w="1872"/>
          </w:tcPr>
          <w:p>
            <w:r>
              <w:rPr>
                <w:rFonts w:ascii="Times New Roman" w:hAnsi="Times New Roman" w:eastAsia="Times New Roman"/>
                <w:b w:val="0"/>
                <w:sz w:val="22"/>
              </w:rPr>
              <w:t>[42.8, 68.8]</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0.0 (main)</w:t>
            </w:r>
          </w:p>
        </w:tc>
        <w:tc>
          <w:tcPr>
            <w:tcW w:type="dxa" w:w="1872"/>
          </w:tcPr>
          <w:p>
            <w:r>
              <w:rPr>
                <w:rFonts w:ascii="Times New Roman" w:hAnsi="Times New Roman" w:eastAsia="Times New Roman"/>
                <w:b w:val="0"/>
                <w:sz w:val="22"/>
              </w:rPr>
              <w:t>45.51%</w:t>
            </w:r>
          </w:p>
        </w:tc>
        <w:tc>
          <w:tcPr>
            <w:tcW w:type="dxa" w:w="1872"/>
          </w:tcPr>
          <w:p>
            <w:r>
              <w:rPr>
                <w:rFonts w:ascii="Times New Roman" w:hAnsi="Times New Roman" w:eastAsia="Times New Roman"/>
                <w:b w:val="0"/>
                <w:sz w:val="22"/>
              </w:rPr>
              <w:t>[31.4, 59.2]</w:t>
            </w:r>
          </w:p>
        </w:tc>
        <w:tc>
          <w:tcPr>
            <w:tcW w:type="dxa" w:w="1872"/>
          </w:tcPr>
          <w:p>
            <w:r>
              <w:rPr>
                <w:rFonts w:ascii="Times New Roman" w:hAnsi="Times New Roman" w:eastAsia="Times New Roman"/>
                <w:b w:val="0"/>
                <w:sz w:val="22"/>
              </w:rPr>
              <w:t>PARTIAL</w:t>
            </w:r>
          </w:p>
        </w:tc>
      </w:tr>
      <w:tr>
        <w:tc>
          <w:tcPr>
            <w:tcW w:type="dxa" w:w="1872"/>
          </w:tcPr>
          <w:p>
            <w:r>
              <w:rPr>
                <w:rFonts w:ascii="Times New Roman" w:hAnsi="Times New Roman" w:eastAsia="Times New Roman"/>
                <w:b w:val="0"/>
                <w:sz w:val="22"/>
              </w:rPr>
              <w:t>Cluster mass shift δ</w:t>
            </w:r>
          </w:p>
        </w:tc>
        <w:tc>
          <w:tcPr>
            <w:tcW w:type="dxa" w:w="1872"/>
          </w:tcPr>
          <w:p>
            <w:r>
              <w:rPr>
                <w:rFonts w:ascii="Times New Roman" w:hAnsi="Times New Roman" w:eastAsia="Times New Roman"/>
                <w:b w:val="0"/>
                <w:sz w:val="22"/>
              </w:rPr>
              <w:t>+0.10 high−low</w:t>
            </w:r>
          </w:p>
        </w:tc>
        <w:tc>
          <w:tcPr>
            <w:tcW w:type="dxa" w:w="1872"/>
          </w:tcPr>
          <w:p>
            <w:r>
              <w:rPr>
                <w:rFonts w:ascii="Times New Roman" w:hAnsi="Times New Roman" w:eastAsia="Times New Roman"/>
                <w:b w:val="0"/>
                <w:sz w:val="22"/>
              </w:rPr>
              <w:t>34.55%</w:t>
            </w:r>
          </w:p>
        </w:tc>
        <w:tc>
          <w:tcPr>
            <w:tcW w:type="dxa" w:w="1872"/>
          </w:tcPr>
          <w:p>
            <w:r>
              <w:rPr>
                <w:rFonts w:ascii="Times New Roman" w:hAnsi="Times New Roman" w:eastAsia="Times New Roman"/>
                <w:b w:val="0"/>
                <w:sz w:val="22"/>
              </w:rPr>
              <w:t>[16.6, 51.8]</w:t>
            </w:r>
          </w:p>
        </w:tc>
        <w:tc>
          <w:tcPr>
            <w:tcW w:type="dxa" w:w="1872"/>
          </w:tcPr>
          <w:p>
            <w:r>
              <w:rPr>
                <w:rFonts w:ascii="Times New Roman" w:hAnsi="Times New Roman" w:eastAsia="Times New Roman"/>
                <w:b w:val="0"/>
                <w:sz w:val="22"/>
              </w:rPr>
              <w:t>PARTIAL</w:t>
            </w:r>
          </w:p>
        </w:tc>
      </w:tr>
    </w:tbl>
    <w:p>
      <w:pPr>
        <w:spacing w:line="480" w:lineRule="auto" w:before="0" w:after="0"/>
      </w:pPr>
    </w:p>
    <w:p>
      <w:pPr>
        <w:spacing w:line="480" w:lineRule="auto" w:before="0" w:after="0"/>
        <w:jc w:val="left"/>
      </w:pPr>
      <w:r>
        <w:rPr>
          <w:rFonts w:ascii="Times New Roman" w:hAnsi="Times New Roman" w:eastAsia="Times New Roman"/>
          <w:b/>
          <w:sz w:val="24"/>
        </w:rPr>
        <w:t>Table 3. Baseline Comparison for H2 Ordinal Trend Hypothesis</w:t>
      </w:r>
    </w:p>
    <w:p>
      <w:pPr>
        <w:spacing w:line="480" w:lineRule="auto" w:before="0" w:after="0"/>
      </w:pPr>
      <w:r>
        <w:rPr>
          <w:rFonts w:ascii="Times New Roman" w:hAnsi="Times New Roman" w:eastAsia="Times New Roman"/>
          <w:sz w:val="24"/>
        </w:rPr>
        <w:t>*Note*. B0 trivially attains MAPE = 0 by construction (its prediction equals MHLW grand mean). H2 was tested via Bonferroni-Holm-corrected pairwise inequalities at one-sided α = 0.05 and Page's L (1963) ordinal trend test as auxiliary. **0 of 4 pairs were confirmed**; Page's L statistic *p* = 0.9757. H2 decision: ambiguous_or_reversed.</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2"/>
              </w:rPr>
              <w:t>Baseline</w:t>
            </w:r>
          </w:p>
        </w:tc>
        <w:tc>
          <w:tcPr>
            <w:tcW w:type="dxa" w:w="2340"/>
          </w:tcPr>
          <w:p>
            <w:r>
              <w:rPr>
                <w:rFonts w:ascii="Times New Roman" w:hAnsi="Times New Roman" w:eastAsia="Times New Roman"/>
                <w:b/>
                <w:sz w:val="22"/>
              </w:rPr>
              <w:t>Description</w:t>
            </w:r>
          </w:p>
        </w:tc>
        <w:tc>
          <w:tcPr>
            <w:tcW w:type="dxa" w:w="2340"/>
          </w:tcPr>
          <w:p>
            <w:r>
              <w:rPr>
                <w:rFonts w:ascii="Times New Roman" w:hAnsi="Times New Roman" w:eastAsia="Times New Roman"/>
                <w:b/>
                <w:sz w:val="22"/>
              </w:rPr>
              <w:t>MAPE</w:t>
            </w:r>
          </w:p>
        </w:tc>
        <w:tc>
          <w:tcPr>
            <w:tcW w:type="dxa" w:w="2340"/>
          </w:tcPr>
          <w:p>
            <w:r>
              <w:rPr>
                <w:rFonts w:ascii="Times New Roman" w:hAnsi="Times New Roman" w:eastAsia="Times New Roman"/>
                <w:b/>
                <w:sz w:val="22"/>
              </w:rPr>
              <w:t>95% CI</w:t>
            </w:r>
          </w:p>
        </w:tc>
      </w:tr>
      <w:tr>
        <w:tc>
          <w:tcPr>
            <w:tcW w:type="dxa" w:w="2340"/>
          </w:tcPr>
          <w:p>
            <w:r>
              <w:rPr>
                <w:rFonts w:ascii="Times New Roman" w:hAnsi="Times New Roman" w:eastAsia="Times New Roman"/>
                <w:b w:val="0"/>
                <w:sz w:val="22"/>
              </w:rPr>
              <w:t>B0</w:t>
            </w:r>
          </w:p>
        </w:tc>
        <w:tc>
          <w:tcPr>
            <w:tcW w:type="dxa" w:w="2340"/>
          </w:tcPr>
          <w:p>
            <w:r>
              <w:rPr>
                <w:rFonts w:ascii="Times New Roman" w:hAnsi="Times New Roman" w:eastAsia="Times New Roman"/>
                <w:b w:val="0"/>
                <w:sz w:val="22"/>
              </w:rPr>
              <w:t>Uniform = MHLW grand mean</w:t>
            </w:r>
          </w:p>
        </w:tc>
        <w:tc>
          <w:tcPr>
            <w:tcW w:type="dxa" w:w="2340"/>
          </w:tcPr>
          <w:p>
            <w:r>
              <w:rPr>
                <w:rFonts w:ascii="Times New Roman" w:hAnsi="Times New Roman" w:eastAsia="Times New Roman"/>
                <w:b w:val="0"/>
                <w:sz w:val="22"/>
              </w:rPr>
              <w:t>0.00%</w:t>
            </w:r>
          </w:p>
        </w:tc>
        <w:tc>
          <w:tcPr>
            <w:tcW w:type="dxa" w:w="2340"/>
          </w:tcPr>
          <w:p>
            <w:r>
              <w:rPr>
                <w:rFonts w:ascii="Times New Roman" w:hAnsi="Times New Roman" w:eastAsia="Times New Roman"/>
                <w:b w:val="0"/>
                <w:sz w:val="22"/>
              </w:rPr>
              <w:t>[0.00, 0.00]</w:t>
            </w:r>
          </w:p>
        </w:tc>
      </w:tr>
      <w:tr>
        <w:tc>
          <w:tcPr>
            <w:tcW w:type="dxa" w:w="2340"/>
          </w:tcPr>
          <w:p>
            <w:r>
              <w:rPr>
                <w:rFonts w:ascii="Times New Roman" w:hAnsi="Times New Roman" w:eastAsia="Times New Roman"/>
                <w:b w:val="0"/>
                <w:sz w:val="22"/>
              </w:rPr>
              <w:t>B1</w:t>
            </w:r>
          </w:p>
        </w:tc>
        <w:tc>
          <w:tcPr>
            <w:tcW w:type="dxa" w:w="2340"/>
          </w:tcPr>
          <w:p>
            <w:r>
              <w:rPr>
                <w:rFonts w:ascii="Times New Roman" w:hAnsi="Times New Roman" w:eastAsia="Times New Roman"/>
                <w:b w:val="0"/>
                <w:sz w:val="22"/>
              </w:rPr>
              <w:t>Gender-only logistic</w:t>
            </w:r>
          </w:p>
        </w:tc>
        <w:tc>
          <w:tcPr>
            <w:tcW w:type="dxa" w:w="2340"/>
          </w:tcPr>
          <w:p>
            <w:r>
              <w:rPr>
                <w:rFonts w:ascii="Times New Roman" w:hAnsi="Times New Roman" w:eastAsia="Times New Roman"/>
                <w:b w:val="0"/>
                <w:sz w:val="22"/>
              </w:rPr>
              <w:t>46.02%</w:t>
            </w:r>
          </w:p>
        </w:tc>
        <w:tc>
          <w:tcPr>
            <w:tcW w:type="dxa" w:w="2340"/>
          </w:tcPr>
          <w:p>
            <w:r>
              <w:rPr>
                <w:rFonts w:ascii="Times New Roman" w:hAnsi="Times New Roman" w:eastAsia="Times New Roman"/>
                <w:b w:val="0"/>
                <w:sz w:val="22"/>
              </w:rPr>
              <w:t>[46.02, 46.02]</w:t>
            </w:r>
          </w:p>
        </w:tc>
      </w:tr>
      <w:tr>
        <w:tc>
          <w:tcPr>
            <w:tcW w:type="dxa" w:w="2340"/>
          </w:tcPr>
          <w:p>
            <w:r>
              <w:rPr>
                <w:rFonts w:ascii="Times New Roman" w:hAnsi="Times New Roman" w:eastAsia="Times New Roman"/>
                <w:b w:val="0"/>
                <w:sz w:val="22"/>
              </w:rPr>
              <w:t>B2</w:t>
            </w:r>
          </w:p>
        </w:tc>
        <w:tc>
          <w:tcPr>
            <w:tcW w:type="dxa" w:w="2340"/>
          </w:tcPr>
          <w:p>
            <w:r>
              <w:rPr>
                <w:rFonts w:ascii="Times New Roman" w:hAnsi="Times New Roman" w:eastAsia="Times New Roman"/>
                <w:b w:val="0"/>
                <w:sz w:val="22"/>
              </w:rPr>
              <w:t>HEXACO 6-domain logistic</w:t>
            </w:r>
          </w:p>
        </w:tc>
        <w:tc>
          <w:tcPr>
            <w:tcW w:type="dxa" w:w="2340"/>
          </w:tcPr>
          <w:p>
            <w:r>
              <w:rPr>
                <w:rFonts w:ascii="Times New Roman" w:hAnsi="Times New Roman" w:eastAsia="Times New Roman"/>
                <w:b w:val="0"/>
                <w:sz w:val="22"/>
              </w:rPr>
              <w:t>43.98%</w:t>
            </w:r>
          </w:p>
        </w:tc>
        <w:tc>
          <w:tcPr>
            <w:tcW w:type="dxa" w:w="2340"/>
          </w:tcPr>
          <w:p>
            <w:r>
              <w:rPr>
                <w:rFonts w:ascii="Times New Roman" w:hAnsi="Times New Roman" w:eastAsia="Times New Roman"/>
                <w:b w:val="0"/>
                <w:sz w:val="22"/>
              </w:rPr>
              <w:t>[40.33, 47.35]</w:t>
            </w:r>
          </w:p>
        </w:tc>
      </w:tr>
      <w:tr>
        <w:tc>
          <w:tcPr>
            <w:tcW w:type="dxa" w:w="2340"/>
          </w:tcPr>
          <w:p>
            <w:r>
              <w:rPr>
                <w:rFonts w:ascii="Times New Roman" w:hAnsi="Times New Roman" w:eastAsia="Times New Roman"/>
                <w:b w:val="0"/>
                <w:sz w:val="22"/>
              </w:rPr>
              <w:t>B3</w:t>
            </w:r>
          </w:p>
        </w:tc>
        <w:tc>
          <w:tcPr>
            <w:tcW w:type="dxa" w:w="2340"/>
          </w:tcPr>
          <w:p>
            <w:r>
              <w:rPr>
                <w:rFonts w:ascii="Times New Roman" w:hAnsi="Times New Roman" w:eastAsia="Times New Roman"/>
                <w:b w:val="0"/>
                <w:sz w:val="22"/>
              </w:rPr>
              <w:t>14-cell conditional (main pipeline)</w:t>
            </w:r>
          </w:p>
        </w:tc>
        <w:tc>
          <w:tcPr>
            <w:tcW w:type="dxa" w:w="2340"/>
          </w:tcPr>
          <w:p>
            <w:r>
              <w:rPr>
                <w:rFonts w:ascii="Times New Roman" w:hAnsi="Times New Roman" w:eastAsia="Times New Roman"/>
                <w:b w:val="0"/>
                <w:sz w:val="22"/>
              </w:rPr>
              <w:t>46.34%</w:t>
            </w:r>
          </w:p>
        </w:tc>
        <w:tc>
          <w:tcPr>
            <w:tcW w:type="dxa" w:w="2340"/>
          </w:tcPr>
          <w:p>
            <w:r>
              <w:rPr>
                <w:rFonts w:ascii="Times New Roman" w:hAnsi="Times New Roman" w:eastAsia="Times New Roman"/>
                <w:b w:val="0"/>
                <w:sz w:val="22"/>
              </w:rPr>
              <w:t>[46.34, 46.34]</w:t>
            </w:r>
          </w:p>
        </w:tc>
      </w:tr>
      <w:tr>
        <w:tc>
          <w:tcPr>
            <w:tcW w:type="dxa" w:w="2340"/>
          </w:tcPr>
          <w:p>
            <w:r>
              <w:rPr>
                <w:rFonts w:ascii="Times New Roman" w:hAnsi="Times New Roman" w:eastAsia="Times New Roman"/>
                <w:b w:val="0"/>
                <w:sz w:val="22"/>
              </w:rPr>
              <w:t>B4</w:t>
            </w:r>
          </w:p>
        </w:tc>
        <w:tc>
          <w:tcPr>
            <w:tcW w:type="dxa" w:w="2340"/>
          </w:tcPr>
          <w:p>
            <w:r>
              <w:rPr>
                <w:rFonts w:ascii="Times New Roman" w:hAnsi="Times New Roman" w:eastAsia="Times New Roman"/>
                <w:b w:val="0"/>
                <w:sz w:val="22"/>
              </w:rPr>
              <w:t>Extended (age + age × cluster)</w:t>
            </w:r>
          </w:p>
        </w:tc>
        <w:tc>
          <w:tcPr>
            <w:tcW w:type="dxa" w:w="2340"/>
          </w:tcPr>
          <w:p>
            <w:r>
              <w:rPr>
                <w:rFonts w:ascii="Times New Roman" w:hAnsi="Times New Roman" w:eastAsia="Times New Roman"/>
                <w:b w:val="0"/>
                <w:sz w:val="22"/>
              </w:rPr>
              <w:t>47.04%</w:t>
            </w:r>
          </w:p>
        </w:tc>
        <w:tc>
          <w:tcPr>
            <w:tcW w:type="dxa" w:w="2340"/>
          </w:tcPr>
          <w:p>
            <w:r>
              <w:rPr>
                <w:rFonts w:ascii="Times New Roman" w:hAnsi="Times New Roman" w:eastAsia="Times New Roman"/>
                <w:b w:val="0"/>
                <w:sz w:val="22"/>
              </w:rPr>
              <w:t>[45.02, 49.05]</w:t>
            </w:r>
          </w:p>
        </w:tc>
      </w:tr>
    </w:tbl>
    <w:p>
      <w:pPr>
        <w:spacing w:line="480" w:lineRule="auto" w:before="0" w:after="0"/>
      </w:pPr>
    </w:p>
    <w:p>
      <w:pPr>
        <w:spacing w:line="480" w:lineRule="auto" w:before="0" w:after="0"/>
        <w:jc w:val="left"/>
      </w:pPr>
      <w:r>
        <w:rPr>
          <w:rFonts w:ascii="Times New Roman" w:hAnsi="Times New Roman" w:eastAsia="Times New Roman"/>
          <w:b/>
          <w:sz w:val="24"/>
        </w:rPr>
        <w:t>Table 4. Counterfactual ΔP_x Estimates and H7 Intersection-Union Test</w:t>
      </w:r>
    </w:p>
    <w:p>
      <w:pPr>
        <w:spacing w:line="480" w:lineRule="auto" w:before="0" w:after="0"/>
      </w:pPr>
      <w:r>
        <w:rPr>
          <w:rFonts w:ascii="Times New Roman" w:hAnsi="Times New Roman" w:eastAsia="Times New Roman"/>
          <w:sz w:val="24"/>
        </w:rPr>
        <w:t>*Note*. Counterfactual operationalization per pre-registered v2.0 Section 5.7. Positive ΔP indicates *reduction* in prevalence (sign convention). Bootstrap CIs use B = 2,000 cell-stratified resamples. The H7 IUT (Berger &amp; Hsu, 1996) computes one-sided 95% lower bounds L_BA and L_BC. Classification follows the m7 priority cascade implemented in `code/stage7_counterfactual.py:h7_iut`: REVERSAL (priority 1) is triggered when point ΔP_B &lt; ΔP_A OR point ΔP_B &lt; ΔP_C; CONFIRMED requires L_BA &gt; 0 AND L_BC &gt; 0; PARTIAL requires exactly one of L_BA, L_BC &gt; 0; AMBIGUOUS otherwise.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Intervention</w:t>
            </w:r>
          </w:p>
        </w:tc>
        <w:tc>
          <w:tcPr>
            <w:tcW w:type="dxa" w:w="1872"/>
          </w:tcPr>
          <w:p>
            <w:r>
              <w:rPr>
                <w:rFonts w:ascii="Times New Roman" w:hAnsi="Times New Roman" w:eastAsia="Times New Roman"/>
                <w:b/>
                <w:sz w:val="22"/>
              </w:rPr>
              <w:t>Operationalization</w:t>
            </w:r>
          </w:p>
        </w:tc>
        <w:tc>
          <w:tcPr>
            <w:tcW w:type="dxa" w:w="1872"/>
          </w:tcPr>
          <w:p>
            <w:r>
              <w:rPr>
                <w:rFonts w:ascii="Times New Roman" w:hAnsi="Times New Roman" w:eastAsia="Times New Roman"/>
                <w:b/>
                <w:sz w:val="22"/>
              </w:rPr>
              <w:t>ΔP point</w:t>
            </w:r>
          </w:p>
        </w:tc>
        <w:tc>
          <w:tcPr>
            <w:tcW w:type="dxa" w:w="1872"/>
          </w:tcPr>
          <w:p>
            <w:r>
              <w:rPr>
                <w:rFonts w:ascii="Times New Roman" w:hAnsi="Times New Roman" w:eastAsia="Times New Roman"/>
                <w:b/>
                <w:sz w:val="22"/>
              </w:rPr>
              <w:t>95% CI</w:t>
            </w:r>
          </w:p>
        </w:tc>
        <w:tc>
          <w:tcPr>
            <w:tcW w:type="dxa" w:w="1872"/>
          </w:tcPr>
          <w:p>
            <w:r>
              <w:rPr>
                <w:rFonts w:ascii="Times New Roman" w:hAnsi="Times New Roman" w:eastAsia="Times New Roman"/>
                <w:b/>
                <w:sz w:val="22"/>
              </w:rPr>
              <w:t>CI excludes 0?</w:t>
            </w:r>
          </w:p>
        </w:tc>
      </w:tr>
      <w:tr>
        <w:tc>
          <w:tcPr>
            <w:tcW w:type="dxa" w:w="1872"/>
          </w:tcPr>
          <w:p>
            <w:r>
              <w:rPr>
                <w:rFonts w:ascii="Times New Roman" w:hAnsi="Times New Roman" w:eastAsia="Times New Roman"/>
                <w:b w:val="0"/>
                <w:sz w:val="22"/>
              </w:rPr>
              <w:t>A (personality)</w:t>
            </w:r>
          </w:p>
        </w:tc>
        <w:tc>
          <w:tcPr>
            <w:tcW w:type="dxa" w:w="1872"/>
          </w:tcPr>
          <w:p>
            <w:r>
              <w:rPr>
                <w:rFonts w:ascii="Times New Roman" w:hAnsi="Times New Roman" w:eastAsia="Times New Roman"/>
                <w:b w:val="0"/>
                <w:sz w:val="22"/>
              </w:rPr>
              <w:t>do(HH ← +0.3σ; A ← +0.3σ; E ← +0.3σ)</w:t>
            </w:r>
          </w:p>
        </w:tc>
        <w:tc>
          <w:tcPr>
            <w:tcW w:type="dxa" w:w="1872"/>
          </w:tcPr>
          <w:p>
            <w:r>
              <w:rPr>
                <w:rFonts w:ascii="Times New Roman" w:hAnsi="Times New Roman" w:eastAsia="Times New Roman"/>
                <w:b w:val="0"/>
                <w:sz w:val="22"/>
              </w:rPr>
              <w:t>−0.0061</w:t>
            </w:r>
          </w:p>
        </w:tc>
        <w:tc>
          <w:tcPr>
            <w:tcW w:type="dxa" w:w="1872"/>
          </w:tcPr>
          <w:p>
            <w:r>
              <w:rPr>
                <w:rFonts w:ascii="Times New Roman" w:hAnsi="Times New Roman" w:eastAsia="Times New Roman"/>
                <w:b w:val="0"/>
                <w:sz w:val="22"/>
              </w:rPr>
              <w:t>[−0.0207, +0.0062]</w:t>
            </w:r>
          </w:p>
        </w:tc>
        <w:tc>
          <w:tcPr>
            <w:tcW w:type="dxa" w:w="1872"/>
          </w:tcPr>
          <w:p>
            <w:r>
              <w:rPr>
                <w:rFonts w:ascii="Times New Roman" w:hAnsi="Times New Roman" w:eastAsia="Times New Roman"/>
                <w:b w:val="0"/>
                <w:sz w:val="22"/>
              </w:rPr>
              <w:t>No (null)</w:t>
            </w:r>
          </w:p>
        </w:tc>
      </w:tr>
      <w:tr>
        <w:tc>
          <w:tcPr>
            <w:tcW w:type="dxa" w:w="1872"/>
          </w:tcPr>
          <w:p>
            <w:r>
              <w:rPr>
                <w:rFonts w:ascii="Times New Roman" w:hAnsi="Times New Roman" w:eastAsia="Times New Roman"/>
                <w:b w:val="0"/>
                <w:sz w:val="22"/>
              </w:rPr>
              <w:t>B (targeted HH+ on low-prev clusters)</w:t>
            </w:r>
          </w:p>
        </w:tc>
        <w:tc>
          <w:tcPr>
            <w:tcW w:type="dxa" w:w="1872"/>
          </w:tcPr>
          <w:p>
            <w:r>
              <w:rPr>
                <w:rFonts w:ascii="Times New Roman" w:hAnsi="Times New Roman" w:eastAsia="Times New Roman"/>
                <w:b w:val="0"/>
                <w:sz w:val="22"/>
              </w:rPr>
              <w:t>do(HH := HH + 0.40σ_HH) for individuals whose baseline cluster ∈ {0, 4, 6}</w:t>
            </w:r>
          </w:p>
        </w:tc>
        <w:tc>
          <w:tcPr>
            <w:tcW w:type="dxa" w:w="1872"/>
          </w:tcPr>
          <w:p>
            <w:r>
              <w:rPr>
                <w:rFonts w:ascii="Times New Roman" w:hAnsi="Times New Roman" w:eastAsia="Times New Roman"/>
                <w:b w:val="0"/>
                <w:sz w:val="22"/>
              </w:rPr>
              <w:t>−0.0059</w:t>
            </w:r>
          </w:p>
        </w:tc>
        <w:tc>
          <w:tcPr>
            <w:tcW w:type="dxa" w:w="1872"/>
          </w:tcPr>
          <w:p>
            <w:r>
              <w:rPr>
                <w:rFonts w:ascii="Times New Roman" w:hAnsi="Times New Roman" w:eastAsia="Times New Roman"/>
                <w:b w:val="0"/>
                <w:sz w:val="22"/>
              </w:rPr>
              <w:t>[−0.0207, +0.0066]</w:t>
            </w:r>
          </w:p>
        </w:tc>
        <w:tc>
          <w:tcPr>
            <w:tcW w:type="dxa" w:w="1872"/>
          </w:tcPr>
          <w:p>
            <w:r>
              <w:rPr>
                <w:rFonts w:ascii="Times New Roman" w:hAnsi="Times New Roman" w:eastAsia="Times New Roman"/>
                <w:b w:val="0"/>
                <w:sz w:val="22"/>
              </w:rPr>
              <w:t>No (null)</w:t>
            </w:r>
          </w:p>
        </w:tc>
      </w:tr>
      <w:tr>
        <w:tc>
          <w:tcPr>
            <w:tcW w:type="dxa" w:w="1872"/>
          </w:tcPr>
          <w:p>
            <w:r>
              <w:rPr>
                <w:rFonts w:ascii="Times New Roman" w:hAnsi="Times New Roman" w:eastAsia="Times New Roman"/>
                <w:b w:val="0"/>
                <w:sz w:val="22"/>
              </w:rPr>
              <w:t>C (structural)</w:t>
            </w:r>
          </w:p>
        </w:tc>
        <w:tc>
          <w:tcPr>
            <w:tcW w:type="dxa" w:w="1872"/>
          </w:tcPr>
          <w:p>
            <w:r>
              <w:rPr>
                <w:rFonts w:ascii="Times New Roman" w:hAnsi="Times New Roman" w:eastAsia="Times New Roman"/>
                <w:b w:val="0"/>
                <w:sz w:val="22"/>
              </w:rPr>
              <w:t>do(P_{c, x} ← 0.80 × P_{c, x})</w:t>
            </w:r>
          </w:p>
        </w:tc>
        <w:tc>
          <w:tcPr>
            <w:tcW w:type="dxa" w:w="1872"/>
          </w:tcPr>
          <w:p>
            <w:r>
              <w:rPr>
                <w:rFonts w:ascii="Times New Roman" w:hAnsi="Times New Roman" w:eastAsia="Times New Roman"/>
                <w:b w:val="0"/>
                <w:sz w:val="22"/>
              </w:rPr>
              <w:t>+0.0349</w:t>
            </w:r>
          </w:p>
        </w:tc>
        <w:tc>
          <w:tcPr>
            <w:tcW w:type="dxa" w:w="1872"/>
          </w:tcPr>
          <w:p>
            <w:r>
              <w:rPr>
                <w:rFonts w:ascii="Times New Roman" w:hAnsi="Times New Roman" w:eastAsia="Times New Roman"/>
                <w:b w:val="0"/>
                <w:sz w:val="22"/>
              </w:rPr>
              <w:t>[+0.0264, +0.0435]</w:t>
            </w:r>
          </w:p>
        </w:tc>
        <w:tc>
          <w:tcPr>
            <w:tcW w:type="dxa" w:w="1872"/>
          </w:tcPr>
          <w:p>
            <w:r>
              <w:rPr>
                <w:rFonts w:ascii="Times New Roman" w:hAnsi="Times New Roman" w:eastAsia="Times New Roman"/>
                <w:b w:val="0"/>
                <w:sz w:val="22"/>
              </w:rPr>
              <w:t>Yes</w:t>
            </w:r>
          </w:p>
        </w:tc>
      </w:tr>
    </w:tbl>
    <w:p>
      <w:pPr>
        <w:spacing w:line="480" w:lineRule="auto" w:before="0" w:after="0"/>
      </w:pPr>
    </w:p>
    <w:p>
      <w:pPr>
        <w:spacing w:line="480" w:lineRule="auto" w:before="0" w:after="0"/>
      </w:pPr>
      <w:r>
        <w:rPr>
          <w:rFonts w:ascii="Times New Roman" w:hAnsi="Times New Roman" w:eastAsia="Times New Roman"/>
          <w:sz w:val="24"/>
        </w:rPr>
        <w:t>**H7 IUT:** L_BA = −0.0011, L_BC = −0.0544; point ΔP_B &lt; point ΔP_C triggers m7 priority-1 → **REVERSAL**</w:t>
      </w:r>
    </w:p>
    <w:p>
      <w:pPr>
        <w:spacing w:line="480" w:lineRule="auto" w:before="0" w:after="0"/>
      </w:pPr>
      <w:r>
        <w:rPr>
          <w:rFonts w:ascii="Times New Roman" w:hAnsi="Times New Roman" w:eastAsia="Times New Roman"/>
          <w:sz w:val="24"/>
        </w:rPr>
        <w:t>**Positivity diagnostic (Methods Clarification m5):** Counterfactual A and C trivially preserve positivity. Counterfactual B's flagged-weight share = 44.5%; m5 downgrade rule triggered. We interpret B's null finding as exploratory rather than confirmatory.</w:t>
      </w:r>
    </w:p>
    <w:p>
      <w:pPr>
        <w:spacing w:line="480" w:lineRule="auto" w:before="0" w:after="0"/>
        <w:jc w:val="left"/>
      </w:pPr>
      <w:r>
        <w:rPr>
          <w:rFonts w:ascii="Times New Roman" w:hAnsi="Times New Roman" w:eastAsia="Times New Roman"/>
          <w:b/>
          <w:sz w:val="24"/>
        </w:rPr>
        <w:t>Table 5. Transportability Sensitivity (H7 Re-classification Across Cultural Attenuation Factors)</w:t>
      </w:r>
    </w:p>
    <w:p>
      <w:pPr>
        <w:spacing w:line="480" w:lineRule="auto" w:before="0" w:after="0"/>
      </w:pPr>
      <w:r>
        <w:rPr>
          <w:rFonts w:ascii="Times New Roman" w:hAnsi="Times New Roman" w:eastAsia="Times New Roman"/>
          <w:sz w:val="24"/>
        </w:rPr>
        <w:t>*Note*. Each row applies factor F multiplicatively to the bootstrap distribution of all three ΔP_x; H7 IUT is re-classified per attenuated factor.</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eastAsia="Times New Roman"/>
                <w:b/>
                <w:sz w:val="22"/>
              </w:rPr>
              <w:t>Factor F</w:t>
            </w:r>
          </w:p>
        </w:tc>
        <w:tc>
          <w:tcPr>
            <w:tcW w:type="dxa" w:w="1872"/>
          </w:tcPr>
          <w:p>
            <w:r>
              <w:rPr>
                <w:rFonts w:ascii="Times New Roman" w:hAnsi="Times New Roman" w:eastAsia="Times New Roman"/>
                <w:b/>
                <w:sz w:val="22"/>
              </w:rPr>
              <w:t>Anchor</w:t>
            </w:r>
          </w:p>
        </w:tc>
        <w:tc>
          <w:tcPr>
            <w:tcW w:type="dxa" w:w="1872"/>
          </w:tcPr>
          <w:p>
            <w:r>
              <w:rPr>
                <w:rFonts w:ascii="Times New Roman" w:hAnsi="Times New Roman" w:eastAsia="Times New Roman"/>
                <w:b/>
                <w:sz w:val="22"/>
              </w:rPr>
              <w:t>ΔP_A (att)</w:t>
            </w:r>
          </w:p>
        </w:tc>
        <w:tc>
          <w:tcPr>
            <w:tcW w:type="dxa" w:w="1872"/>
          </w:tcPr>
          <w:p>
            <w:r>
              <w:rPr>
                <w:rFonts w:ascii="Times New Roman" w:hAnsi="Times New Roman" w:eastAsia="Times New Roman"/>
                <w:b/>
                <w:sz w:val="22"/>
              </w:rPr>
              <w:t>ΔP_C (att)</w:t>
            </w:r>
          </w:p>
        </w:tc>
        <w:tc>
          <w:tcPr>
            <w:tcW w:type="dxa" w:w="1872"/>
          </w:tcPr>
          <w:p>
            <w:r>
              <w:rPr>
                <w:rFonts w:ascii="Times New Roman" w:hAnsi="Times New Roman" w:eastAsia="Times New Roman"/>
                <w:b/>
                <w:sz w:val="22"/>
              </w:rPr>
              <w:t>H7</w:t>
            </w:r>
          </w:p>
        </w:tc>
      </w:tr>
      <w:tr>
        <w:tc>
          <w:tcPr>
            <w:tcW w:type="dxa" w:w="1872"/>
          </w:tcPr>
          <w:p>
            <w:r>
              <w:rPr>
                <w:rFonts w:ascii="Times New Roman" w:hAnsi="Times New Roman" w:eastAsia="Times New Roman"/>
                <w:b w:val="0"/>
                <w:sz w:val="22"/>
              </w:rPr>
              <w:t>0.3</w:t>
            </w:r>
          </w:p>
        </w:tc>
        <w:tc>
          <w:tcPr>
            <w:tcW w:type="dxa" w:w="1872"/>
          </w:tcPr>
          <w:p>
            <w:r>
              <w:rPr>
                <w:rFonts w:ascii="Times New Roman" w:hAnsi="Times New Roman" w:eastAsia="Times New Roman"/>
                <w:b w:val="0"/>
                <w:sz w:val="22"/>
              </w:rPr>
              <w:t>Conservative cross-cultural worst case</w:t>
            </w:r>
          </w:p>
        </w:tc>
        <w:tc>
          <w:tcPr>
            <w:tcW w:type="dxa" w:w="1872"/>
          </w:tcPr>
          <w:p>
            <w:r>
              <w:rPr>
                <w:rFonts w:ascii="Times New Roman" w:hAnsi="Times New Roman" w:eastAsia="Times New Roman"/>
                <w:b w:val="0"/>
                <w:sz w:val="22"/>
              </w:rPr>
              <w:t>−0.0018</w:t>
            </w:r>
          </w:p>
        </w:tc>
        <w:tc>
          <w:tcPr>
            <w:tcW w:type="dxa" w:w="1872"/>
          </w:tcPr>
          <w:p>
            <w:r>
              <w:rPr>
                <w:rFonts w:ascii="Times New Roman" w:hAnsi="Times New Roman" w:eastAsia="Times New Roman"/>
                <w:b w:val="0"/>
                <w:sz w:val="22"/>
              </w:rPr>
              <w:t>+0.0105</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0.5</w:t>
            </w:r>
          </w:p>
        </w:tc>
        <w:tc>
          <w:tcPr>
            <w:tcW w:type="dxa" w:w="1872"/>
          </w:tcPr>
          <w:p>
            <w:r>
              <w:rPr>
                <w:rFonts w:ascii="Times New Roman" w:hAnsi="Times New Roman" w:eastAsia="Times New Roman"/>
                <w:b w:val="0"/>
                <w:sz w:val="22"/>
              </w:rPr>
              <w:t>Nielsen et al., 2017 expected</w:t>
            </w:r>
          </w:p>
        </w:tc>
        <w:tc>
          <w:tcPr>
            <w:tcW w:type="dxa" w:w="1872"/>
          </w:tcPr>
          <w:p>
            <w:r>
              <w:rPr>
                <w:rFonts w:ascii="Times New Roman" w:hAnsi="Times New Roman" w:eastAsia="Times New Roman"/>
                <w:b w:val="0"/>
                <w:sz w:val="22"/>
              </w:rPr>
              <w:t>−0.0031</w:t>
            </w:r>
          </w:p>
        </w:tc>
        <w:tc>
          <w:tcPr>
            <w:tcW w:type="dxa" w:w="1872"/>
          </w:tcPr>
          <w:p>
            <w:r>
              <w:rPr>
                <w:rFonts w:ascii="Times New Roman" w:hAnsi="Times New Roman" w:eastAsia="Times New Roman"/>
                <w:b w:val="0"/>
                <w:sz w:val="22"/>
              </w:rPr>
              <w:t>+0.0174</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0.7</w:t>
            </w:r>
          </w:p>
        </w:tc>
        <w:tc>
          <w:tcPr>
            <w:tcW w:type="dxa" w:w="1872"/>
          </w:tcPr>
          <w:p>
            <w:r>
              <w:rPr>
                <w:rFonts w:ascii="Times New Roman" w:hAnsi="Times New Roman" w:eastAsia="Times New Roman"/>
                <w:b w:val="0"/>
                <w:sz w:val="22"/>
              </w:rPr>
              <w:t>Mild attenuation</w:t>
            </w:r>
          </w:p>
        </w:tc>
        <w:tc>
          <w:tcPr>
            <w:tcW w:type="dxa" w:w="1872"/>
          </w:tcPr>
          <w:p>
            <w:r>
              <w:rPr>
                <w:rFonts w:ascii="Times New Roman" w:hAnsi="Times New Roman" w:eastAsia="Times New Roman"/>
                <w:b w:val="0"/>
                <w:sz w:val="22"/>
              </w:rPr>
              <w:t>−0.0043</w:t>
            </w:r>
          </w:p>
        </w:tc>
        <w:tc>
          <w:tcPr>
            <w:tcW w:type="dxa" w:w="1872"/>
          </w:tcPr>
          <w:p>
            <w:r>
              <w:rPr>
                <w:rFonts w:ascii="Times New Roman" w:hAnsi="Times New Roman" w:eastAsia="Times New Roman"/>
                <w:b w:val="0"/>
                <w:sz w:val="22"/>
              </w:rPr>
              <w:t>+0.0244</w:t>
            </w:r>
          </w:p>
        </w:tc>
        <w:tc>
          <w:tcPr>
            <w:tcW w:type="dxa" w:w="1872"/>
          </w:tcPr>
          <w:p>
            <w:r>
              <w:rPr>
                <w:rFonts w:ascii="Times New Roman" w:hAnsi="Times New Roman" w:eastAsia="Times New Roman"/>
                <w:b w:val="0"/>
                <w:sz w:val="22"/>
              </w:rPr>
              <w:t>REVERSAL</w:t>
            </w:r>
          </w:p>
        </w:tc>
      </w:tr>
      <w:tr>
        <w:tc>
          <w:tcPr>
            <w:tcW w:type="dxa" w:w="1872"/>
          </w:tcPr>
          <w:p>
            <w:r>
              <w:rPr>
                <w:rFonts w:ascii="Times New Roman" w:hAnsi="Times New Roman" w:eastAsia="Times New Roman"/>
                <w:b w:val="0"/>
                <w:sz w:val="22"/>
              </w:rPr>
              <w:t>1.0</w:t>
            </w:r>
          </w:p>
        </w:tc>
        <w:tc>
          <w:tcPr>
            <w:tcW w:type="dxa" w:w="1872"/>
          </w:tcPr>
          <w:p>
            <w:r>
              <w:rPr>
                <w:rFonts w:ascii="Times New Roman" w:hAnsi="Times New Roman" w:eastAsia="Times New Roman"/>
                <w:b w:val="0"/>
                <w:sz w:val="22"/>
              </w:rPr>
              <w:t>Reference (no attenuation)</w:t>
            </w:r>
          </w:p>
        </w:tc>
        <w:tc>
          <w:tcPr>
            <w:tcW w:type="dxa" w:w="1872"/>
          </w:tcPr>
          <w:p>
            <w:r>
              <w:rPr>
                <w:rFonts w:ascii="Times New Roman" w:hAnsi="Times New Roman" w:eastAsia="Times New Roman"/>
                <w:b w:val="0"/>
                <w:sz w:val="22"/>
              </w:rPr>
              <w:t>−0.0061</w:t>
            </w:r>
          </w:p>
        </w:tc>
        <w:tc>
          <w:tcPr>
            <w:tcW w:type="dxa" w:w="1872"/>
          </w:tcPr>
          <w:p>
            <w:r>
              <w:rPr>
                <w:rFonts w:ascii="Times New Roman" w:hAnsi="Times New Roman" w:eastAsia="Times New Roman"/>
                <w:b w:val="0"/>
                <w:sz w:val="22"/>
              </w:rPr>
              <w:t>+0.0349</w:t>
            </w:r>
          </w:p>
        </w:tc>
        <w:tc>
          <w:tcPr>
            <w:tcW w:type="dxa" w:w="1872"/>
          </w:tcPr>
          <w:p>
            <w:r>
              <w:rPr>
                <w:rFonts w:ascii="Times New Roman" w:hAnsi="Times New Roman" w:eastAsia="Times New Roman"/>
                <w:b w:val="0"/>
                <w:sz w:val="22"/>
              </w:rPr>
              <w:t>REVERSAL</w:t>
            </w:r>
          </w:p>
        </w:tc>
      </w:tr>
    </w:tbl>
    <w:p>
      <w:pPr>
        <w:spacing w:line="480" w:lineRule="auto" w:before="0" w:after="0"/>
      </w:pPr>
    </w:p>
    <w:p>
      <w:pPr>
        <w:spacing w:line="480" w:lineRule="auto" w:before="0" w:after="0"/>
        <w:jc w:val="left"/>
      </w:pPr>
      <w:r>
        <w:rPr>
          <w:rFonts w:ascii="Times New Roman" w:hAnsi="Times New Roman" w:eastAsia="Times New Roman"/>
          <w:b/>
          <w:sz w:val="24"/>
        </w:rPr>
        <w:t>Table 6. Pre-Registered Hypothesis Outcomes Summary</w:t>
      </w:r>
    </w:p>
    <w:p>
      <w:pPr>
        <w:spacing w:line="480" w:lineRule="auto" w:before="0" w:after="0"/>
      </w:pPr>
      <w:r>
        <w:rPr>
          <w:rFonts w:ascii="Times New Roman" w:hAnsi="Times New Roman" w:eastAsia="Times New Roman"/>
          <w:sz w:val="24"/>
        </w:rPr>
        <w:t>*Note*. Hypothesis classification per v2.0 pre-registration master Section 5.4 (H1) and Section 5.7 (H7).</w:t>
      </w:r>
    </w:p>
    <w:tbl>
      <w:tblPr>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eastAsia="Times New Roman"/>
                <w:b/>
                <w:sz w:val="22"/>
              </w:rPr>
              <w:t>Hypothesis</w:t>
            </w:r>
          </w:p>
        </w:tc>
        <w:tc>
          <w:tcPr>
            <w:tcW w:type="dxa" w:w="2340"/>
          </w:tcPr>
          <w:p>
            <w:r>
              <w:rPr>
                <w:rFonts w:ascii="Times New Roman" w:hAnsi="Times New Roman" w:eastAsia="Times New Roman"/>
                <w:b/>
                <w:sz w:val="22"/>
              </w:rPr>
              <w:t>Pre-registered prediction</w:t>
            </w:r>
          </w:p>
        </w:tc>
        <w:tc>
          <w:tcPr>
            <w:tcW w:type="dxa" w:w="2340"/>
          </w:tcPr>
          <w:p>
            <w:r>
              <w:rPr>
                <w:rFonts w:ascii="Times New Roman" w:hAnsi="Times New Roman" w:eastAsia="Times New Roman"/>
                <w:b/>
                <w:sz w:val="22"/>
              </w:rPr>
              <w:t>Outcome</w:t>
            </w:r>
          </w:p>
        </w:tc>
        <w:tc>
          <w:tcPr>
            <w:tcW w:type="dxa" w:w="2340"/>
          </w:tcPr>
          <w:p>
            <w:r>
              <w:rPr>
                <w:rFonts w:ascii="Times New Roman" w:hAnsi="Times New Roman" w:eastAsia="Times New Roman"/>
                <w:b/>
                <w:sz w:val="22"/>
              </w:rPr>
              <w:t>Tier</w:t>
            </w:r>
          </w:p>
        </w:tc>
      </w:tr>
      <w:tr>
        <w:tc>
          <w:tcPr>
            <w:tcW w:type="dxa" w:w="2340"/>
          </w:tcPr>
          <w:p>
            <w:r>
              <w:rPr>
                <w:rFonts w:ascii="Times New Roman" w:hAnsi="Times New Roman" w:eastAsia="Times New Roman"/>
                <w:b w:val="0"/>
                <w:sz w:val="22"/>
              </w:rPr>
              <w:t>H1</w:t>
            </w:r>
          </w:p>
        </w:tc>
        <w:tc>
          <w:tcPr>
            <w:tcW w:type="dxa" w:w="2340"/>
          </w:tcPr>
          <w:p>
            <w:r>
              <w:rPr>
                <w:rFonts w:ascii="Times New Roman" w:hAnsi="Times New Roman" w:eastAsia="Times New Roman"/>
                <w:b w:val="0"/>
                <w:sz w:val="22"/>
              </w:rPr>
              <w:t>MAPE_FY2016 ≤ 30% (Strict / Standard SUCCESS)</w:t>
            </w:r>
          </w:p>
        </w:tc>
        <w:tc>
          <w:tcPr>
            <w:tcW w:type="dxa" w:w="2340"/>
          </w:tcPr>
          <w:p>
            <w:r>
              <w:rPr>
                <w:rFonts w:ascii="Times New Roman" w:hAnsi="Times New Roman" w:eastAsia="Times New Roman"/>
                <w:b w:val="0"/>
                <w:sz w:val="22"/>
              </w:rPr>
              <w:t>MAPE = 46.34%</w:t>
            </w:r>
          </w:p>
        </w:tc>
        <w:tc>
          <w:tcPr>
            <w:tcW w:type="dxa" w:w="2340"/>
          </w:tcPr>
          <w:p>
            <w:r>
              <w:rPr>
                <w:rFonts w:ascii="Times New Roman" w:hAnsi="Times New Roman" w:eastAsia="Times New Roman"/>
                <w:b w:val="0"/>
                <w:sz w:val="22"/>
              </w:rPr>
              <w:t>PARTIAL SUCCESS</w:t>
            </w:r>
          </w:p>
        </w:tc>
      </w:tr>
      <w:tr>
        <w:tc>
          <w:tcPr>
            <w:tcW w:type="dxa" w:w="2340"/>
          </w:tcPr>
          <w:p>
            <w:r>
              <w:rPr>
                <w:rFonts w:ascii="Times New Roman" w:hAnsi="Times New Roman" w:eastAsia="Times New Roman"/>
                <w:b w:val="0"/>
                <w:sz w:val="22"/>
              </w:rPr>
              <w:t>H2</w:t>
            </w:r>
          </w:p>
        </w:tc>
        <w:tc>
          <w:tcPr>
            <w:tcW w:type="dxa" w:w="2340"/>
          </w:tcPr>
          <w:p>
            <w:r>
              <w:rPr>
                <w:rFonts w:ascii="Times New Roman" w:hAnsi="Times New Roman" w:eastAsia="Times New Roman"/>
                <w:b w:val="0"/>
                <w:sz w:val="22"/>
              </w:rPr>
              <w:t>Monotonic B0 &gt; B1 &gt; B2 &gt; B3 &gt; B4</w:t>
            </w:r>
          </w:p>
        </w:tc>
        <w:tc>
          <w:tcPr>
            <w:tcW w:type="dxa" w:w="2340"/>
          </w:tcPr>
          <w:p>
            <w:r>
              <w:rPr>
                <w:rFonts w:ascii="Times New Roman" w:hAnsi="Times New Roman" w:eastAsia="Times New Roman"/>
                <w:b w:val="0"/>
                <w:sz w:val="22"/>
              </w:rPr>
              <w:t>0 of 4 pairs confirmed</w:t>
            </w:r>
          </w:p>
        </w:tc>
        <w:tc>
          <w:tcPr>
            <w:tcW w:type="dxa" w:w="2340"/>
          </w:tcPr>
          <w:p>
            <w:r>
              <w:rPr>
                <w:rFonts w:ascii="Times New Roman" w:hAnsi="Times New Roman" w:eastAsia="Times New Roman"/>
                <w:b w:val="0"/>
                <w:sz w:val="22"/>
              </w:rPr>
              <w:t>REJECTED</w:t>
            </w:r>
          </w:p>
        </w:tc>
      </w:tr>
      <w:tr>
        <w:tc>
          <w:tcPr>
            <w:tcW w:type="dxa" w:w="2340"/>
          </w:tcPr>
          <w:p>
            <w:r>
              <w:rPr>
                <w:rFonts w:ascii="Times New Roman" w:hAnsi="Times New Roman" w:eastAsia="Times New Roman"/>
                <w:b w:val="0"/>
                <w:sz w:val="22"/>
              </w:rPr>
              <w:t>H3</w:t>
            </w:r>
          </w:p>
        </w:tc>
        <w:tc>
          <w:tcPr>
            <w:tcW w:type="dxa" w:w="2340"/>
          </w:tcPr>
          <w:p>
            <w:r>
              <w:rPr>
                <w:rFonts w:ascii="Times New Roman" w:hAnsi="Times New Roman" w:eastAsia="Times New Roman"/>
                <w:b w:val="0"/>
                <w:sz w:val="22"/>
              </w:rPr>
              <w:t>Centroid concordance N=354 vs N=13,668</w:t>
            </w:r>
          </w:p>
        </w:tc>
        <w:tc>
          <w:tcPr>
            <w:tcW w:type="dxa" w:w="2340"/>
          </w:tcPr>
          <w:p>
            <w:r>
              <w:rPr>
                <w:rFonts w:ascii="Times New Roman" w:hAnsi="Times New Roman" w:eastAsia="Times New Roman"/>
                <w:b w:val="0"/>
                <w:sz w:val="22"/>
              </w:rPr>
              <w:t>Verified in centroid study</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H4</w:t>
            </w:r>
          </w:p>
        </w:tc>
        <w:tc>
          <w:tcPr>
            <w:tcW w:type="dxa" w:w="2340"/>
          </w:tcPr>
          <w:p>
            <w:r>
              <w:rPr>
                <w:rFonts w:ascii="Times New Roman" w:hAnsi="Times New Roman" w:eastAsia="Times New Roman"/>
                <w:b w:val="0"/>
                <w:sz w:val="22"/>
              </w:rPr>
              <w:t>Per-cell propensity stability</w:t>
            </w:r>
          </w:p>
        </w:tc>
        <w:tc>
          <w:tcPr>
            <w:tcW w:type="dxa" w:w="2340"/>
          </w:tcPr>
          <w:p>
            <w:r>
              <w:rPr>
                <w:rFonts w:ascii="Times New Roman" w:hAnsi="Times New Roman" w:eastAsia="Times New Roman"/>
                <w:b w:val="0"/>
                <w:sz w:val="22"/>
              </w:rPr>
              <w:t>13/14 cells resolved at BCa; 1 (X=0) at Clopper-Pearson per M4 cascade</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H5</w:t>
            </w:r>
          </w:p>
        </w:tc>
        <w:tc>
          <w:tcPr>
            <w:tcW w:type="dxa" w:w="2340"/>
          </w:tcPr>
          <w:p>
            <w:r>
              <w:rPr>
                <w:rFonts w:ascii="Times New Roman" w:hAnsi="Times New Roman" w:eastAsia="Times New Roman"/>
                <w:b w:val="0"/>
                <w:sz w:val="22"/>
              </w:rPr>
              <w:t>Gender invariance</w:t>
            </w:r>
          </w:p>
        </w:tc>
        <w:tc>
          <w:tcPr>
            <w:tcW w:type="dxa" w:w="2340"/>
          </w:tcPr>
          <w:p>
            <w:r>
              <w:rPr>
                <w:rFonts w:ascii="Times New Roman" w:hAnsi="Times New Roman" w:eastAsia="Times New Roman"/>
                <w:b w:val="0"/>
                <w:sz w:val="22"/>
              </w:rPr>
              <w:t>Spearman ρ(female, male) = 0.87 across 7 clusters (p = 0.01); 14-cell vs 28-cell stable</w:t>
            </w:r>
          </w:p>
        </w:tc>
        <w:tc>
          <w:tcPr>
            <w:tcW w:type="dxa" w:w="2340"/>
          </w:tcPr>
          <w:p>
            <w:r>
              <w:rPr>
                <w:rFonts w:ascii="Times New Roman" w:hAnsi="Times New Roman" w:eastAsia="Times New Roman"/>
                <w:b w:val="0"/>
                <w:sz w:val="22"/>
              </w:rPr>
              <w:t>CONFIRMED</w:t>
            </w:r>
          </w:p>
        </w:tc>
      </w:tr>
      <w:tr>
        <w:tc>
          <w:tcPr>
            <w:tcW w:type="dxa" w:w="2340"/>
          </w:tcPr>
          <w:p>
            <w:r>
              <w:rPr>
                <w:rFonts w:ascii="Times New Roman" w:hAnsi="Times New Roman" w:eastAsia="Times New Roman"/>
                <w:b w:val="0"/>
                <w:sz w:val="22"/>
              </w:rPr>
              <w:t>H6</w:t>
            </w:r>
          </w:p>
        </w:tc>
        <w:tc>
          <w:tcPr>
            <w:tcW w:type="dxa" w:w="2340"/>
          </w:tcPr>
          <w:p>
            <w:r>
              <w:rPr>
                <w:rFonts w:ascii="Times New Roman" w:hAnsi="Times New Roman" w:eastAsia="Times New Roman"/>
                <w:b w:val="0"/>
                <w:sz w:val="22"/>
              </w:rPr>
              <w:t>Power × gender harassment cluster ranking concordance</w:t>
            </w:r>
          </w:p>
        </w:tc>
        <w:tc>
          <w:tcPr>
            <w:tcW w:type="dxa" w:w="2340"/>
          </w:tcPr>
          <w:p>
            <w:r>
              <w:rPr>
                <w:rFonts w:ascii="Times New Roman" w:hAnsi="Times New Roman" w:eastAsia="Times New Roman"/>
                <w:b w:val="0"/>
                <w:sz w:val="22"/>
              </w:rPr>
              <w:t>Spearman ρ = 0.04 (7-cluster) / 0.14 (14-cell), both p &gt; 0.6</w:t>
            </w:r>
          </w:p>
        </w:tc>
        <w:tc>
          <w:tcPr>
            <w:tcW w:type="dxa" w:w="2340"/>
          </w:tcPr>
          <w:p>
            <w:r>
              <w:rPr>
                <w:rFonts w:ascii="Times New Roman" w:hAnsi="Times New Roman" w:eastAsia="Times New Roman"/>
                <w:b w:val="0"/>
                <w:sz w:val="22"/>
              </w:rPr>
              <w:t>REJECTED</w:t>
            </w:r>
          </w:p>
        </w:tc>
      </w:tr>
      <w:tr>
        <w:tc>
          <w:tcPr>
            <w:tcW w:type="dxa" w:w="2340"/>
          </w:tcPr>
          <w:p>
            <w:r>
              <w:rPr>
                <w:rFonts w:ascii="Times New Roman" w:hAnsi="Times New Roman" w:eastAsia="Times New Roman"/>
                <w:b w:val="0"/>
                <w:sz w:val="22"/>
              </w:rPr>
              <w:t>H7</w:t>
            </w:r>
          </w:p>
        </w:tc>
        <w:tc>
          <w:tcPr>
            <w:tcW w:type="dxa" w:w="2340"/>
          </w:tcPr>
          <w:p>
            <w:r>
              <w:rPr>
                <w:rFonts w:ascii="Times New Roman" w:hAnsi="Times New Roman" w:eastAsia="Times New Roman"/>
                <w:b w:val="0"/>
                <w:sz w:val="22"/>
              </w:rPr>
              <w:t>IUT classification</w:t>
            </w:r>
          </w:p>
        </w:tc>
        <w:tc>
          <w:tcPr>
            <w:tcW w:type="dxa" w:w="2340"/>
          </w:tcPr>
          <w:p>
            <w:r>
              <w:rPr>
                <w:rFonts w:ascii="Times New Roman" w:hAnsi="Times New Roman" w:eastAsia="Times New Roman"/>
                <w:b w:val="0"/>
                <w:sz w:val="22"/>
              </w:rPr>
              <w:t>REVERSAL (robust F=0.3–1.0)</w:t>
            </w:r>
          </w:p>
        </w:tc>
        <w:tc>
          <w:tcPr>
            <w:tcW w:type="dxa" w:w="2340"/>
          </w:tcPr>
          <w:p>
            <w:r>
              <w:rPr>
                <w:rFonts w:ascii="Times New Roman" w:hAnsi="Times New Roman" w:eastAsia="Times New Roman"/>
                <w:b w:val="0"/>
                <w:sz w:val="22"/>
              </w:rPr>
              <w:t>REVERSAL</w:t>
            </w:r>
          </w:p>
        </w:tc>
      </w:tr>
    </w:tbl>
    <w:p>
      <w:pPr>
        <w:spacing w:line="480" w:lineRule="auto" w:before="0" w:after="0"/>
      </w:pPr>
    </w:p>
    <w:p>
      <w:pPr>
        <w:spacing w:line="480" w:lineRule="auto" w:before="0" w:after="0"/>
        <w:jc w:val="center"/>
      </w:pPr>
      <w:r>
        <w:rPr>
          <w:rFonts w:ascii="Times New Roman" w:hAnsi="Times New Roman" w:eastAsia="Times New Roman"/>
          <w:b/>
          <w:sz w:val="24"/>
        </w:rPr>
        <w:t>Figures</w:t>
      </w:r>
    </w:p>
    <w:p>
      <w:pPr>
        <w:spacing w:line="480" w:lineRule="auto" w:before="0" w:after="0"/>
        <w:jc w:val="left"/>
      </w:pPr>
      <w:r>
        <w:rPr>
          <w:rFonts w:ascii="Times New Roman" w:hAnsi="Times New Roman" w:eastAsia="Times New Roman"/>
          <w:b/>
          <w:sz w:val="24"/>
        </w:rPr>
        <w:t>Figure 1. Pipeline Schematic</w:t>
      </w:r>
    </w:p>
    <w:p>
      <w:pPr>
        <w:spacing w:line="480" w:lineRule="auto" w:before="0" w:after="0"/>
      </w:pPr>
      <w:r>
        <w:rPr>
          <w:rFonts w:ascii="Times New Roman" w:hAnsi="Times New Roman" w:eastAsia="Times New Roman"/>
          <w:sz w:val="24"/>
        </w:rPr>
        <w:t>A box-and-arrow diagram of the nine pre-registered pipeline stages, showing the data inputs (N=354 individual data; Tokiwa 2026 *IEEE Access* 7-cluster centroids; Statistics Bureau (MIC) Labor Force Survey 2022) flowing through Stages 0–8 with their HDF5 outputs. Generated as PNG/PDF/SVG by `simulation/code/figures.py` (Makefile target `figures`).</w:t>
      </w:r>
    </w:p>
    <w:p>
      <w:pPr>
        <w:spacing w:line="480" w:lineRule="auto" w:before="0" w:after="0"/>
      </w:pPr>
      <w:r>
        <w:rPr>
          <w:rFonts w:ascii="Times New Roman" w:hAnsi="Times New Roman" w:eastAsia="Times New Roman"/>
          <w:sz w:val="24"/>
        </w:rPr>
        <w:t>**Caption.** *The HEXACO 7-typology workplace harassment microsimulation pipeline. Stage 0 (cell propensity) feeds into Stage 1 (population aggregation, MIC-reweighted) and Stage 2 (H1 four-tier classification). Stage 3 (sensitivity), Stage 4 (baselines), Stage 5 (CMV diagnostic), Stage 6 (target trial PICO), Stage 7 (counterfactuals + H7 IUT), and Stage 8 (transportability) operate in parallel after Stage 2.*</w:t>
      </w:r>
    </w:p>
    <w:p>
      <w:pPr>
        <w:spacing w:line="480" w:lineRule="auto" w:before="0" w:after="0"/>
        <w:jc w:val="left"/>
      </w:pPr>
      <w:r>
        <w:rPr>
          <w:rFonts w:ascii="Times New Roman" w:hAnsi="Times New Roman" w:eastAsia="Times New Roman"/>
          <w:b/>
          <w:sz w:val="24"/>
        </w:rPr>
        <w:t>Figure 2. 14-Cell Cell-Level Propensity (Stage 0)</w:t>
      </w:r>
    </w:p>
    <w:p>
      <w:pPr>
        <w:spacing w:line="480" w:lineRule="auto" w:before="0" w:after="0"/>
      </w:pPr>
      <w:r>
        <w:rPr>
          <w:rFonts w:ascii="Times New Roman" w:hAnsi="Times New Roman" w:eastAsia="Times New Roman"/>
          <w:sz w:val="24"/>
        </w:rPr>
        <w:t>A heatmap of P̂_c across 7 HEXACO clusters × 2 genders, with cell sizes overlaid. Cell ordering follows the v2.0 master Section 5.1 convention (cluster × 2 + gender index).</w:t>
      </w:r>
    </w:p>
    <w:p>
      <w:pPr>
        <w:spacing w:line="480" w:lineRule="auto" w:before="0" w:after="0"/>
      </w:pPr>
      <w:r>
        <w:rPr>
          <w:rFonts w:ascii="Times New Roman" w:hAnsi="Times New Roman" w:eastAsia="Times New Roman"/>
          <w:sz w:val="24"/>
        </w:rPr>
        <w:t>**Caption.** *Per-cell power-harassment victimization propensities P̂_c with 95% BCa CIs. Cell sizes (N_c) range from 10 to 70 (median 18). Color encodes propensity (blue = low; red = high). Cells with N_c &lt; 20 are demarcated with a dashed boundary.*</w:t>
      </w:r>
    </w:p>
    <w:p>
      <w:pPr>
        <w:spacing w:line="480" w:lineRule="auto" w:before="0" w:after="0"/>
        <w:jc w:val="left"/>
      </w:pPr>
      <w:r>
        <w:rPr>
          <w:rFonts w:ascii="Times New Roman" w:hAnsi="Times New Roman" w:eastAsia="Times New Roman"/>
          <w:b/>
          <w:sz w:val="24"/>
        </w:rPr>
        <w:t>Figure 3. National Prevalence vs MHLW Validation Targets</w:t>
      </w:r>
    </w:p>
    <w:p>
      <w:pPr>
        <w:spacing w:line="480" w:lineRule="auto" w:before="0" w:after="0"/>
      </w:pPr>
      <w:r>
        <w:rPr>
          <w:rFonts w:ascii="Times New Roman" w:hAnsi="Times New Roman" w:eastAsia="Times New Roman"/>
          <w:sz w:val="24"/>
        </w:rPr>
        <w:t>A bar chart of model-predicted P̂ = 0.1744 (single bar) overlaid with the three MHLW validation targets (FY2016 = 0.325, FY2020 = 0.314, FY2023 = 0.193) as horizontal reference lines, with the staged enforcement period of the 2020 Power Harassment Prevention Law shaded.</w:t>
      </w:r>
    </w:p>
    <w:p>
      <w:pPr>
        <w:spacing w:line="480" w:lineRule="auto" w:before="0" w:after="0"/>
      </w:pPr>
      <w:r>
        <w:rPr>
          <w:rFonts w:ascii="Times New Roman" w:hAnsi="Times New Roman" w:eastAsia="Times New Roman"/>
          <w:sz w:val="24"/>
        </w:rPr>
        <w:t>**Caption.** *Model-based national prevalence (P̂ = 17.44%, blue bar) compared with MHLW past-three-year power-harassment victimization targets across three survey periods. The 2020 Power Harassment Prevention Law's staged enforcement (large enterprises 2020-06; SMEs 2022-04) coincides with the FY2020 → FY2023 decline. Predicted prevalence aligns most closely with the post-law FY2023 target (Standard SUCCESS; CI upper 31.52% narrowly above the 30% Strict threshold).*</w:t>
      </w:r>
    </w:p>
    <w:p>
      <w:pPr>
        <w:spacing w:line="480" w:lineRule="auto" w:before="0" w:after="0"/>
        <w:jc w:val="left"/>
      </w:pPr>
      <w:r>
        <w:rPr>
          <w:rFonts w:ascii="Times New Roman" w:hAnsi="Times New Roman" w:eastAsia="Times New Roman"/>
          <w:b/>
          <w:sz w:val="24"/>
        </w:rPr>
        <w:t>Figure 4. OAT Sensitivity Tornado Plot</w:t>
      </w:r>
    </w:p>
    <w:p>
      <w:pPr>
        <w:spacing w:line="480" w:lineRule="auto" w:before="0" w:after="0"/>
      </w:pPr>
      <w:r>
        <w:rPr>
          <w:rFonts w:ascii="Times New Roman" w:hAnsi="Times New Roman" w:eastAsia="Times New Roman"/>
          <w:sz w:val="24"/>
        </w:rPr>
        <w:t>A tornado plot with parameter families on the y-axis and MAPE_FY2016 horizontal bars on the x-axis, ordered by sensitivity magnitude. The two sensitive families (binarization, cluster mass) appear at the top with wide bars; the two stable families (soft τ, EB scale) appear at the bottom with narrow bars. The locked main configuration is marked with a vertical reference line.</w:t>
      </w:r>
    </w:p>
    <w:p>
      <w:pPr>
        <w:spacing w:line="480" w:lineRule="auto" w:before="0" w:after="0"/>
      </w:pPr>
      <w:r>
        <w:rPr>
          <w:rFonts w:ascii="Times New Roman" w:hAnsi="Times New Roman" w:eastAsia="Times New Roman"/>
          <w:sz w:val="24"/>
        </w:rPr>
        <w:t>**Caption.** *One-at-a-time sensitivity sweep of FY2016 MAPE. Binarization threshold and cluster mass shift exhibit substantial sensitivity (range 29.6% to 56.5%), whereas soft-assignment τ and empirical Bayes shrinkage scale exhibit negligible sensitivity (range &lt; 0.5%). Vertical line at 45.51% marks the locked v2.0 main configuration.*</w:t>
      </w:r>
    </w:p>
    <w:p>
      <w:pPr>
        <w:spacing w:line="480" w:lineRule="auto" w:before="0" w:after="0"/>
        <w:jc w:val="left"/>
      </w:pPr>
      <w:r>
        <w:rPr>
          <w:rFonts w:ascii="Times New Roman" w:hAnsi="Times New Roman" w:eastAsia="Times New Roman"/>
          <w:b/>
          <w:sz w:val="24"/>
        </w:rPr>
        <w:t>Figure 5. Counterfactual ΔP_x Forest Plot</w:t>
      </w:r>
    </w:p>
    <w:p>
      <w:pPr>
        <w:spacing w:line="480" w:lineRule="auto" w:before="0" w:after="0"/>
      </w:pPr>
      <w:r>
        <w:rPr>
          <w:rFonts w:ascii="Times New Roman" w:hAnsi="Times New Roman" w:eastAsia="Times New Roman"/>
          <w:sz w:val="24"/>
        </w:rPr>
        <w:t>A forest plot with three counterfactuals on the y-axis (A, B, C), point estimates with 95% CIs as horizontal whiskers, and a vertical reference line at ΔP = 0. Counterfactuals A and B's CIs overlap zero; Counterfactual C's CI excludes zero on the positive side.</w:t>
      </w:r>
    </w:p>
    <w:p>
      <w:pPr>
        <w:spacing w:line="480" w:lineRule="auto" w:before="0" w:after="0"/>
      </w:pPr>
      <w:r>
        <w:rPr>
          <w:rFonts w:ascii="Times New Roman" w:hAnsi="Times New Roman" w:eastAsia="Times New Roman"/>
          <w:sz w:val="24"/>
        </w:rPr>
        <w:t>**Caption.** *Counterfactual ΔP_x estimates and 95% CIs. Personality intervention (A; +0.3 SD on H/A/E for all individuals) and targeted personality intervention (B; +0.40 SD on HH restricted to individuals already in the low-prevalence Cluster {0, 4, 6} subgroup) yield null effects (CIs cross zero). Structural intervention (C; −20% propensity, calibrated against three meta-analyses and the MHLW FY2016–FY2023 Power Harassment Prevention Law natural experiment) yields a positive effect of +3.49 percentage points (CI excludes zero on the positive side). The H7 intersection-union test (Berger &amp; Hsu, 1996) classifies this configuration as REVERSAL.*</w:t>
      </w:r>
    </w:p>
    <w:p>
      <w:pPr>
        <w:spacing w:line="480" w:lineRule="auto" w:before="0" w:after="0"/>
        <w:jc w:val="left"/>
      </w:pPr>
      <w:r>
        <w:rPr>
          <w:rFonts w:ascii="Times New Roman" w:hAnsi="Times New Roman" w:eastAsia="Times New Roman"/>
          <w:b/>
          <w:sz w:val="24"/>
        </w:rPr>
        <w:t>Figure 6. Transportability Robustness</w:t>
      </w:r>
    </w:p>
    <w:p>
      <w:pPr>
        <w:spacing w:line="480" w:lineRule="auto" w:before="0" w:after="0"/>
      </w:pPr>
      <w:r>
        <w:rPr>
          <w:rFonts w:ascii="Times New Roman" w:hAnsi="Times New Roman" w:eastAsia="Times New Roman"/>
          <w:sz w:val="24"/>
        </w:rPr>
        <w:t>A line plot with cultural attenuation factor F on the x-axis (0.3 to 1.0) and ΔP_x on the y-axis. Three lines for ΔP_A, ΔP_B, ΔP_C, with 95% CIs as shaded bands. The ΔP_C line remains above zero across the entire factor range; the ΔP_A and ΔP_B lines remain centered on zero.</w:t>
      </w:r>
    </w:p>
    <w:p>
      <w:pPr>
        <w:spacing w:line="480" w:lineRule="auto" w:before="0" w:after="0"/>
      </w:pPr>
      <w:r>
        <w:rPr>
          <w:rFonts w:ascii="Times New Roman" w:hAnsi="Times New Roman" w:eastAsia="Times New Roman"/>
          <w:sz w:val="24"/>
        </w:rPr>
        <w:t>**Caption.** *H7 IUT classification under cultural attenuation factors F ∈ {0.3, 0.5, 0.7, 1.0}. The REVERSAL classification (structural dominance) is preserved across all four factors, including the conservative cross-cultural worst-case anchor (F = 0.3) and the Nielsen et al. (2017) Asia/Oceania expected attenuation (F = 0.5).*</w:t>
      </w:r>
    </w:p>
    <w:p>
      <w:pPr>
        <w:pStyle w:val="ListBullet"/>
        <w:spacing w:line="480" w:lineRule="auto" w:before="0" w:after="0"/>
      </w:pPr>
      <w:r>
        <w:rPr>
          <w:rFonts w:ascii="Times New Roman" w:hAnsi="Times New Roman" w:eastAsia="Times New Roman"/>
          <w:sz w:val="24"/>
        </w:rPr>
        <w:t>Tables 1–6: Embedded in manuscript_preprint.docx as native Word tables with APA-style formatting (Times New Roman 12 pt, double-spaced, lines below header and final row).</w:t>
      </w:r>
    </w:p>
    <w:p>
      <w:pPr>
        <w:pStyle w:val="ListBullet"/>
        <w:spacing w:line="480" w:lineRule="auto" w:before="0" w:after="0"/>
      </w:pPr>
      <w:r>
        <w:rPr>
          <w:rFonts w:ascii="Times New Roman" w:hAnsi="Times New Roman" w:eastAsia="Times New Roman"/>
          <w:sz w:val="24"/>
        </w:rPr>
        <w:t>Figure 1 (pipeline schematic): Generated by simulation/code/figures.py as simulation/output/figures/figure1_pipeline.{png,pdf,svg}. The pipeline schematic is illustrative; values come from the v2.0 master.</w:t>
      </w:r>
    </w:p>
    <w:p>
      <w:pPr>
        <w:pStyle w:val="ListBullet"/>
        <w:spacing w:line="480" w:lineRule="auto" w:before="0" w:after="0"/>
      </w:pPr>
      <w:r>
        <w:rPr>
          <w:rFonts w:ascii="Times New Roman" w:hAnsi="Times New Roman" w:eastAsia="Times New Roman"/>
          <w:sz w:val="24"/>
        </w:rPr>
        <w:t>Figure 2 (14-cell heatmap): Generated from output/supplementary/stage0_cell_propensity.h5 via matplotlib.</w:t>
      </w:r>
    </w:p>
    <w:p>
      <w:pPr>
        <w:pStyle w:val="ListBullet"/>
        <w:spacing w:line="480" w:lineRule="auto" w:before="0" w:after="0"/>
      </w:pPr>
      <w:r>
        <w:rPr>
          <w:rFonts w:ascii="Times New Roman" w:hAnsi="Times New Roman" w:eastAsia="Times New Roman"/>
          <w:sz w:val="24"/>
        </w:rPr>
        <w:t>Figure 3 (prevalence comparison): Generated from stage1_population_aggregation.h5 and stage2_validation.h5.</w:t>
      </w:r>
    </w:p>
    <w:p>
      <w:pPr>
        <w:pStyle w:val="ListBullet"/>
        <w:spacing w:line="480" w:lineRule="auto" w:before="0" w:after="0"/>
      </w:pPr>
      <w:r>
        <w:rPr>
          <w:rFonts w:ascii="Times New Roman" w:hAnsi="Times New Roman" w:eastAsia="Times New Roman"/>
          <w:sz w:val="24"/>
        </w:rPr>
        <w:t>Figure 4 (sensitivity tornado): Generated from stage3_sensitivity.h5.</w:t>
      </w:r>
    </w:p>
    <w:p>
      <w:pPr>
        <w:pStyle w:val="ListBullet"/>
        <w:spacing w:line="480" w:lineRule="auto" w:before="0" w:after="0"/>
      </w:pPr>
      <w:r>
        <w:rPr>
          <w:rFonts w:ascii="Times New Roman" w:hAnsi="Times New Roman" w:eastAsia="Times New Roman"/>
          <w:sz w:val="24"/>
        </w:rPr>
        <w:t>Figure 5 (counterfactual forest): Generated from stage7_counterfactual.h5.</w:t>
      </w:r>
    </w:p>
    <w:p>
      <w:pPr>
        <w:pStyle w:val="ListBullet"/>
        <w:spacing w:line="480" w:lineRule="auto" w:before="0" w:after="0"/>
      </w:pPr>
      <w:r>
        <w:rPr>
          <w:rFonts w:ascii="Times New Roman" w:hAnsi="Times New Roman" w:eastAsia="Times New Roman"/>
          <w:sz w:val="24"/>
        </w:rPr>
        <w:t>Figure 6 (transportability): Generated from stage8_transportability.h5.</w:t>
      </w:r>
    </w:p>
    <w:p>
      <w:pPr>
        <w:spacing w:line="480" w:lineRule="auto" w:before="0" w:after="0"/>
      </w:pPr>
      <w:r>
        <w:rPr>
          <w:rFonts w:ascii="Times New Roman" w:hAnsi="Times New Roman" w:eastAsia="Times New Roman"/>
          <w:sz w:val="24"/>
        </w:rPr>
        <w:t>All figures are saved at 300 DPI in PNG and PDF formats; vector versions (SVG) are also produced for journal submission. PNG embeds are used in `manuscript_preprint.docx` and `manuscript_journal.docx`; PDF/SVG accompany the journal submission as separate files (per RSOS Stage 2 RR submission requirements).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jc w:val="left"/>
    </w:pPr>
    <w:r>
      <w:rPr>
        <w:rFonts w:ascii="Times New Roman" w:hAnsi="Times New Roman" w:eastAsia="Times New Roman"/>
        <w:b w:val="0"/>
        <w:sz w:val="24"/>
      </w:rPr>
      <w:t>STRUCTURE DOMINATES PERSONALITY</w:t>
    </w:r>
    <w:r>
      <w:rPr>
        <w:rFonts w:ascii="Times New Roman" w:hAnsi="Times New Roman" w:eastAsia="Times New Roman"/>
        <w:sz w:val="24"/>
      </w:rPr>
      <w:tab/>
    </w:r>
    <w:r>
      <w:rPr>
        <w:rFonts w:ascii="Times New Roman" w:hAnsi="Times New Roman" w:eastAsia="Times New Roman"/>
        <w:sz w:val="24"/>
      </w:rPr>
      <w:fldChar w:fldCharType="begin"/>
      <w:instrText>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