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et al., 2017; Pilch &amp; Turska, 2015), the relative population-level efficacy of person-level versus system-level interventions has not been quantitatively compared in a counterfactually rigorous framework.</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our research group identified seven robust HEXACO clusters in a Japanese sample of N = 13,668 (Tokiwa, 2026, *IEEE Access*;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(2026, *IEEE Access*; DOI 10.1109/ACCESS.2026.3651324)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*IEEE Access*)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*IEEE Access*)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(Section 4.1).</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sz w:val="24"/>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2026 IEEE Access)</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et al. (2014), is supported by both prior literature and the present counterfactual analysis.</w:t>
      </w:r>
    </w:p>
    <w:p>
      <w:pPr>
        <w:spacing w:line="480" w:lineRule="auto" w:before="0" w:after="0"/>
        <w:jc w:val="center"/>
      </w:pPr>
      <w:r>
        <w:rPr>
          <w:rFonts w:ascii="Times New Roman" w:hAnsi="Times New Roman" w:eastAsia="Times New Roman"/>
          <w:b/>
          <w:sz w:val="24"/>
        </w:rPr>
        <w:t>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center"/>
      </w:pPr>
      <w:r>
        <w:rPr>
          <w:rFonts w:ascii="Times New Roman" w:hAnsi="Times New Roman" w:eastAsia="Times New Roman"/>
          <w:b/>
          <w:sz w:val="24"/>
        </w:rPr>
        <w:t>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Tokiwa (2026, *IEEE Access*)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STRUCTURE DOMINATES PERSONALITY</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