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Person-Level versus System-Level Anti-Harassment Interventions: HEXACO 7-Typology Evidence That Structure Dominates Personality in Japanese Workplaces</w:t>
      </w: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Tables</w:t>
      </w:r>
    </w:p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1. H1 Four-Tier Classification of Mean Absolute Percentage Error (MAPE) Across Three MHLW Validation Periods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*Note*. Predicted values are computed via 14-cell HEXACO 7-typology × gender propensity weighted by Statistics Bureau (MIC) Labor Force Survey 2022 marginals. Bootstrap 95% CIs use B = 10,000 cell-stratified resamples (Methods Clarification m3). Tier classification per pre-registered four-tier hierarchy (v2.0 Section 5.4).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Period (MHLW)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Observed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Predicted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MAPE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Tier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FY2016 (32.5%, primary)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0.325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0.1744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46.34%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[32.36, 59.30]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 SUCCESS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FY2020 (31.4%, secondary)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0.314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0.1744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44.46%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[30.00, 57.88]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 SUCCESS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FY2023 (19.3%, secondary)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0.193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0.1744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9.65%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[0.52, 31.52]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Standard SUCCESS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2. One-at-a-Time (OAT) Sensitivity Sweep Around the Locked v2.0 Main Configuration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*Note*. Each row varies the indicated parameter family while holding remaining parameters at the v2.0 main configuration. B = 2,000 percentile CIs reported on FY2016 MAPE.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Family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Value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MAPE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Tier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Baseline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main_v2.0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[31.5, 59.5]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Binarization threshold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mean+0.25 SD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29.58%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[13.7, 45.2]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Standard SUCCESS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Binarization threshold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mean+0.5 SD (main)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[30.5, 59.2]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Binarization threshold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mean+1.0 SD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48.95%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[34.0, 62.4]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Soft-assignment τ × median NN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0.5×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45.04%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[43.8, 46.3]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Soft-assignment τ × median NN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1.0×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45.22%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[43.9, 46.5]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Soft-assignment τ × median NN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2.0×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45.24%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[43.9, 46.4]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EB shrinkage scale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0.5× pseudocount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45.90%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[32.1, 58.7]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EB shrinkage scale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1.0× (main)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[31.4, 59.0]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EB shrinkage scale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2.0× pseudocount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45.80%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[32.3, 58.9]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Cluster mass shift δ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−0.10 high−low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56.47%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[42.8, 68.8]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Cluster mass shift δ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0.0 (main)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[31.4, 59.2]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Cluster mass shift δ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+0.10 high−low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34.55%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[16.6, 51.8]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3. Baseline Comparison for H2 Ordinal Trend Hypothesis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*Note*. B0 trivially attains MAPE = 0 by construction (its prediction equals MHLW grand mean). H2 was tested via Bonferroni-Holm-corrected pairwise inequalities at one-sided α = 0.05 and Page's L (1963) ordinal trend test as auxiliary. **0 of 4 pairs were confirmed**; Page's L statistic *p* = 0.9757. H2 decision: ambiguous_or_reversed.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Baseline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Description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MAPE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Uniform = MHLW grand mean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0.00%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[0.00, 0.00]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Gender-only logistic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46.02%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[46.02, 46.02]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HEXACO 6-domain logistic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43.98%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[40.33, 47.35]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14-cell conditional (main pipeline)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46.34%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[46.34, 46.34]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Extended (age + age × cluster)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47.04%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[45.02, 49.05]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4. Counterfactual ΔP_x Estimates and H7 Intersection-Union Test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*Note*. Counterfactual operationalization per pre-registered v2.0 Section 5.7. Positive ΔP indicates *reduction* in prevalence (sign convention). Bootstrap CIs use B = 2,000 cell-stratified resamples. The H7 IUT (Berger &amp; Hsu, 1996) computes one-sided 95% lower bounds L_BA and L_BC. Classification follows the m7 priority cascade implemented in `code/stage7_counterfactual.py:h7_iut`: REVERSAL (priority 1) is triggered when point ΔP_B &lt; ΔP_A OR point ΔP_B &lt; ΔP_C; CONFIRMED requires L_BA &gt; 0 AND L_BC &gt; 0; PARTIAL requires exactly one of L_BA, L_BC &gt; 0; AMBIGUOUS otherwise.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Intervention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Operationalization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ΔP point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CI excludes 0?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A (personality)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do(HH ← +0.3σ; A ← +0.3σ; E ← +0.3σ)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−0.0061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[−0.0207, +0.0062]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No (null)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 (targeted HH+ on low-prev clusters)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do(HH := HH + 0.40σ_HH) for individuals whose baseline cluster ∈ {0, 4, 6}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[−0.0207, +0.0066]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No (null)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 (structural)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do(P_{c, x} ← 0.80 × P_{c, x})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+0.0349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[+0.0264, +0.0435]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Yes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**H7 IUT:** L_BA = −0.0011, L_BC = −0.0544; point ΔP_B &lt; point ΔP_C triggers m7 priority-1 → **REVERSAL**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**Positivity diagnostic (Methods Clarification m5):** Counterfactual A and C trivially preserve positivity. Counterfactual B's flagged-weight share = 44.5%; m5 downgrade rule triggered. We interpret B's null finding as exploratory rather than confirmatory.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5. Transportability Sensitivity (H7 Re-classification Across Cultural Attenuation Factors)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*Note*. Each row applies factor F multiplicatively to the bootstrap distribution of all three ΔP_x; H7 IUT is re-classified per attenuated factor.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Factor F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Anchor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ΔP_A (att)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ΔP_C (att)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H7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Conservative cross-cultural worst case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−0.0018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+0.0105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Nielsen et al., 2017 expected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+0.0174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Mild attenuation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+0.0244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1.0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Reference (no attenuation)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−0.0061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+0.0349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6. Pre-Registered Hypothesis Outcomes Summary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*Note*. Hypothesis classification per v2.0 pre-registration master Section 5.4 (H1) and Section 5.7 (H7).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Hypothesis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Pre-registered prediction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Outcome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Tier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MAPE_FY2016 ≤ 30% (Strict / Standard SUCCESS)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MAPE = 46.34%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 SUCCESS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Monotonic B0 &gt; B1 &gt; B2 &gt; B3 &gt; B4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 of 4 pairs confirmed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REJECTED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Centroid concordance N=354 vs N=13,668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Verified in centroid study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CONFIRMED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Per-cell propensity stability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13/14 cells resolved at BCa; 1 (X=0) at Clopper-Pearson per M4 cascade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CONFIRMED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Gender invariance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Spearman ρ(female, male) = 0.87 across 7 clusters (p = 0.01); 14-cell vs 28-cell stable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CONFIRMED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Power × gender harassment cluster ranking concordance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Spearman ρ = 0.04 (7-cluster) / 0.14 (14-cell), both p &gt; 0.6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REJECTED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IUT classification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 (robust F=0.3–1.0)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All figures are saved at 300 DPI in PNG and PDF formats; vector versions (SVG) are also produced for journal submission. PNG embeds are used in `manuscript_preprint.docx` and `manuscript_journal.docx`; PDF/SVG accompany the journal submission as separate files (per RSOS Stage 2 RR submission requirements).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jc w:val="left"/>
    </w:pPr>
    <w:r>
      <w:rPr>
        <w:rFonts w:ascii="Times New Roman" w:hAnsi="Times New Roman" w:eastAsia="Times New Roman"/>
        <w:b w:val="0"/>
        <w:sz w:val="24"/>
      </w:rPr>
      <w:t>STRUCTURE DOMINATES PERSONALITY</w:t>
    </w:r>
    <w:r>
      <w:rPr>
        <w:rFonts w:ascii="Times New Roman" w:hAnsi="Times New Roman" w:eastAsia="Times New Roman"/>
        <w:sz w:val="24"/>
      </w:rPr>
      <w:tab/>
    </w:r>
    <w:r>
      <w:rPr>
        <w:rFonts w:ascii="Times New Roman" w:hAnsi="Times New Roman" w:eastAsia="Times New Roman"/>
        <w:sz w:val="24"/>
      </w:rPr>
      <w:fldChar w:fldCharType="begin"/>
      <w:instrText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