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PRISMA 2020 Flow Diagram of the Study Selection Process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51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5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Flow diagram adapted from the PRISMA 2020 statement (Page et al., 2021). Records were identified through WebSearch-based formal search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80 from eight structured queries), preliminary informal search yielding a previously curated corpus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28), and citation snowballing combined with open-access repository downloads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12), for a total of 120 records. After deduplication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40 removed), 80 records underwent title and abstract screening, with 25 excluded primarily for wrong population, non-Big-Five personality frameworks, or no online learning component. Of 43 full-text reports sought, 5 were not retrievable (paywall), and 38 were assessed for eligibility. Eleven reports were excluded at the full-text stage with explicit reasons: non-Big-Five framework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5; MBTI, Proactive Personality, TAM, TUE, and other non-FFM operationalization), face-to-face modality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4; A-09 Bhattacharjee &amp; Ramkumar, 2025; A-10 Boonyapison et al., 2025; A-14 Eilam et al., 2009; A-16 Hidalgo-Fuentes et al., 2024), sample overlap with an already-included study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A-05 Audet et al., 2023 overlapped with A-04 Audet et al., 2021), and effect size not extractable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A-24 Tlili et al., 2023, lag sequential analysis). The remaining studies, supplemented by four newly identified primary studies (A-29 Bahçekapılı &amp; Karaman, 2020; A-30 Kaspar et al., 2023; A-31 Rivers, 2021; A-37 Zheng &amp; Zheng, 2023), yielded 31 primary studies catalogued in this review (Table 1). Of these, 25 were retained for qualitative synthesis, and 10 contributed direct Pearson correlations or β-converted effect sizes to the primary quantitative achievement pool (with two studies — A-28 Yu, 2021 and A-30 Kaspar et al., 2023 — providing β-converted effect sizes via Peterson and Brown's, 2005, approximation). The remaining 15 retained studies contributed only to secondary-outcome narrative synthesis.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Conscientiousness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Agreeableness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Openness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Neuroticism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6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Extraversion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7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Conscientiousness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2.14,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.094.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8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Agreeableness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−8.53,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.072.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9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Openness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−6.41,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.045.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10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Neuroticism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−1.79,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.304.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Extraversion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2.29,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.255. See Table 4 for full publication-bias assessment.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