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A5B7158" w:rsidP="424D9DAA" w:rsidRDefault="2A5B7158" w14:paraId="046902ED" w14:textId="14366BF2">
      <w:pPr>
        <w:pStyle w:val="Title"/>
        <w:rPr>
          <w:b w:val="1"/>
          <w:bCs w:val="1"/>
          <w:sz w:val="48"/>
          <w:szCs w:val="48"/>
          <w:u w:val="single"/>
        </w:rPr>
      </w:pPr>
      <w:r w:rsidR="65E4A324">
        <w:rPr/>
        <w:t xml:space="preserve">Combustion </w:t>
      </w:r>
      <w:r w:rsidR="2A5B7158">
        <w:rPr/>
        <w:t>Enthalpy Experiment – Eden Tomes</w:t>
      </w:r>
    </w:p>
    <w:p w:rsidR="4435CBA5" w:rsidP="4D37911B" w:rsidRDefault="4435CBA5" w14:paraId="02255E7A" w14:textId="0B34C50A">
      <w:pPr>
        <w:pStyle w:val="Heading1"/>
        <w:rPr>
          <w:b w:val="1"/>
          <w:bCs w:val="1"/>
          <w:u w:val="single"/>
        </w:rPr>
      </w:pPr>
      <w:r w:rsidR="4435CBA5">
        <w:rPr/>
        <w:t>Research Question:</w:t>
      </w:r>
    </w:p>
    <w:p w:rsidR="4435CBA5" w:rsidP="4D37911B" w:rsidRDefault="4435CBA5" w14:paraId="77239217" w14:textId="2228BD32">
      <w:pPr>
        <w:rPr>
          <w:b w:val="0"/>
          <w:bCs w:val="0"/>
          <w:i w:val="1"/>
          <w:iCs w:val="1"/>
          <w:u w:val="none"/>
        </w:rPr>
      </w:pPr>
      <w:r w:rsidRPr="4D37911B" w:rsidR="4435CBA5">
        <w:rPr>
          <w:b w:val="0"/>
          <w:bCs w:val="0"/>
          <w:i w:val="1"/>
          <w:iCs w:val="1"/>
          <w:u w:val="none"/>
        </w:rPr>
        <w:t>How does the number of carbon atoms present in a chemical compound affect the enthalpy of combustion?</w:t>
      </w:r>
    </w:p>
    <w:p xmlns:wp14="http://schemas.microsoft.com/office/word/2010/wordml" w:rsidP="4D37911B" wp14:paraId="2C078E63" wp14:textId="59A737CD">
      <w:pPr>
        <w:pStyle w:val="Heading1"/>
        <w:rPr>
          <w:b w:val="1"/>
          <w:bCs w:val="1"/>
          <w:u w:val="single"/>
        </w:rPr>
      </w:pPr>
      <w:r w:rsidR="77546ECB">
        <w:rPr/>
        <w:t>Rationale:</w:t>
      </w:r>
    </w:p>
    <w:p w:rsidR="7AE4281E" w:rsidP="64F0A789" w:rsidRDefault="7AE4281E" w14:paraId="76EA847A" w14:textId="5CF96FFF">
      <w:pPr>
        <w:jc w:val="left"/>
      </w:pPr>
      <w:r w:rsidR="7AE4281E">
        <w:rPr/>
        <w:t xml:space="preserve">Combustion reactions, </w:t>
      </w:r>
      <w:r w:rsidR="42C41486">
        <w:rPr/>
        <w:t>which involve the exothermic oxidation of fuels, are essential for energy production in industries, transportation, and everyday applications. The enthalpy of combustion</w:t>
      </w:r>
      <w:r w:rsidR="167489D5">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m:t>
          </m:r>
          <m:r xmlns:m="http://schemas.openxmlformats.org/officeDocument/2006/math">
            <m:t xmlns:m="http://schemas.openxmlformats.org/officeDocument/2006/math">𝐶</m:t>
          </m:r>
          <m:r xmlns:m="http://schemas.openxmlformats.org/officeDocument/2006/math">
            <m:t xmlns:m="http://schemas.openxmlformats.org/officeDocument/2006/math"> </m:t>
          </m:r>
        </m:oMath>
      </m:oMathPara>
      <w:r w:rsidR="7AF8BF8C">
        <w:rPr/>
        <w:t>), defined as the energy released per mole of a substance during complete combustion</w:t>
      </w:r>
      <w:r w:rsidR="763EB1DA">
        <w:rPr/>
        <w:t xml:space="preserve">, is an important parameter for evaluating fuel efficiency and environmental impact (</w:t>
      </w:r>
      <w:r w:rsidRPr="69624C91" w:rsidR="763EB1DA">
        <w:rPr>
          <w:i w:val="1"/>
          <w:iCs w:val="1"/>
        </w:rPr>
        <w:t xml:space="preserve">Atkins &amp; </w:t>
      </w:r>
      <w:r w:rsidRPr="69624C91" w:rsidR="016A2A64">
        <w:rPr>
          <w:i w:val="1"/>
          <w:iCs w:val="1"/>
        </w:rPr>
        <w:t xml:space="preserve">de Paula</w:t>
      </w:r>
      <w:r w:rsidR="016A2A64">
        <w:rPr/>
        <w:t xml:space="preserve">, 2010). </w:t>
      </w:r>
      <w:r w:rsidR="3A5F6202">
        <w:rPr/>
        <w:t xml:space="preserve">Carbon, a primary </w:t>
      </w:r>
      <w:r w:rsidR="3A5F6202">
        <w:rPr/>
        <w:t>component</w:t>
      </w:r>
      <w:r w:rsidR="3A5F6202">
        <w:rPr/>
        <w:t xml:space="preserve"> of hydrocarbons and organic fuels, plays a key role because its oxidation to carbon dioxide releases significant heat (</w:t>
      </w:r>
      <w:r w:rsidRPr="69624C91" w:rsidR="3A5F6202">
        <w:rPr>
          <w:i w:val="1"/>
          <w:iCs w:val="1"/>
        </w:rPr>
        <w:t xml:space="preserve">Glassman &amp; Yetter</w:t>
      </w:r>
      <w:r w:rsidR="3A5F6202">
        <w:rPr/>
        <w:t xml:space="preserve">, 2008).</w:t>
      </w:r>
      <w:r w:rsidR="42AFCFCF">
        <w:rPr/>
        <w:t xml:space="preserve"> </w:t>
      </w:r>
      <w:r w:rsidR="42AFCFCF">
        <w:rPr/>
        <w:t xml:space="preserve">While much research has focused on pure fuels, there is a gap in our understanding of how variations in carbon </w:t>
      </w:r>
      <w:r w:rsidR="56B607D7">
        <w:rPr/>
        <w:t xml:space="preserve">amounts</w:t>
      </w:r>
      <w:r w:rsidR="42AFCFCF">
        <w:rPr/>
        <w:t xml:space="preserve"> within different alcohols influence combustion energetics.</w:t>
      </w:r>
    </w:p>
    <w:p w:rsidR="47910E2B" w:rsidRDefault="47910E2B" w14:paraId="6AB2654A" w14:textId="02A36C62">
      <w:r w:rsidR="50549709">
        <w:rPr/>
        <w:t xml:space="preserve">This experiment is the product of several modifications made to </w:t>
      </w:r>
      <w:r w:rsidR="1B28BFBF">
        <w:rPr/>
        <w:t>a</w:t>
      </w:r>
      <w:r w:rsidR="50549709">
        <w:rPr/>
        <w:t xml:space="preserve"> base experiment</w:t>
      </w:r>
      <w:r w:rsidR="56BA1E95">
        <w:rPr/>
        <w:t xml:space="preserve"> that involved investigating the enthalpy of combustion for different foods</w:t>
      </w:r>
      <w:r w:rsidR="50549709">
        <w:rPr/>
        <w:t xml:space="preserve">, including alteration of the substances tested and the use of a more reliable experimental method (the addition of a heat shield, conducting multiple trials). </w:t>
      </w:r>
      <w:r w:rsidR="61487FA7">
        <w:rPr/>
        <w:t>This modified</w:t>
      </w:r>
      <w:r w:rsidR="47910E2B">
        <w:rPr/>
        <w:t xml:space="preserve"> </w:t>
      </w:r>
      <w:r w:rsidR="47910E2B">
        <w:rPr/>
        <w:t xml:space="preserve">experiment investigates the enthalpy of combustion for a series of alcohols: </w:t>
      </w:r>
      <w:r w:rsidR="719159D6">
        <w:rPr/>
        <w:t>ethanol, pentanol, and methanol</w:t>
      </w:r>
      <w:r w:rsidR="58A7F4FF">
        <w:rPr/>
        <w:t xml:space="preserve">, using calorimetry measurements. The study is designed to show the effect of varying carbon </w:t>
      </w:r>
      <w:r w:rsidR="0CD18902">
        <w:rPr/>
        <w:t>amounts</w:t>
      </w:r>
      <w:r w:rsidR="58A7F4FF">
        <w:rPr/>
        <w:t xml:space="preserve"> on the energy released during </w:t>
      </w:r>
      <w:r w:rsidR="1211DBF2">
        <w:rPr/>
        <w:t>combustion.</w:t>
      </w:r>
      <w:r w:rsidR="60F8277F">
        <w:rPr/>
        <w:t xml:space="preserve"> These modifications enhance the effectiveness of the experiment in testing the new research question.</w:t>
      </w:r>
    </w:p>
    <w:p w:rsidR="5E465033" w:rsidRDefault="5E465033" w14:paraId="52943B46" w14:textId="16751232">
      <w:r w:rsidR="5E465033">
        <w:rPr/>
        <w:t xml:space="preserve">Understanding how carbon </w:t>
      </w:r>
      <w:r w:rsidR="7FC8645A">
        <w:rPr/>
        <w:t xml:space="preserve">molecules </w:t>
      </w:r>
      <w:r w:rsidR="5E465033">
        <w:rPr/>
        <w:t xml:space="preserve">affect </w:t>
      </w:r>
      <w:r w:rsidR="64E72F1A">
        <w:rPr/>
        <w:t>a chemical’s</w:t>
      </w:r>
      <w:r w:rsidR="5E465033">
        <w:rPr/>
        <w:t xml:space="preserve"> enthalpy of combustion has implications for the formulation and optimization o</w:t>
      </w:r>
      <w:r w:rsidR="3CA4B778">
        <w:rPr/>
        <w:t>f fuels. Insights into combustion can help areas such as biofuel production and energy systems</w:t>
      </w:r>
      <w:r w:rsidR="7A25BA6E">
        <w:rPr/>
        <w:t>, where balancing energy density, cost, and emissions is important (</w:t>
      </w:r>
      <w:r w:rsidRPr="319C3D83" w:rsidR="7A25BA6E">
        <w:rPr>
          <w:i w:val="1"/>
          <w:iCs w:val="1"/>
        </w:rPr>
        <w:t>IEA</w:t>
      </w:r>
      <w:r w:rsidR="7A25BA6E">
        <w:rPr/>
        <w:t xml:space="preserve">, 2021). </w:t>
      </w:r>
      <w:r w:rsidR="47634AA6">
        <w:rPr/>
        <w:t xml:space="preserve">In addition, the experimental data will contribute to the broader field of thermochemistry by providing evidence that can help </w:t>
      </w:r>
      <w:r w:rsidR="538012ED">
        <w:rPr/>
        <w:t>with predictive models in combustion science.</w:t>
      </w:r>
    </w:p>
    <w:p w:rsidR="319C3D83" w:rsidRDefault="319C3D83" w14:paraId="2FA6E758" w14:textId="6E8373B1">
      <w:r>
        <w:br w:type="page"/>
      </w:r>
    </w:p>
    <w:p w:rsidR="097DED6A" w:rsidP="4D37911B" w:rsidRDefault="097DED6A" w14:paraId="5C867F3F" w14:textId="3D67F159">
      <w:pPr>
        <w:pStyle w:val="Heading1"/>
        <w:rPr>
          <w:b w:val="1"/>
          <w:bCs w:val="1"/>
          <w:i w:val="0"/>
          <w:iCs w:val="0"/>
          <w:u w:val="single"/>
        </w:rPr>
      </w:pPr>
      <w:r w:rsidR="097DED6A">
        <w:rPr/>
        <w:t>Method:</w:t>
      </w:r>
    </w:p>
    <w:p w:rsidR="097DED6A" w:rsidP="69624C91" w:rsidRDefault="097DED6A" w14:paraId="0C1DC6C0" w14:textId="247C9B44">
      <w:pPr>
        <w:rPr>
          <w:b w:val="1"/>
          <w:bCs w:val="1"/>
          <w:i w:val="1"/>
          <w:iCs w:val="1"/>
          <w:u w:val="none"/>
        </w:rPr>
      </w:pPr>
      <w:r w:rsidRPr="69624C91" w:rsidR="097DED6A">
        <w:rPr>
          <w:b w:val="1"/>
          <w:bCs w:val="1"/>
          <w:i w:val="1"/>
          <w:iCs w:val="1"/>
          <w:u w:val="none"/>
        </w:rPr>
        <w:t>Original Experiment</w:t>
      </w:r>
    </w:p>
    <w:p w:rsidR="097DED6A" w:rsidP="2EC0466A" w:rsidRDefault="097DED6A" w14:paraId="03126A7B" w14:textId="77D1C8F7">
      <w:pPr>
        <w:jc w:val="left"/>
        <w:rPr>
          <w:b w:val="0"/>
          <w:bCs w:val="0"/>
          <w:i w:val="0"/>
          <w:iCs w:val="0"/>
          <w:u w:val="none"/>
        </w:rPr>
      </w:pPr>
      <w:r w:rsidRPr="2EC0466A" w:rsidR="36BA5F5A">
        <w:rPr>
          <w:b w:val="0"/>
          <w:bCs w:val="0"/>
          <w:i w:val="0"/>
          <w:iCs w:val="0"/>
          <w:u w:val="none"/>
        </w:rPr>
        <w:t xml:space="preserve">The original experiment aimed to </w:t>
      </w:r>
      <w:r w:rsidRPr="2EC0466A" w:rsidR="36BA5F5A">
        <w:rPr>
          <w:b w:val="0"/>
          <w:bCs w:val="0"/>
          <w:i w:val="0"/>
          <w:iCs w:val="0"/>
          <w:u w:val="none"/>
        </w:rPr>
        <w:t>determine</w:t>
      </w:r>
      <w:r w:rsidRPr="2EC0466A" w:rsidR="36BA5F5A">
        <w:rPr>
          <w:b w:val="0"/>
          <w:bCs w:val="0"/>
          <w:i w:val="0"/>
          <w:iCs w:val="0"/>
          <w:u w:val="none"/>
        </w:rPr>
        <w:t xml:space="preserve"> the enthalpy of combustion of solid food samples using a simple calorimetry setup. A test tube clamped above a food tray held 10 mL of water, measured via a glass thermometer and 10 mL measuring cylinder. The </w:t>
      </w:r>
      <w:r w:rsidRPr="2EC0466A" w:rsidR="36BA5F5A">
        <w:rPr>
          <w:b w:val="0"/>
          <w:bCs w:val="0"/>
          <w:i w:val="0"/>
          <w:iCs w:val="0"/>
          <w:u w:val="none"/>
        </w:rPr>
        <w:t>initial</w:t>
      </w:r>
      <w:r w:rsidRPr="2EC0466A" w:rsidR="36BA5F5A">
        <w:rPr>
          <w:b w:val="0"/>
          <w:bCs w:val="0"/>
          <w:i w:val="0"/>
          <w:iCs w:val="0"/>
          <w:u w:val="none"/>
        </w:rPr>
        <w:t xml:space="preserve"> water temperature was recorded, and the pre-weighed food (e.g., nuts, crisps) was ignited using a Bunsen burner. Once aflame, the food was positioned </w:t>
      </w:r>
      <w:r w:rsidRPr="2EC0466A" w:rsidR="36BA5F5A">
        <w:rPr>
          <w:b w:val="0"/>
          <w:bCs w:val="0"/>
          <w:i w:val="0"/>
          <w:iCs w:val="0"/>
          <w:u w:val="none"/>
        </w:rPr>
        <w:t>2 cm</w:t>
      </w:r>
      <w:r w:rsidRPr="2EC0466A" w:rsidR="36BA5F5A">
        <w:rPr>
          <w:b w:val="0"/>
          <w:bCs w:val="0"/>
          <w:i w:val="0"/>
          <w:iCs w:val="0"/>
          <w:u w:val="none"/>
        </w:rPr>
        <w:t xml:space="preserve"> beneath the test tube, and the temperature change was </w:t>
      </w:r>
      <w:r w:rsidRPr="2EC0466A" w:rsidR="36BA5F5A">
        <w:rPr>
          <w:b w:val="0"/>
          <w:bCs w:val="0"/>
          <w:i w:val="0"/>
          <w:iCs w:val="0"/>
          <w:u w:val="none"/>
        </w:rPr>
        <w:t>monitored</w:t>
      </w:r>
      <w:r w:rsidRPr="2EC0466A" w:rsidR="36BA5F5A">
        <w:rPr>
          <w:b w:val="0"/>
          <w:bCs w:val="0"/>
          <w:i w:val="0"/>
          <w:iCs w:val="0"/>
          <w:u w:val="none"/>
        </w:rPr>
        <w:t>. After combustion ceased, the final water temperature was recorded, and the mass of the burned food was measured. Observations of flame color and soot deposition were noted. The heat absorbed by the wate</w:t>
      </w:r>
      <w:r w:rsidRPr="2EC0466A" w:rsidR="4933D35D">
        <w:rPr>
          <w:b w:val="0"/>
          <w:bCs w:val="0"/>
          <w:i w:val="0"/>
          <w:iCs w:val="0"/>
          <w:u w:val="none"/>
        </w:rPr>
        <w:t>r</w:t>
      </w:r>
      <w:r>
        <w:br/>
      </w:r>
      <w:r w:rsidRPr="2EC0466A" w:rsidR="3575FD17">
        <w:rPr>
          <w:b w:val="0"/>
          <w:bCs w:val="0"/>
          <w:i w:val="0"/>
          <w:iCs w:val="0"/>
          <w:u w:val="none"/>
        </w:rPr>
        <w:t>(</w:t>
      </w:r>
      <w:r w:rsidR="0CE6F66A">
        <w:drawing>
          <wp:inline wp14:editId="361D14B7" wp14:anchorId="3536BEF3">
            <wp:extent cx="829620" cy="155448"/>
            <wp:effectExtent l="0" t="0" r="0" b="0"/>
            <wp:docPr id="1226568499" name="" title=""/>
            <wp:cNvGraphicFramePr>
              <a:graphicFrameLocks noChangeAspect="1"/>
            </wp:cNvGraphicFramePr>
            <a:graphic>
              <a:graphicData uri="http://schemas.openxmlformats.org/drawingml/2006/picture">
                <pic:pic>
                  <pic:nvPicPr>
                    <pic:cNvPr id="0" name=""/>
                    <pic:cNvPicPr/>
                  </pic:nvPicPr>
                  <pic:blipFill>
                    <a:blip r:embed="R8e575d302f3641b9">
                      <a:extLst>
                        <a:ext xmlns:a="http://schemas.openxmlformats.org/drawingml/2006/main" uri="{28A0092B-C50C-407E-A947-70E740481C1C}">
                          <a14:useLocalDpi val="0"/>
                        </a:ext>
                      </a:extLst>
                    </a:blip>
                    <a:stretch>
                      <a:fillRect/>
                    </a:stretch>
                  </pic:blipFill>
                  <pic:spPr>
                    <a:xfrm>
                      <a:off x="0" y="0"/>
                      <a:ext cx="829620" cy="155448"/>
                    </a:xfrm>
                    <a:prstGeom prst="rect">
                      <a:avLst/>
                    </a:prstGeom>
                  </pic:spPr>
                </pic:pic>
              </a:graphicData>
            </a:graphic>
          </wp:inline>
        </w:drawing>
      </w:r>
      <w:r w:rsidRPr="2EC0466A" w:rsidR="36BA5F5A">
        <w:rPr>
          <w:b w:val="0"/>
          <w:bCs w:val="0"/>
          <w:i w:val="0"/>
          <w:iCs w:val="0"/>
          <w:u w:val="none"/>
        </w:rPr>
        <w:t>) was calculated, and the enthalpy of combustion per gram of food was derived. Only one trial per food type was conducted, and no heat shield was used, leading to potential heat loss.</w:t>
      </w:r>
    </w:p>
    <w:p w:rsidR="2E3E6D99" w:rsidP="2EC0466A" w:rsidRDefault="2E3E6D99" w14:paraId="70DB0F06" w14:textId="48E8B5A6">
      <w:pPr>
        <w:pStyle w:val="Heading2"/>
        <w:rPr>
          <w:b w:val="0"/>
          <w:bCs w:val="0"/>
          <w:i w:val="0"/>
          <w:iCs w:val="0"/>
          <w:u w:val="none"/>
        </w:rPr>
      </w:pPr>
      <w:r w:rsidR="2E3E6D99">
        <w:rPr/>
        <w:t>Modifications</w:t>
      </w:r>
    </w:p>
    <w:p w:rsidR="2E3E6D99" w:rsidP="2EC0466A" w:rsidRDefault="2E3E6D99" w14:paraId="15D79DCA" w14:textId="681B46E0">
      <w:pPr>
        <w:jc w:val="left"/>
        <w:rPr>
          <w:b w:val="0"/>
          <w:bCs w:val="0"/>
          <w:i w:val="0"/>
          <w:iCs w:val="0"/>
          <w:u w:val="none"/>
        </w:rPr>
      </w:pPr>
      <w:r w:rsidRPr="2EC0466A" w:rsidR="2E3E6D99">
        <w:rPr>
          <w:b w:val="0"/>
          <w:bCs w:val="0"/>
          <w:i w:val="0"/>
          <w:iCs w:val="0"/>
          <w:u w:val="none"/>
        </w:rPr>
        <w:t xml:space="preserve">Modifications addressed key limitations: the heat shield reduced environmental heat loss, the digital thermometer enhanced measurement precision, and the repeated trials improved data robustness. Liquid fuels required careful handling to prevent spillage, and combustion efficiency was </w:t>
      </w:r>
      <w:r w:rsidRPr="2EC0466A" w:rsidR="2E3E6D99">
        <w:rPr>
          <w:b w:val="0"/>
          <w:bCs w:val="0"/>
          <w:i w:val="0"/>
          <w:iCs w:val="0"/>
          <w:u w:val="none"/>
        </w:rPr>
        <w:t>monitored</w:t>
      </w:r>
      <w:r w:rsidRPr="2EC0466A" w:rsidR="2E3E6D99">
        <w:rPr>
          <w:b w:val="0"/>
          <w:bCs w:val="0"/>
          <w:i w:val="0"/>
          <w:iCs w:val="0"/>
          <w:u w:val="none"/>
        </w:rPr>
        <w:t xml:space="preserve"> via flame consistency.</w:t>
      </w:r>
    </w:p>
    <w:p w:rsidR="097DED6A" w:rsidP="1DEA2512" w:rsidRDefault="097DED6A" w14:paraId="4F0B531C" w14:textId="60F2DADB">
      <w:pPr>
        <w:jc w:val="left"/>
        <w:rPr>
          <w:b w:val="1"/>
          <w:bCs w:val="1"/>
          <w:i w:val="1"/>
          <w:iCs w:val="1"/>
          <w:u w:val="none"/>
        </w:rPr>
      </w:pPr>
      <w:r w:rsidRPr="1DEA2512" w:rsidR="2C3A3F7D">
        <w:rPr>
          <w:b w:val="1"/>
          <w:bCs w:val="1"/>
          <w:i w:val="1"/>
          <w:iCs w:val="1"/>
          <w:u w:val="none"/>
        </w:rPr>
        <w:t>Modified Experiment</w:t>
      </w:r>
    </w:p>
    <w:p w:rsidR="097DED6A" w:rsidP="336BC162" w:rsidRDefault="097DED6A" w14:paraId="0D1D3E2C" w14:textId="1266EE0E">
      <w:pPr>
        <w:jc w:val="left"/>
      </w:pPr>
      <w:r w:rsidRPr="2EC0466A" w:rsidR="609A1836">
        <w:rPr>
          <w:b w:val="0"/>
          <w:bCs w:val="0"/>
          <w:i w:val="0"/>
          <w:iCs w:val="0"/>
          <w:u w:val="none"/>
        </w:rPr>
        <w:t>The modified experiment replaced solid foods with liquid alcohols (ethanol, pentanol, methanol) and incorporated enhancements to improve accuracy. A heat shield</w:t>
      </w:r>
      <w:r w:rsidRPr="2EC0466A" w:rsidR="7DCFF598">
        <w:rPr>
          <w:b w:val="0"/>
          <w:bCs w:val="0"/>
          <w:i w:val="0"/>
          <w:iCs w:val="0"/>
          <w:u w:val="none"/>
        </w:rPr>
        <w:t xml:space="preserve"> </w:t>
      </w:r>
      <w:r w:rsidRPr="2EC0466A" w:rsidR="609A1836">
        <w:rPr>
          <w:b w:val="0"/>
          <w:bCs w:val="0"/>
          <w:i w:val="0"/>
          <w:iCs w:val="0"/>
          <w:u w:val="none"/>
        </w:rPr>
        <w:t>surrounded the setup to minimize heat loss</w:t>
      </w:r>
      <w:r w:rsidRPr="2EC0466A" w:rsidR="0971DFC5">
        <w:rPr>
          <w:b w:val="0"/>
          <w:bCs w:val="0"/>
          <w:i w:val="0"/>
          <w:iCs w:val="0"/>
          <w:u w:val="none"/>
        </w:rPr>
        <w:t>, a</w:t>
      </w:r>
      <w:r w:rsidRPr="2EC0466A" w:rsidR="609A1836">
        <w:rPr>
          <w:b w:val="0"/>
          <w:bCs w:val="0"/>
          <w:i w:val="0"/>
          <w:iCs w:val="0"/>
          <w:u w:val="none"/>
        </w:rPr>
        <w:t xml:space="preserve"> digital thermometer replaced the glass one for precise temperature readings</w:t>
      </w:r>
      <w:r w:rsidRPr="2EC0466A" w:rsidR="439C48DC">
        <w:rPr>
          <w:b w:val="0"/>
          <w:bCs w:val="0"/>
          <w:i w:val="0"/>
          <w:iCs w:val="0"/>
          <w:u w:val="none"/>
        </w:rPr>
        <w:t>, and</w:t>
      </w:r>
      <w:r w:rsidRPr="2EC0466A" w:rsidR="609A1836">
        <w:rPr>
          <w:b w:val="0"/>
          <w:bCs w:val="0"/>
          <w:i w:val="0"/>
          <w:iCs w:val="0"/>
          <w:u w:val="none"/>
        </w:rPr>
        <w:t xml:space="preserve"> </w:t>
      </w:r>
      <w:r w:rsidRPr="2EC0466A" w:rsidR="70588102">
        <w:rPr>
          <w:b w:val="0"/>
          <w:bCs w:val="0"/>
          <w:i w:val="0"/>
          <w:iCs w:val="0"/>
          <w:u w:val="none"/>
        </w:rPr>
        <w:t>e</w:t>
      </w:r>
      <w:r w:rsidRPr="2EC0466A" w:rsidR="609A1836">
        <w:rPr>
          <w:b w:val="0"/>
          <w:bCs w:val="0"/>
          <w:i w:val="0"/>
          <w:iCs w:val="0"/>
          <w:u w:val="none"/>
        </w:rPr>
        <w:t>ach alcohol was tested in</w:t>
      </w:r>
      <w:r w:rsidRPr="2EC0466A" w:rsidR="761E84DF">
        <w:rPr>
          <w:b w:val="0"/>
          <w:bCs w:val="0"/>
          <w:i w:val="0"/>
          <w:iCs w:val="0"/>
          <w:u w:val="none"/>
        </w:rPr>
        <w:t xml:space="preserve"> three trials</w:t>
      </w:r>
      <w:r w:rsidRPr="2EC0466A" w:rsidR="609A1836">
        <w:rPr>
          <w:b w:val="0"/>
          <w:bCs w:val="0"/>
          <w:i w:val="0"/>
          <w:iCs w:val="0"/>
          <w:u w:val="none"/>
        </w:rPr>
        <w:t xml:space="preserve"> to ensure reliability. The setup used a spirit burner </w:t>
      </w:r>
      <w:r w:rsidRPr="2EC0466A" w:rsidR="609A1836">
        <w:rPr>
          <w:b w:val="0"/>
          <w:bCs w:val="0"/>
          <w:i w:val="0"/>
          <w:iCs w:val="0"/>
          <w:u w:val="none"/>
        </w:rPr>
        <w:t>containing</w:t>
      </w:r>
      <w:r w:rsidRPr="2EC0466A" w:rsidR="609A1836">
        <w:rPr>
          <w:b w:val="0"/>
          <w:bCs w:val="0"/>
          <w:i w:val="0"/>
          <w:iCs w:val="0"/>
          <w:u w:val="none"/>
        </w:rPr>
        <w:t xml:space="preserve"> the alcohol, with </w:t>
      </w:r>
      <w:r w:rsidRPr="2EC0466A" w:rsidR="609A1836">
        <w:rPr>
          <w:b w:val="0"/>
          <w:bCs w:val="0"/>
          <w:i w:val="0"/>
          <w:iCs w:val="0"/>
          <w:u w:val="none"/>
        </w:rPr>
        <w:t>initial</w:t>
      </w:r>
      <w:r w:rsidRPr="2EC0466A" w:rsidR="609A1836">
        <w:rPr>
          <w:b w:val="0"/>
          <w:bCs w:val="0"/>
          <w:i w:val="0"/>
          <w:iCs w:val="0"/>
          <w:u w:val="none"/>
        </w:rPr>
        <w:t xml:space="preserve"> and final masses recorded to </w:t>
      </w:r>
      <w:r w:rsidRPr="2EC0466A" w:rsidR="609A1836">
        <w:rPr>
          <w:b w:val="0"/>
          <w:bCs w:val="0"/>
          <w:i w:val="0"/>
          <w:iCs w:val="0"/>
          <w:u w:val="none"/>
        </w:rPr>
        <w:t>determine</w:t>
      </w:r>
      <w:r w:rsidRPr="2EC0466A" w:rsidR="75D6ED84">
        <w:rPr>
          <w:b w:val="0"/>
          <w:bCs w:val="0"/>
          <w:i w:val="0"/>
          <w:iCs w:val="0"/>
          <w:u w:val="none"/>
        </w:rPr>
        <w:t xml:space="preserve"> the amount of</w:t>
      </w:r>
      <w:r w:rsidRPr="2EC0466A" w:rsidR="609A1836">
        <w:rPr>
          <w:b w:val="0"/>
          <w:bCs w:val="0"/>
          <w:i w:val="0"/>
          <w:iCs w:val="0"/>
          <w:u w:val="none"/>
        </w:rPr>
        <w:t xml:space="preserve"> </w:t>
      </w:r>
      <w:r w:rsidRPr="2EC0466A" w:rsidR="609A1836">
        <w:rPr>
          <w:b w:val="0"/>
          <w:bCs w:val="0"/>
          <w:i w:val="0"/>
          <w:iCs w:val="0"/>
          <w:u w:val="none"/>
        </w:rPr>
        <w:t xml:space="preserve">fuel consumed. For each trial, </w:t>
      </w:r>
      <w:r w:rsidRPr="2EC0466A" w:rsidR="7C3F94A6">
        <w:rPr>
          <w:b w:val="0"/>
          <w:bCs w:val="0"/>
          <w:i w:val="0"/>
          <w:iCs w:val="0"/>
          <w:u w:val="none"/>
        </w:rPr>
        <w:t>approximately 200</w:t>
      </w:r>
      <w:r w:rsidRPr="2EC0466A" w:rsidR="609A1836">
        <w:rPr>
          <w:b w:val="0"/>
          <w:bCs w:val="0"/>
          <w:i w:val="0"/>
          <w:iCs w:val="0"/>
          <w:u w:val="none"/>
        </w:rPr>
        <w:t xml:space="preserve"> </w:t>
      </w:r>
      <w:r w:rsidRPr="2EC0466A" w:rsidR="5893430E">
        <w:rPr>
          <w:b w:val="0"/>
          <w:bCs w:val="0"/>
          <w:i w:val="0"/>
          <w:iCs w:val="0"/>
          <w:u w:val="none"/>
        </w:rPr>
        <w:t>grams</w:t>
      </w:r>
      <w:r w:rsidRPr="2EC0466A" w:rsidR="609A1836">
        <w:rPr>
          <w:b w:val="0"/>
          <w:bCs w:val="0"/>
          <w:i w:val="0"/>
          <w:iCs w:val="0"/>
          <w:u w:val="none"/>
        </w:rPr>
        <w:t xml:space="preserve"> of water was</w:t>
      </w:r>
      <w:r w:rsidRPr="2EC0466A" w:rsidR="28134837">
        <w:rPr>
          <w:b w:val="0"/>
          <w:bCs w:val="0"/>
          <w:i w:val="0"/>
          <w:iCs w:val="0"/>
          <w:u w:val="none"/>
        </w:rPr>
        <w:t xml:space="preserve"> measured in a beaker and then</w:t>
      </w:r>
      <w:r w:rsidRPr="2EC0466A" w:rsidR="609A1836">
        <w:rPr>
          <w:b w:val="0"/>
          <w:bCs w:val="0"/>
          <w:i w:val="0"/>
          <w:iCs w:val="0"/>
          <w:u w:val="none"/>
        </w:rPr>
        <w:t xml:space="preserve"> heated in a </w:t>
      </w:r>
      <w:r w:rsidRPr="2EC0466A" w:rsidR="3AA5DCF1">
        <w:rPr>
          <w:b w:val="0"/>
          <w:bCs w:val="0"/>
          <w:i w:val="0"/>
          <w:iCs w:val="0"/>
          <w:u w:val="none"/>
        </w:rPr>
        <w:t>metal can</w:t>
      </w:r>
      <w:r w:rsidRPr="2EC0466A" w:rsidR="609A1836">
        <w:rPr>
          <w:b w:val="0"/>
          <w:bCs w:val="0"/>
          <w:i w:val="0"/>
          <w:iCs w:val="0"/>
          <w:u w:val="none"/>
        </w:rPr>
        <w:t xml:space="preserve"> clamped above the burner. After ignition, the flame heated the water until </w:t>
      </w:r>
      <w:r w:rsidRPr="2EC0466A" w:rsidR="561D91AC">
        <w:rPr>
          <w:b w:val="0"/>
          <w:bCs w:val="0"/>
          <w:i w:val="0"/>
          <w:iCs w:val="0"/>
          <w:u w:val="none"/>
        </w:rPr>
        <w:t xml:space="preserve">its temperature had risen by a certain amount (20 degrees for ethanol and pentanol, 10 degrees for </w:t>
      </w:r>
      <w:r w:rsidRPr="2EC0466A" w:rsidR="2497106D">
        <w:rPr>
          <w:b w:val="0"/>
          <w:bCs w:val="0"/>
          <w:i w:val="0"/>
          <w:iCs w:val="0"/>
          <w:u w:val="none"/>
        </w:rPr>
        <w:t>methanol)</w:t>
      </w:r>
      <w:r w:rsidRPr="2EC0466A" w:rsidR="609A1836">
        <w:rPr>
          <w:b w:val="0"/>
          <w:bCs w:val="0"/>
          <w:i w:val="0"/>
          <w:iCs w:val="0"/>
          <w:u w:val="none"/>
        </w:rPr>
        <w:t>. Temperature changes were recorded digitally, and the enthalpy of combustion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m:t>
          </m:r>
          <m:r xmlns:m="http://schemas.openxmlformats.org/officeDocument/2006/math">
            <m:t xmlns:m="http://schemas.openxmlformats.org/officeDocument/2006/math">𝐶</m:t>
          </m:r>
          <m:r xmlns:m="http://schemas.openxmlformats.org/officeDocument/2006/math">
            <m:t xmlns:m="http://schemas.openxmlformats.org/officeDocument/2006/math"> </m:t>
          </m:r>
        </m:oMath>
      </m:oMathPara>
      <w:r w:rsidRPr="2EC0466A" w:rsidR="609A1836">
        <w:rPr>
          <w:b w:val="0"/>
          <w:bCs w:val="0"/>
          <w:i w:val="0"/>
          <w:iCs w:val="0"/>
          <w:u w:val="none"/>
        </w:rPr>
        <w:t xml:space="preserve">) </w:t>
      </w:r>
      <w:r w:rsidRPr="2EC0466A" w:rsidR="609A1836">
        <w:rPr>
          <w:b w:val="0"/>
          <w:bCs w:val="0"/>
          <w:i w:val="0"/>
          <w:iCs w:val="0"/>
          <w:u w:val="none"/>
        </w:rPr>
        <w:t>was</w:t>
      </w:r>
      <w:r w:rsidRPr="2EC0466A" w:rsidR="609A1836">
        <w:rPr>
          <w:b w:val="0"/>
          <w:bCs w:val="0"/>
          <w:i w:val="0"/>
          <w:iCs w:val="0"/>
          <w:u w:val="none"/>
        </w:rPr>
        <w:t xml:space="preserve"> calculated per </w:t>
      </w:r>
      <w:r w:rsidRPr="2EC0466A" w:rsidR="431C20E0">
        <w:rPr>
          <w:b w:val="0"/>
          <w:bCs w:val="0"/>
          <w:i w:val="0"/>
          <w:iCs w:val="0"/>
          <w:u w:val="none"/>
        </w:rPr>
        <w:t xml:space="preserve">gram </w:t>
      </w:r>
      <w:r w:rsidRPr="2EC0466A" w:rsidR="609A1836">
        <w:rPr>
          <w:b w:val="0"/>
          <w:bCs w:val="0"/>
          <w:i w:val="0"/>
          <w:iCs w:val="0"/>
          <w:u w:val="none"/>
        </w:rPr>
        <w:t>usin</w:t>
      </w:r>
      <w:r w:rsidRPr="2EC0466A" w:rsidR="3FA94A0A">
        <w:rPr>
          <w:b w:val="0"/>
          <w:bCs w:val="0"/>
          <w:i w:val="0"/>
          <w:iCs w:val="0"/>
          <w:u w:val="none"/>
        </w:rPr>
        <w:t xml:space="preserve">g </w:t>
      </w:r>
      <w:r w:rsidR="52E15A2F">
        <w:drawing>
          <wp:inline wp14:editId="78428E90" wp14:anchorId="1B95C0D8">
            <wp:extent cx="829620" cy="155448"/>
            <wp:effectExtent l="0" t="0" r="0" b="0"/>
            <wp:docPr id="518516809" name="" title=""/>
            <wp:cNvGraphicFramePr>
              <a:graphicFrameLocks noChangeAspect="1"/>
            </wp:cNvGraphicFramePr>
            <a:graphic>
              <a:graphicData uri="http://schemas.openxmlformats.org/drawingml/2006/picture">
                <pic:pic>
                  <pic:nvPicPr>
                    <pic:cNvPr id="0" name=""/>
                    <pic:cNvPicPr/>
                  </pic:nvPicPr>
                  <pic:blipFill>
                    <a:blip r:embed="R0b7a7e6ce0634c84">
                      <a:extLst>
                        <a:ext xmlns:a="http://schemas.openxmlformats.org/drawingml/2006/main" uri="{28A0092B-C50C-407E-A947-70E740481C1C}">
                          <a14:useLocalDpi val="0"/>
                        </a:ext>
                      </a:extLst>
                    </a:blip>
                    <a:stretch>
                      <a:fillRect/>
                    </a:stretch>
                  </pic:blipFill>
                  <pic:spPr>
                    <a:xfrm>
                      <a:off x="0" y="0"/>
                      <a:ext cx="829620" cy="155448"/>
                    </a:xfrm>
                    <a:prstGeom prst="rect">
                      <a:avLst/>
                    </a:prstGeom>
                  </pic:spPr>
                </pic:pic>
              </a:graphicData>
            </a:graphic>
          </wp:inline>
        </w:drawing>
      </w:r>
      <w:r>
        <w:br w:type="page"/>
      </w:r>
    </w:p>
    <w:p w:rsidR="097DED6A" w:rsidP="4D37911B" w:rsidRDefault="097DED6A" w14:paraId="06EE69B3" w14:textId="2979AE80">
      <w:pPr>
        <w:pStyle w:val="Heading1"/>
        <w:rPr>
          <w:b w:val="1"/>
          <w:bCs w:val="1"/>
          <w:i w:val="0"/>
          <w:iCs w:val="0"/>
          <w:u w:val="single"/>
        </w:rPr>
      </w:pPr>
      <w:r w:rsidR="097DED6A">
        <w:rPr/>
        <w:t>Results:</w:t>
      </w:r>
    </w:p>
    <w:p w:rsidR="097DED6A" w:rsidP="4D37911B" w:rsidRDefault="097DED6A" w14:paraId="7512B285" w14:textId="17925F64">
      <w:pPr>
        <w:pStyle w:val="NoSpacing"/>
        <w:rPr>
          <w:b w:val="0"/>
          <w:bCs w:val="0"/>
          <w:i w:val="1"/>
          <w:iCs w:val="1"/>
          <w:u w:val="none"/>
        </w:rPr>
      </w:pPr>
      <w:r w:rsidR="2666A7FC">
        <w:rPr/>
        <w:t>Figure 1 (Results Table):</w:t>
      </w:r>
    </w:p>
    <w:tbl>
      <w:tblPr>
        <w:tblStyle w:val="Table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71"/>
        <w:gridCol w:w="1335"/>
        <w:gridCol w:w="1606"/>
        <w:gridCol w:w="1471"/>
        <w:gridCol w:w="1605"/>
        <w:gridCol w:w="1336"/>
      </w:tblGrid>
      <w:tr w:rsidR="4D37911B" w:rsidTr="5F780E57" w14:paraId="09AFA823">
        <w:trPr>
          <w:trHeight w:val="300"/>
        </w:trPr>
        <w:tc>
          <w:tcPr>
            <w:tcW w:w="1471" w:type="dxa"/>
            <w:tcMar>
              <w:left w:w="105" w:type="dxa"/>
              <w:right w:w="105" w:type="dxa"/>
            </w:tcMar>
            <w:vAlign w:val="center"/>
          </w:tcPr>
          <w:p w:rsidR="4D37911B" w:rsidP="4D37911B" w:rsidRDefault="4D37911B" w14:paraId="0EF71BFF" w14:textId="6A1680B3">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1"/>
                <w:bCs w:val="1"/>
                <w:i w:val="0"/>
                <w:iCs w:val="0"/>
                <w:caps w:val="0"/>
                <w:smallCaps w:val="0"/>
                <w:color w:val="000000" w:themeColor="text1" w:themeTint="FF" w:themeShade="FF"/>
                <w:sz w:val="24"/>
                <w:szCs w:val="24"/>
                <w:lang w:val="en-US"/>
              </w:rPr>
              <w:t>Alcohol</w:t>
            </w:r>
          </w:p>
        </w:tc>
        <w:tc>
          <w:tcPr>
            <w:tcW w:w="1335" w:type="dxa"/>
            <w:tcMar>
              <w:left w:w="105" w:type="dxa"/>
              <w:right w:w="105" w:type="dxa"/>
            </w:tcMar>
            <w:vAlign w:val="center"/>
          </w:tcPr>
          <w:p w:rsidR="4D37911B" w:rsidP="4D37911B" w:rsidRDefault="4D37911B" w14:paraId="2C67DC45" w14:textId="6E8A4B20">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1"/>
                <w:bCs w:val="1"/>
                <w:i w:val="0"/>
                <w:iCs w:val="0"/>
                <w:caps w:val="0"/>
                <w:smallCaps w:val="0"/>
                <w:color w:val="000000" w:themeColor="text1" w:themeTint="FF" w:themeShade="FF"/>
                <w:sz w:val="24"/>
                <w:szCs w:val="24"/>
                <w:lang w:val="en-US"/>
              </w:rPr>
              <w:t>Carbon Atoms</w:t>
            </w:r>
          </w:p>
        </w:tc>
        <w:tc>
          <w:tcPr>
            <w:tcW w:w="1606" w:type="dxa"/>
            <w:tcMar>
              <w:left w:w="105" w:type="dxa"/>
              <w:right w:w="105" w:type="dxa"/>
            </w:tcMar>
            <w:vAlign w:val="center"/>
          </w:tcPr>
          <w:p w:rsidR="4D37911B" w:rsidP="4D37911B" w:rsidRDefault="4D37911B" w14:paraId="66027C84" w14:textId="028DB4D1">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1"/>
                <w:bCs w:val="1"/>
                <w:i w:val="0"/>
                <w:iCs w:val="0"/>
                <w:caps w:val="0"/>
                <w:smallCaps w:val="0"/>
                <w:color w:val="000000" w:themeColor="text1" w:themeTint="FF" w:themeShade="FF"/>
                <w:sz w:val="24"/>
                <w:szCs w:val="24"/>
                <w:lang w:val="en-US"/>
              </w:rPr>
              <w:t>Average Combustion Enthalpy (kJ/g)</w:t>
            </w:r>
          </w:p>
        </w:tc>
        <w:tc>
          <w:tcPr>
            <w:tcW w:w="1471" w:type="dxa"/>
            <w:tcMar>
              <w:left w:w="105" w:type="dxa"/>
              <w:right w:w="105" w:type="dxa"/>
            </w:tcMar>
            <w:vAlign w:val="center"/>
          </w:tcPr>
          <w:p w:rsidR="4D37911B" w:rsidP="4D37911B" w:rsidRDefault="4D37911B" w14:paraId="2C9EEB0F" w14:textId="28D76D9B">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1"/>
                <w:bCs w:val="1"/>
                <w:i w:val="0"/>
                <w:iCs w:val="0"/>
                <w:caps w:val="0"/>
                <w:smallCaps w:val="0"/>
                <w:color w:val="000000" w:themeColor="text1" w:themeTint="FF" w:themeShade="FF"/>
                <w:sz w:val="24"/>
                <w:szCs w:val="24"/>
                <w:lang w:val="en-US"/>
              </w:rPr>
              <w:t>Mol. Weight (g/mol)</w:t>
            </w:r>
          </w:p>
        </w:tc>
        <w:tc>
          <w:tcPr>
            <w:tcW w:w="1605" w:type="dxa"/>
            <w:tcMar>
              <w:left w:w="105" w:type="dxa"/>
              <w:right w:w="105" w:type="dxa"/>
            </w:tcMar>
            <w:vAlign w:val="center"/>
          </w:tcPr>
          <w:p w:rsidR="4D37911B" w:rsidP="4D37911B" w:rsidRDefault="4D37911B" w14:paraId="10C1D0F3" w14:textId="17B7D59E">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1"/>
                <w:bCs w:val="1"/>
                <w:i w:val="0"/>
                <w:iCs w:val="0"/>
                <w:caps w:val="0"/>
                <w:smallCaps w:val="0"/>
                <w:color w:val="000000" w:themeColor="text1" w:themeTint="FF" w:themeShade="FF"/>
                <w:sz w:val="24"/>
                <w:szCs w:val="24"/>
                <w:lang w:val="en-US"/>
              </w:rPr>
              <w:t>Theoretical Value (kJ/</w:t>
            </w:r>
            <w:r w:rsidRPr="4D37911B" w:rsidR="0192CFF2">
              <w:rPr>
                <w:rFonts w:ascii="Aptos" w:hAnsi="Aptos" w:eastAsia="Aptos" w:cs="Aptos"/>
                <w:b w:val="1"/>
                <w:bCs w:val="1"/>
                <w:i w:val="0"/>
                <w:iCs w:val="0"/>
                <w:caps w:val="0"/>
                <w:smallCaps w:val="0"/>
                <w:color w:val="000000" w:themeColor="text1" w:themeTint="FF" w:themeShade="FF"/>
                <w:sz w:val="24"/>
                <w:szCs w:val="24"/>
                <w:lang w:val="en-US"/>
              </w:rPr>
              <w:t>g</w:t>
            </w:r>
            <w:r w:rsidRPr="4D37911B" w:rsidR="4D37911B">
              <w:rPr>
                <w:rFonts w:ascii="Aptos" w:hAnsi="Aptos" w:eastAsia="Aptos" w:cs="Aptos"/>
                <w:b w:val="1"/>
                <w:bCs w:val="1"/>
                <w:i w:val="0"/>
                <w:iCs w:val="0"/>
                <w:caps w:val="0"/>
                <w:smallCaps w:val="0"/>
                <w:color w:val="000000" w:themeColor="text1" w:themeTint="FF" w:themeShade="FF"/>
                <w:sz w:val="24"/>
                <w:szCs w:val="24"/>
                <w:lang w:val="en-US"/>
              </w:rPr>
              <w:t>)</w:t>
            </w:r>
          </w:p>
        </w:tc>
        <w:tc>
          <w:tcPr>
            <w:tcW w:w="1336" w:type="dxa"/>
            <w:tcMar>
              <w:left w:w="105" w:type="dxa"/>
              <w:right w:w="105" w:type="dxa"/>
            </w:tcMar>
            <w:vAlign w:val="center"/>
          </w:tcPr>
          <w:p w:rsidR="4D37911B" w:rsidP="4D37911B" w:rsidRDefault="4D37911B" w14:paraId="66837D58" w14:textId="2FB837A1">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1"/>
                <w:bCs w:val="1"/>
                <w:i w:val="0"/>
                <w:iCs w:val="0"/>
                <w:caps w:val="0"/>
                <w:smallCaps w:val="0"/>
                <w:color w:val="000000" w:themeColor="text1" w:themeTint="FF" w:themeShade="FF"/>
                <w:sz w:val="24"/>
                <w:szCs w:val="24"/>
                <w:lang w:val="en-US"/>
              </w:rPr>
              <w:t>% Error</w:t>
            </w:r>
          </w:p>
        </w:tc>
      </w:tr>
      <w:tr w:rsidR="4D37911B" w:rsidTr="5F780E57" w14:paraId="18E44B93">
        <w:trPr>
          <w:trHeight w:val="840"/>
        </w:trPr>
        <w:tc>
          <w:tcPr>
            <w:tcW w:w="1471" w:type="dxa"/>
            <w:tcMar>
              <w:left w:w="105" w:type="dxa"/>
              <w:right w:w="105" w:type="dxa"/>
            </w:tcMar>
            <w:vAlign w:val="center"/>
          </w:tcPr>
          <w:p w:rsidR="4D37911B" w:rsidP="4D37911B" w:rsidRDefault="4D37911B" w14:paraId="517946A7" w14:textId="588FB2A5">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Methano</w:t>
            </w:r>
            <w:r w:rsidRPr="4D37911B" w:rsidR="0892FD72">
              <w:rPr>
                <w:rFonts w:ascii="Aptos" w:hAnsi="Aptos" w:eastAsia="Aptos" w:cs="Aptos"/>
                <w:b w:val="0"/>
                <w:bCs w:val="0"/>
                <w:i w:val="0"/>
                <w:iCs w:val="0"/>
                <w:caps w:val="0"/>
                <w:smallCaps w:val="0"/>
                <w:color w:val="000000" w:themeColor="text1" w:themeTint="FF" w:themeShade="FF"/>
                <w:sz w:val="24"/>
                <w:szCs w:val="24"/>
                <w:lang w:val="en-US"/>
              </w:rPr>
              <w:t>l</w:t>
            </w:r>
          </w:p>
        </w:tc>
        <w:tc>
          <w:tcPr>
            <w:tcW w:w="1335" w:type="dxa"/>
            <w:tcMar>
              <w:left w:w="105" w:type="dxa"/>
              <w:right w:w="105" w:type="dxa"/>
            </w:tcMar>
            <w:vAlign w:val="center"/>
          </w:tcPr>
          <w:p w:rsidR="4D37911B" w:rsidP="4D37911B" w:rsidRDefault="4D37911B" w14:paraId="4897F303" w14:textId="39399374">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1</w:t>
            </w:r>
          </w:p>
        </w:tc>
        <w:tc>
          <w:tcPr>
            <w:tcW w:w="1606" w:type="dxa"/>
            <w:tcMar>
              <w:left w:w="105" w:type="dxa"/>
              <w:right w:w="105" w:type="dxa"/>
            </w:tcMar>
            <w:vAlign w:val="center"/>
          </w:tcPr>
          <w:p w:rsidR="4D37911B" w:rsidP="5F780E57" w:rsidRDefault="4D37911B" w14:paraId="3105D4B0" w14:textId="3C95472B">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5F780E57" w:rsidR="3C30B187">
              <w:rPr>
                <w:rFonts w:ascii="Aptos" w:hAnsi="Aptos" w:eastAsia="Aptos" w:cs="Aptos"/>
                <w:b w:val="0"/>
                <w:bCs w:val="0"/>
                <w:i w:val="0"/>
                <w:iCs w:val="0"/>
                <w:caps w:val="0"/>
                <w:smallCaps w:val="0"/>
                <w:color w:val="000000" w:themeColor="text1" w:themeTint="FF" w:themeShade="FF"/>
                <w:sz w:val="24"/>
                <w:szCs w:val="24"/>
                <w:lang w:val="en-US"/>
              </w:rPr>
              <w:t xml:space="preserve">-6.29 ± </w:t>
            </w:r>
            <w:r w:rsidRPr="5F780E57" w:rsidR="46B635FB">
              <w:rPr>
                <w:rFonts w:ascii="Aptos" w:hAnsi="Aptos" w:eastAsia="Aptos" w:cs="Aptos"/>
                <w:b w:val="0"/>
                <w:bCs w:val="0"/>
                <w:i w:val="0"/>
                <w:iCs w:val="0"/>
                <w:caps w:val="0"/>
                <w:smallCaps w:val="0"/>
                <w:color w:val="000000" w:themeColor="text1" w:themeTint="FF" w:themeShade="FF"/>
                <w:sz w:val="24"/>
                <w:szCs w:val="24"/>
                <w:lang w:val="en-US"/>
              </w:rPr>
              <w:t>0.34</w:t>
            </w:r>
          </w:p>
        </w:tc>
        <w:tc>
          <w:tcPr>
            <w:tcW w:w="1471" w:type="dxa"/>
            <w:tcMar>
              <w:left w:w="105" w:type="dxa"/>
              <w:right w:w="105" w:type="dxa"/>
            </w:tcMar>
            <w:vAlign w:val="center"/>
          </w:tcPr>
          <w:p w:rsidR="4D37911B" w:rsidP="4D37911B" w:rsidRDefault="4D37911B" w14:paraId="6F7EB1E0" w14:textId="28A09AB0">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32.04</w:t>
            </w:r>
          </w:p>
        </w:tc>
        <w:tc>
          <w:tcPr>
            <w:tcW w:w="1605" w:type="dxa"/>
            <w:tcMar>
              <w:left w:w="105" w:type="dxa"/>
              <w:right w:w="105" w:type="dxa"/>
            </w:tcMar>
            <w:vAlign w:val="center"/>
          </w:tcPr>
          <w:p w:rsidR="4D37911B" w:rsidP="4D37911B" w:rsidRDefault="4D37911B" w14:paraId="1E0D0CEA" w14:textId="75918B8B">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w:t>
            </w:r>
            <w:r w:rsidRPr="4D37911B" w:rsidR="6208F7C8">
              <w:rPr>
                <w:rFonts w:ascii="Aptos" w:hAnsi="Aptos" w:eastAsia="Aptos" w:cs="Aptos"/>
                <w:b w:val="0"/>
                <w:bCs w:val="0"/>
                <w:i w:val="0"/>
                <w:iCs w:val="0"/>
                <w:caps w:val="0"/>
                <w:smallCaps w:val="0"/>
                <w:color w:val="000000" w:themeColor="text1" w:themeTint="FF" w:themeShade="FF"/>
                <w:sz w:val="24"/>
                <w:szCs w:val="24"/>
                <w:lang w:val="en-US"/>
              </w:rPr>
              <w:t>22.65</w:t>
            </w:r>
          </w:p>
        </w:tc>
        <w:tc>
          <w:tcPr>
            <w:tcW w:w="1336" w:type="dxa"/>
            <w:tcMar>
              <w:left w:w="105" w:type="dxa"/>
              <w:right w:w="105" w:type="dxa"/>
            </w:tcMar>
            <w:vAlign w:val="center"/>
          </w:tcPr>
          <w:p w:rsidR="4D37911B" w:rsidP="4D37911B" w:rsidRDefault="4D37911B" w14:paraId="553E779D" w14:textId="0EFDFF69">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72.2%</w:t>
            </w:r>
          </w:p>
        </w:tc>
      </w:tr>
      <w:tr w:rsidR="4D37911B" w:rsidTr="5F780E57" w14:paraId="7C833959">
        <w:trPr>
          <w:trHeight w:val="300"/>
        </w:trPr>
        <w:tc>
          <w:tcPr>
            <w:tcW w:w="1471" w:type="dxa"/>
            <w:tcMar>
              <w:left w:w="105" w:type="dxa"/>
              <w:right w:w="105" w:type="dxa"/>
            </w:tcMar>
            <w:vAlign w:val="center"/>
          </w:tcPr>
          <w:p w:rsidR="4D37911B" w:rsidP="4D37911B" w:rsidRDefault="4D37911B" w14:paraId="46744B83" w14:textId="60A79248">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Ethano</w:t>
            </w:r>
            <w:r w:rsidRPr="4D37911B" w:rsidR="0D3AD6F3">
              <w:rPr>
                <w:rFonts w:ascii="Aptos" w:hAnsi="Aptos" w:eastAsia="Aptos" w:cs="Aptos"/>
                <w:b w:val="0"/>
                <w:bCs w:val="0"/>
                <w:i w:val="0"/>
                <w:iCs w:val="0"/>
                <w:caps w:val="0"/>
                <w:smallCaps w:val="0"/>
                <w:color w:val="000000" w:themeColor="text1" w:themeTint="FF" w:themeShade="FF"/>
                <w:sz w:val="24"/>
                <w:szCs w:val="24"/>
                <w:lang w:val="en-US"/>
              </w:rPr>
              <w:t>l</w:t>
            </w:r>
          </w:p>
        </w:tc>
        <w:tc>
          <w:tcPr>
            <w:tcW w:w="1335" w:type="dxa"/>
            <w:tcMar>
              <w:left w:w="105" w:type="dxa"/>
              <w:right w:w="105" w:type="dxa"/>
            </w:tcMar>
            <w:vAlign w:val="center"/>
          </w:tcPr>
          <w:p w:rsidR="0D3AD6F3" w:rsidP="4D37911B" w:rsidRDefault="0D3AD6F3" w14:paraId="5728F6CF" w14:textId="0E29131D">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0D3AD6F3">
              <w:rPr>
                <w:rFonts w:ascii="Aptos" w:hAnsi="Aptos" w:eastAsia="Aptos" w:cs="Aptos"/>
                <w:b w:val="0"/>
                <w:bCs w:val="0"/>
                <w:i w:val="0"/>
                <w:iCs w:val="0"/>
                <w:caps w:val="0"/>
                <w:smallCaps w:val="0"/>
                <w:color w:val="000000" w:themeColor="text1" w:themeTint="FF" w:themeShade="FF"/>
                <w:sz w:val="24"/>
                <w:szCs w:val="24"/>
                <w:lang w:val="en-US"/>
              </w:rPr>
              <w:t>2</w:t>
            </w:r>
          </w:p>
        </w:tc>
        <w:tc>
          <w:tcPr>
            <w:tcW w:w="1606" w:type="dxa"/>
            <w:tcMar>
              <w:left w:w="105" w:type="dxa"/>
              <w:right w:w="105" w:type="dxa"/>
            </w:tcMar>
            <w:vAlign w:val="center"/>
          </w:tcPr>
          <w:p w:rsidR="4D37911B" w:rsidP="5F780E57" w:rsidRDefault="4D37911B" w14:paraId="7CC60A67" w14:textId="451CAA9C">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5F780E57" w:rsidR="3C30B187">
              <w:rPr>
                <w:rFonts w:ascii="Aptos" w:hAnsi="Aptos" w:eastAsia="Aptos" w:cs="Aptos"/>
                <w:b w:val="0"/>
                <w:bCs w:val="0"/>
                <w:i w:val="0"/>
                <w:iCs w:val="0"/>
                <w:caps w:val="0"/>
                <w:smallCaps w:val="0"/>
                <w:color w:val="000000" w:themeColor="text1" w:themeTint="FF" w:themeShade="FF"/>
                <w:sz w:val="24"/>
                <w:szCs w:val="24"/>
                <w:lang w:val="en-US"/>
              </w:rPr>
              <w:t xml:space="preserve">-5.91 ± </w:t>
            </w:r>
            <w:r w:rsidRPr="5F780E57" w:rsidR="6965EBB0">
              <w:rPr>
                <w:rFonts w:ascii="Aptos" w:hAnsi="Aptos" w:eastAsia="Aptos" w:cs="Aptos"/>
                <w:b w:val="0"/>
                <w:bCs w:val="0"/>
                <w:i w:val="0"/>
                <w:iCs w:val="0"/>
                <w:caps w:val="0"/>
                <w:smallCaps w:val="0"/>
                <w:color w:val="000000" w:themeColor="text1" w:themeTint="FF" w:themeShade="FF"/>
                <w:sz w:val="24"/>
                <w:szCs w:val="24"/>
                <w:lang w:val="en-US"/>
              </w:rPr>
              <w:t>0.20</w:t>
            </w:r>
          </w:p>
        </w:tc>
        <w:tc>
          <w:tcPr>
            <w:tcW w:w="1471" w:type="dxa"/>
            <w:tcMar>
              <w:left w:w="105" w:type="dxa"/>
              <w:right w:w="105" w:type="dxa"/>
            </w:tcMar>
            <w:vAlign w:val="center"/>
          </w:tcPr>
          <w:p w:rsidR="4D37911B" w:rsidP="4D37911B" w:rsidRDefault="4D37911B" w14:paraId="544B16F2" w14:textId="7B68633A">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46.07</w:t>
            </w:r>
          </w:p>
        </w:tc>
        <w:tc>
          <w:tcPr>
            <w:tcW w:w="1605" w:type="dxa"/>
            <w:tcMar>
              <w:left w:w="105" w:type="dxa"/>
              <w:right w:w="105" w:type="dxa"/>
            </w:tcMar>
            <w:vAlign w:val="center"/>
          </w:tcPr>
          <w:p w:rsidR="4D37911B" w:rsidP="4D37911B" w:rsidRDefault="4D37911B" w14:paraId="5BCC0D5E" w14:textId="563141EE">
            <w:pPr>
              <w:spacing w:before="240" w:beforeAutospacing="off" w:after="24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w:t>
            </w:r>
            <w:r w:rsidRPr="4D37911B" w:rsidR="603AD55D">
              <w:rPr>
                <w:rFonts w:ascii="Aptos" w:hAnsi="Aptos" w:eastAsia="Aptos" w:cs="Aptos"/>
                <w:noProof w:val="0"/>
                <w:sz w:val="24"/>
                <w:szCs w:val="24"/>
                <w:lang w:val="en-US"/>
              </w:rPr>
              <w:t>29.69</w:t>
            </w:r>
          </w:p>
        </w:tc>
        <w:tc>
          <w:tcPr>
            <w:tcW w:w="1336" w:type="dxa"/>
            <w:tcMar>
              <w:left w:w="105" w:type="dxa"/>
              <w:right w:w="105" w:type="dxa"/>
            </w:tcMar>
            <w:vAlign w:val="center"/>
          </w:tcPr>
          <w:p w:rsidR="4D37911B" w:rsidP="4D37911B" w:rsidRDefault="4D37911B" w14:paraId="7303BF2B" w14:textId="0A161696">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80.1%</w:t>
            </w:r>
          </w:p>
        </w:tc>
      </w:tr>
      <w:tr w:rsidR="4D37911B" w:rsidTr="5F780E57" w14:paraId="7DED8D33">
        <w:trPr>
          <w:trHeight w:val="825"/>
        </w:trPr>
        <w:tc>
          <w:tcPr>
            <w:tcW w:w="1471" w:type="dxa"/>
            <w:tcMar>
              <w:left w:w="105" w:type="dxa"/>
              <w:right w:w="105" w:type="dxa"/>
            </w:tcMar>
            <w:vAlign w:val="center"/>
          </w:tcPr>
          <w:p w:rsidR="4D37911B" w:rsidP="4D37911B" w:rsidRDefault="4D37911B" w14:paraId="0250F4E7" w14:textId="3A819236">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Pentanol</w:t>
            </w:r>
          </w:p>
        </w:tc>
        <w:tc>
          <w:tcPr>
            <w:tcW w:w="1335" w:type="dxa"/>
            <w:tcMar>
              <w:left w:w="105" w:type="dxa"/>
              <w:right w:w="105" w:type="dxa"/>
            </w:tcMar>
            <w:vAlign w:val="center"/>
          </w:tcPr>
          <w:p w:rsidR="4D37911B" w:rsidP="4D37911B" w:rsidRDefault="4D37911B" w14:paraId="4E6A727D" w14:textId="46D7BEA2">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5</w:t>
            </w:r>
          </w:p>
        </w:tc>
        <w:tc>
          <w:tcPr>
            <w:tcW w:w="1606" w:type="dxa"/>
            <w:tcMar>
              <w:left w:w="105" w:type="dxa"/>
              <w:right w:w="105" w:type="dxa"/>
            </w:tcMar>
            <w:vAlign w:val="center"/>
          </w:tcPr>
          <w:p w:rsidR="4D37911B" w:rsidP="5F780E57" w:rsidRDefault="4D37911B" w14:paraId="1A214B2F" w14:textId="4FA04893">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5F780E57" w:rsidR="3C30B187">
              <w:rPr>
                <w:rFonts w:ascii="Aptos" w:hAnsi="Aptos" w:eastAsia="Aptos" w:cs="Aptos"/>
                <w:b w:val="0"/>
                <w:bCs w:val="0"/>
                <w:i w:val="0"/>
                <w:iCs w:val="0"/>
                <w:caps w:val="0"/>
                <w:smallCaps w:val="0"/>
                <w:color w:val="000000" w:themeColor="text1" w:themeTint="FF" w:themeShade="FF"/>
                <w:sz w:val="24"/>
                <w:szCs w:val="24"/>
                <w:lang w:val="en-US"/>
              </w:rPr>
              <w:t>-11.70</w:t>
            </w:r>
            <w:r w:rsidRPr="5F780E57" w:rsidR="39693E97">
              <w:rPr>
                <w:rFonts w:ascii="Aptos" w:hAnsi="Aptos" w:eastAsia="Aptos" w:cs="Aptos"/>
                <w:b w:val="0"/>
                <w:bCs w:val="0"/>
                <w:i w:val="0"/>
                <w:iCs w:val="0"/>
                <w:caps w:val="0"/>
                <w:smallCaps w:val="0"/>
                <w:color w:val="000000" w:themeColor="text1" w:themeTint="FF" w:themeShade="FF"/>
                <w:sz w:val="24"/>
                <w:szCs w:val="24"/>
                <w:lang w:val="en-US"/>
              </w:rPr>
              <w:t xml:space="preserve"> </w:t>
            </w:r>
            <w:r w:rsidRPr="5F780E57" w:rsidR="3C30B187">
              <w:rPr>
                <w:rFonts w:ascii="Aptos" w:hAnsi="Aptos" w:eastAsia="Aptos" w:cs="Aptos"/>
                <w:b w:val="0"/>
                <w:bCs w:val="0"/>
                <w:i w:val="0"/>
                <w:iCs w:val="0"/>
                <w:caps w:val="0"/>
                <w:smallCaps w:val="0"/>
                <w:color w:val="000000" w:themeColor="text1" w:themeTint="FF" w:themeShade="FF"/>
                <w:sz w:val="24"/>
                <w:szCs w:val="24"/>
                <w:lang w:val="en-US"/>
              </w:rPr>
              <w:t>±</w:t>
            </w:r>
            <w:r w:rsidRPr="5F780E57" w:rsidR="46BB95D9">
              <w:rPr>
                <w:rFonts w:ascii="Aptos" w:hAnsi="Aptos" w:eastAsia="Aptos" w:cs="Aptos"/>
                <w:b w:val="0"/>
                <w:bCs w:val="0"/>
                <w:i w:val="0"/>
                <w:iCs w:val="0"/>
                <w:caps w:val="0"/>
                <w:smallCaps w:val="0"/>
                <w:color w:val="000000" w:themeColor="text1" w:themeTint="FF" w:themeShade="FF"/>
                <w:sz w:val="24"/>
                <w:szCs w:val="24"/>
                <w:lang w:val="en-US"/>
              </w:rPr>
              <w:t xml:space="preserve"> </w:t>
            </w:r>
            <w:r w:rsidRPr="5F780E57" w:rsidR="51653C86">
              <w:rPr>
                <w:rFonts w:ascii="Aptos" w:hAnsi="Aptos" w:eastAsia="Aptos" w:cs="Aptos"/>
                <w:b w:val="0"/>
                <w:bCs w:val="0"/>
                <w:i w:val="0"/>
                <w:iCs w:val="0"/>
                <w:caps w:val="0"/>
                <w:smallCaps w:val="0"/>
                <w:color w:val="000000" w:themeColor="text1" w:themeTint="FF" w:themeShade="FF"/>
                <w:sz w:val="24"/>
                <w:szCs w:val="24"/>
                <w:lang w:val="en-US"/>
              </w:rPr>
              <w:t>0.64</w:t>
            </w:r>
          </w:p>
        </w:tc>
        <w:tc>
          <w:tcPr>
            <w:tcW w:w="1471" w:type="dxa"/>
            <w:tcMar>
              <w:left w:w="105" w:type="dxa"/>
              <w:right w:w="105" w:type="dxa"/>
            </w:tcMar>
            <w:vAlign w:val="center"/>
          </w:tcPr>
          <w:p w:rsidR="4D37911B" w:rsidP="4D37911B" w:rsidRDefault="4D37911B" w14:paraId="49C7ED89" w14:textId="53B525A0">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88.15</w:t>
            </w:r>
          </w:p>
        </w:tc>
        <w:tc>
          <w:tcPr>
            <w:tcW w:w="1605" w:type="dxa"/>
            <w:tcMar>
              <w:left w:w="105" w:type="dxa"/>
              <w:right w:w="105" w:type="dxa"/>
            </w:tcMar>
            <w:vAlign w:val="center"/>
          </w:tcPr>
          <w:p w:rsidR="4D37911B" w:rsidP="4D37911B" w:rsidRDefault="4D37911B" w14:paraId="441A4880" w14:textId="35159B0E">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-3</w:t>
            </w:r>
            <w:r w:rsidRPr="4D37911B" w:rsidR="1753850E">
              <w:rPr>
                <w:rFonts w:ascii="Aptos" w:hAnsi="Aptos" w:eastAsia="Aptos" w:cs="Aptos"/>
                <w:b w:val="0"/>
                <w:bCs w:val="0"/>
                <w:i w:val="0"/>
                <w:iCs w:val="0"/>
                <w:caps w:val="0"/>
                <w:smallCaps w:val="0"/>
                <w:color w:val="000000" w:themeColor="text1" w:themeTint="FF" w:themeShade="FF"/>
                <w:sz w:val="24"/>
                <w:szCs w:val="24"/>
                <w:lang w:val="en-US"/>
              </w:rPr>
              <w:t>7.79</w:t>
            </w:r>
          </w:p>
        </w:tc>
        <w:tc>
          <w:tcPr>
            <w:tcW w:w="1336" w:type="dxa"/>
            <w:tcMar>
              <w:left w:w="105" w:type="dxa"/>
              <w:right w:w="105" w:type="dxa"/>
            </w:tcMar>
            <w:vAlign w:val="center"/>
          </w:tcPr>
          <w:p w:rsidR="4D37911B" w:rsidP="4D37911B" w:rsidRDefault="4D37911B" w14:paraId="2ADC8D2B" w14:textId="7D9C3F79">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69.0%</w:t>
            </w:r>
          </w:p>
        </w:tc>
      </w:tr>
    </w:tbl>
    <w:p w:rsidR="336BC162" w:rsidRDefault="336BC162" w14:paraId="22BB0D27" w14:textId="08C366C8"/>
    <w:p w:rsidR="1DEA2512" w:rsidP="1DEA2512" w:rsidRDefault="1DEA2512" w14:paraId="40D17464" w14:textId="4273E357">
      <w:pPr>
        <w:rPr>
          <w:b w:val="0"/>
          <w:bCs w:val="0"/>
          <w:i w:val="0"/>
          <w:iCs w:val="0"/>
          <w:u w:val="none"/>
        </w:rPr>
      </w:pPr>
    </w:p>
    <w:p w:rsidR="1DEA2512" w:rsidP="336BC162" w:rsidRDefault="1DEA2512" w14:paraId="761C1AE2" w14:textId="240A31D7">
      <w:pPr>
        <w:rPr>
          <w:b w:val="0"/>
          <w:bCs w:val="0"/>
          <w:i w:val="0"/>
          <w:iCs w:val="0"/>
          <w:u w:val="none"/>
        </w:rPr>
      </w:pPr>
      <w:r w:rsidRPr="336BC162" w:rsidR="3DBF90F4">
        <w:rPr>
          <w:b w:val="0"/>
          <w:bCs w:val="0"/>
          <w:i w:val="0"/>
          <w:iCs w:val="0"/>
          <w:u w:val="none"/>
        </w:rPr>
        <w:t>Worked example</w:t>
      </w:r>
      <w:r w:rsidRPr="336BC162" w:rsidR="4284388E">
        <w:rPr>
          <w:b w:val="0"/>
          <w:bCs w:val="0"/>
          <w:i w:val="0"/>
          <w:iCs w:val="0"/>
          <w:u w:val="none"/>
        </w:rPr>
        <w:t xml:space="preserve"> for methanol trial 1</w:t>
      </w:r>
    </w:p>
    <w:p w:rsidR="336BC162" w:rsidP="69C57A0E" w:rsidRDefault="336BC162" w14:paraId="53064CB6" w14:textId="2250C81C">
      <w:pPr>
        <w:pStyle w:val="ListParagraph"/>
        <w:numPr>
          <w:ilvl w:val="0"/>
          <w:numId w:val="8"/>
        </w:numPr>
        <w:jc w:val="left"/>
        <w:rPr/>
      </w:pP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Uncertainty</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in</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water</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mass</m:t>
          </m:r>
          <m:r xmlns:m="http://schemas.openxmlformats.org/officeDocument/2006/math">
            <m:t xmlns:m="http://schemas.openxmlformats.org/officeDocument/2006/math">=0.05</m:t>
          </m:r>
          <m:r xmlns:m="http://schemas.openxmlformats.org/officeDocument/2006/math">
            <m:t xmlns:m="http://schemas.openxmlformats.org/officeDocument/2006/math">𝑔</m:t>
          </m:r>
        </m:oMath>
      </m:oMathPara>
      <w:r>
        <w:br/>
      </w: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Relative</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Uncertainty</m:t>
          </m:r>
          <m:r xmlns:m="http://schemas.openxmlformats.org/officeDocument/2006/math">
            <m:t xmlns:m="http://schemas.openxmlformats.org/officeDocument/2006/math">=</m:t>
          </m:r>
          <m:f xmlns:m="http://schemas.openxmlformats.org/officeDocument/2006/math">
            <m:fPr>
              <m:ctrlPr/>
            </m:fPr>
            <m:num>
              <m:r>
                <m:t>0.05</m:t>
              </m:r>
            </m:num>
            <m:den>
              <m:r>
                <m:t>199.8</m:t>
              </m:r>
            </m:den>
          </m:f>
          <m:r xmlns:m="http://schemas.openxmlformats.org/officeDocument/2006/math">
            <m:t xmlns:m="http://schemas.openxmlformats.org/officeDocument/2006/math">≈0.000250</m:t>
          </m:r>
        </m:oMath>
      </m:oMathPara>
    </w:p>
    <w:p w:rsidR="336BC162" w:rsidP="69C57A0E" w:rsidRDefault="336BC162" w14:paraId="60B9D46D" w14:textId="4369ADE5">
      <w:pPr>
        <w:pStyle w:val="ListParagraph"/>
        <w:numPr>
          <w:ilvl w:val="0"/>
          <w:numId w:val="8"/>
        </w:numPr>
        <w:jc w:val="left"/>
        <w:rPr/>
      </w:pP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Uncertainty</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in</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temperature</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measurements</m:t>
          </m:r>
          <m:r xmlns:m="http://schemas.openxmlformats.org/officeDocument/2006/math">
            <m:t xmlns:m="http://schemas.openxmlformats.org/officeDocument/2006/math">=0.05°</m:t>
          </m:r>
          <m:r xmlns:m="http://schemas.openxmlformats.org/officeDocument/2006/math">
            <m:t xmlns:m="http://schemas.openxmlformats.org/officeDocument/2006/math">𝑐</m:t>
          </m:r>
        </m:oMath>
      </m:oMathPara>
      <w:r>
        <w:br/>
      </w: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Relative</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Uncertainty</m:t>
          </m:r>
          <m:r xmlns:m="http://schemas.openxmlformats.org/officeDocument/2006/math">
            <m:t xmlns:m="http://schemas.openxmlformats.org/officeDocument/2006/math">=</m:t>
          </m:r>
          <m:f xmlns:m="http://schemas.openxmlformats.org/officeDocument/2006/math">
            <m:fPr>
              <m:ctrlPr/>
            </m:fPr>
            <m:num>
              <m:rad>
                <m:radPr>
                  <m:degHide m:val="on"/>
                  <m:ctrlPr/>
                </m:radPr>
                <m:deg/>
                <m:e>
                  <m:sSup>
                    <m:sSupPr>
                      <m:ctrlPr/>
                    </m:sSupPr>
                    <m:e>
                      <m:d>
                        <m:dPr>
                          <m:ctrlPr/>
                        </m:dPr>
                        <m:e>
                          <m:r>
                            <m:t>0.05</m:t>
                          </m:r>
                        </m:e>
                      </m:d>
                    </m:e>
                    <m:sup>
                      <m:r>
                        <m:t>2</m:t>
                      </m:r>
                    </m:sup>
                  </m:sSup>
                  <m:r>
                    <m:t>+</m:t>
                  </m:r>
                  <m:sSup>
                    <m:sSupPr>
                      <m:ctrlPr/>
                    </m:sSupPr>
                    <m:e>
                      <m:d>
                        <m:dPr>
                          <m:ctrlPr/>
                        </m:dPr>
                        <m:e>
                          <m:r>
                            <m:t>0.05</m:t>
                          </m:r>
                        </m:e>
                      </m:d>
                    </m:e>
                    <m:sup>
                      <m:r>
                        <m:t>2</m:t>
                      </m:r>
                    </m:sup>
                  </m:sSup>
                </m:e>
              </m:rad>
            </m:num>
            <m:den>
              <m:r>
                <m:t>10.0</m:t>
              </m:r>
            </m:den>
          </m:f>
          <m:r xmlns:m="http://schemas.openxmlformats.org/officeDocument/2006/math">
            <m:t xmlns:m="http://schemas.openxmlformats.org/officeDocument/2006/math">≈0.00707</m:t>
          </m:r>
        </m:oMath>
      </m:oMathPara>
    </w:p>
    <w:p w:rsidR="336BC162" w:rsidP="69C57A0E" w:rsidRDefault="336BC162" w14:paraId="5DB6A5B8" w14:textId="6EAD7569">
      <w:pPr>
        <w:pStyle w:val="ListParagraph"/>
        <w:numPr>
          <w:ilvl w:val="0"/>
          <w:numId w:val="8"/>
        </w:numPr>
        <w:jc w:val="left"/>
        <w:rPr/>
      </w:pP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Uncertainty</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in</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alcohol</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mass</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measurements</m:t>
          </m:r>
          <m:r xmlns:m="http://schemas.openxmlformats.org/officeDocument/2006/math">
            <m:t xmlns:m="http://schemas.openxmlformats.org/officeDocument/2006/math">=0.05</m:t>
          </m:r>
          <m:r xmlns:m="http://schemas.openxmlformats.org/officeDocument/2006/math">
            <m:t xmlns:m="http://schemas.openxmlformats.org/officeDocument/2006/math">𝑔</m:t>
          </m:r>
        </m:oMath>
      </m:oMathPara>
      <w:r>
        <w:br/>
      </w: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Relative</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Uncertainty</m:t>
          </m:r>
          <m:r xmlns:m="http://schemas.openxmlformats.org/officeDocument/2006/math">
            <m:t xmlns:m="http://schemas.openxmlformats.org/officeDocument/2006/math">=</m:t>
          </m:r>
          <m:f xmlns:m="http://schemas.openxmlformats.org/officeDocument/2006/math">
            <m:fPr>
              <m:ctrlPr/>
            </m:fPr>
            <m:num>
              <m:rad>
                <m:radPr>
                  <m:degHide m:val="on"/>
                  <m:ctrlPr/>
                </m:radPr>
                <m:deg/>
                <m:e>
                  <m:sSup>
                    <m:sSupPr>
                      <m:ctrlPr/>
                    </m:sSupPr>
                    <m:e>
                      <m:d>
                        <m:dPr>
                          <m:ctrlPr/>
                        </m:dPr>
                        <m:e>
                          <m:r>
                            <m:t>0.05</m:t>
                          </m:r>
                        </m:e>
                      </m:d>
                    </m:e>
                    <m:sup>
                      <m:r>
                        <m:t>2</m:t>
                      </m:r>
                    </m:sup>
                  </m:sSup>
                  <m:r>
                    <m:t>+</m:t>
                  </m:r>
                  <m:sSup>
                    <m:sSupPr>
                      <m:ctrlPr/>
                    </m:sSupPr>
                    <m:e>
                      <m:d>
                        <m:dPr>
                          <m:ctrlPr/>
                        </m:dPr>
                        <m:e>
                          <m:r>
                            <m:t>0.05</m:t>
                          </m:r>
                        </m:e>
                      </m:d>
                    </m:e>
                    <m:sup>
                      <m:r>
                        <m:t>2</m:t>
                      </m:r>
                    </m:sup>
                  </m:sSup>
                </m:e>
              </m:rad>
            </m:num>
            <m:den>
              <m:r>
                <m:t>1.4</m:t>
              </m:r>
            </m:den>
          </m:f>
          <m:r xmlns:m="http://schemas.openxmlformats.org/officeDocument/2006/math">
            <m:t xmlns:m="http://schemas.openxmlformats.org/officeDocument/2006/math">≈0.0505</m:t>
          </m:r>
        </m:oMath>
      </m:oMathPara>
    </w:p>
    <w:p w:rsidR="336BC162" w:rsidP="69C57A0E" w:rsidRDefault="336BC162" w14:paraId="13D71388" w14:textId="3EDC1243">
      <w:pPr>
        <w:pStyle w:val="ListParagraph"/>
        <w:numPr>
          <w:ilvl w:val="0"/>
          <w:numId w:val="8"/>
        </w:numPr>
        <w:jc w:val="left"/>
        <w:rPr/>
      </w:pP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Sum</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Of</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Relative</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Uncertainty</m:t>
          </m:r>
          <m:r xmlns:m="http://schemas.openxmlformats.org/officeDocument/2006/math">
            <m:t xmlns:m="http://schemas.openxmlformats.org/officeDocument/2006/math">=</m:t>
          </m:r>
          <m:rad xmlns:m="http://schemas.openxmlformats.org/officeDocument/2006/math">
            <m:radPr>
              <m:degHide m:val="on"/>
              <m:ctrlPr/>
            </m:radPr>
            <m:deg/>
            <m:e>
              <m:sSup>
                <m:sSupPr>
                  <m:ctrlPr/>
                </m:sSupPr>
                <m:e>
                  <m:r>
                    <m:t>0.000250</m:t>
                  </m:r>
                </m:e>
                <m:sup>
                  <m:r>
                    <m:t>2</m:t>
                  </m:r>
                </m:sup>
              </m:sSup>
              <m:r>
                <m:t>+</m:t>
              </m:r>
              <m:sSup>
                <m:sSupPr>
                  <m:ctrlPr/>
                </m:sSupPr>
                <m:e>
                  <m:r>
                    <m:t>0.00707</m:t>
                  </m:r>
                </m:e>
                <m:sup>
                  <m:r>
                    <m:t>2</m:t>
                  </m:r>
                </m:sup>
              </m:sSup>
              <m:r>
                <m:t>+</m:t>
              </m:r>
              <m:sSup>
                <m:sSupPr>
                  <m:ctrlPr/>
                </m:sSupPr>
                <m:e>
                  <m:r>
                    <m:t>0.0505</m:t>
                  </m:r>
                </m:e>
                <m:sup>
                  <m:r>
                    <m:t>2</m:t>
                  </m:r>
                </m:sup>
              </m:sSup>
            </m:e>
          </m:rad>
          <m:r xmlns:m="http://schemas.openxmlformats.org/officeDocument/2006/math">
            <m:t xmlns:m="http://schemas.openxmlformats.org/officeDocument/2006/math">≈0.051 </m:t>
          </m:r>
          <m:r xmlns:m="http://schemas.openxmlformats.org/officeDocument/2006/math">
            <m:rPr xmlns:m="http://schemas.openxmlformats.org/officeDocument/2006/math">
              <m:nor/>
            </m:rPr>
            <m:t xmlns:m="http://schemas.openxmlformats.org/officeDocument/2006/math">or</m:t>
          </m:r>
          <m:r xmlns:m="http://schemas.openxmlformats.org/officeDocument/2006/math">
            <m:t xmlns:m="http://schemas.openxmlformats.org/officeDocument/2006/math"> 5.1%</m:t>
          </m:r>
        </m:oMath>
      </m:oMathPara>
      <w:r>
        <w:br/>
      </w:r>
    </w:p>
    <w:p w:rsidR="336BC162" w:rsidP="69C57A0E" w:rsidRDefault="336BC162" w14:paraId="4EE57690" w14:textId="6F03BE5A">
      <w:pPr>
        <w:pStyle w:val="ListParagraph"/>
        <w:numPr>
          <w:ilvl w:val="0"/>
          <w:numId w:val="8"/>
        </w:numPr>
        <w:jc w:val="left"/>
        <w:rPr>
          <w:b w:val="0"/>
          <w:bCs w:val="0"/>
          <w:i w:val="0"/>
          <w:iCs w:val="0"/>
          <w:sz w:val="24"/>
          <w:szCs w:val="24"/>
          <w:u w:val="none"/>
        </w:rPr>
      </w:pP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Absolute</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Uncertainty</m:t>
          </m:r>
          <m:r xmlns:m="http://schemas.openxmlformats.org/officeDocument/2006/math">
            <m:t xmlns:m="http://schemas.openxmlformats.org/officeDocument/2006/math">=0.051×5.971 </m:t>
          </m:r>
          <m:r xmlns:m="http://schemas.openxmlformats.org/officeDocument/2006/math">
            <m:rPr xmlns:m="http://schemas.openxmlformats.org/officeDocument/2006/math">
              <m:nor/>
            </m:rPr>
            <m:t xmlns:m="http://schemas.openxmlformats.org/officeDocument/2006/math">kJ</m:t>
          </m:r>
          <m:r xmlns:m="http://schemas.openxmlformats.org/officeDocument/2006/math">
            <m:rPr xmlns:m="http://schemas.openxmlformats.org/officeDocument/2006/math">
              <m:lit/>
              <m:nor/>
            </m:rPr>
            <m:t xmlns:m="http://schemas.openxmlformats.org/officeDocument/2006/math">/</m:t>
          </m:r>
          <m:r xmlns:m="http://schemas.openxmlformats.org/officeDocument/2006/math">
            <m:rPr xmlns:m="http://schemas.openxmlformats.org/officeDocument/2006/math">
              <m:nor/>
            </m:rPr>
            <m:t xmlns:m="http://schemas.openxmlformats.org/officeDocument/2006/math">g</m:t>
          </m:r>
          <m:r xmlns:m="http://schemas.openxmlformats.org/officeDocument/2006/math">
            <m:t xmlns:m="http://schemas.openxmlformats.org/officeDocument/2006/math">≈0.3045 </m:t>
          </m:r>
          <m:d xmlns:m="http://schemas.openxmlformats.org/officeDocument/2006/math">
            <m:dPr>
              <m:ctrlPr/>
            </m:dPr>
            <m:e>
              <m:r>
                <m:rPr>
                  <m:nor/>
                </m:rPr>
                <m:t>Rounded</m:t>
              </m:r>
              <m:r>
                <m:rPr>
                  <m:nor/>
                </m:rPr>
                <m:t> </m:t>
              </m:r>
              <m:r>
                <m:rPr>
                  <m:nor/>
                </m:rPr>
                <m:t>to</m:t>
              </m:r>
              <m:r>
                <m:t> ±0.30 </m:t>
              </m:r>
              <m:r>
                <m:rPr>
                  <m:nor/>
                </m:rPr>
                <m:t>kJ</m:t>
              </m:r>
              <m:r>
                <m:rPr>
                  <m:lit/>
                  <m:nor/>
                </m:rPr>
                <m:t>/</m:t>
              </m:r>
              <m:r>
                <m:rPr>
                  <m:nor/>
                </m:rPr>
                <m:t>g</m:t>
              </m:r>
            </m:e>
          </m:d>
          <m:r xmlns:m="http://schemas.openxmlformats.org/officeDocument/2006/math">
            <m:t xmlns:m="http://schemas.openxmlformats.org/officeDocument/2006/math">┤</m:t>
          </m:r>
          <m:r xmlns:m="http://schemas.openxmlformats.org/officeDocument/2006/math">
            <m:t xmlns:m="http://schemas.openxmlformats.org/officeDocument/2006/math">) </m:t>
          </m:r>
        </m:oMath>
      </m:oMathPara>
    </w:p>
    <w:p w:rsidR="1CC0B707" w:rsidP="336BC162" w:rsidRDefault="1CC0B707" w14:paraId="36F88FB8" w14:textId="3301E4BE">
      <w:pPr>
        <w:pStyle w:val="Heading1"/>
      </w:pPr>
      <w:r w:rsidR="6DC90BA8">
        <w:rPr/>
        <w:t>Discuss</w:t>
      </w:r>
      <w:r w:rsidR="1CC0B707">
        <w:rPr/>
        <w:t>ion:</w:t>
      </w:r>
    </w:p>
    <w:p w:rsidR="1CC0B707" w:rsidP="336BC162" w:rsidRDefault="1CC0B707" w14:paraId="19B81E96" w14:textId="16268619">
      <w:pPr>
        <w:pStyle w:val="Normal"/>
        <w:rPr>
          <w:b w:val="0"/>
          <w:bCs w:val="0"/>
          <w:i w:val="0"/>
          <w:iCs w:val="0"/>
          <w:u w:val="none"/>
        </w:rPr>
      </w:pPr>
      <w:r w:rsidRPr="336BC162" w:rsidR="415F9CE3">
        <w:rPr>
          <w:b w:val="0"/>
          <w:bCs w:val="0"/>
          <w:i w:val="0"/>
          <w:iCs w:val="0"/>
          <w:u w:val="none"/>
        </w:rPr>
        <w:t>The experimental data indicate that as the number of carbon atoms in the alcohol molecules increases, the magnitude of the combustion enthalpy becomes greater (i.e., more negative). Specifically, pentanol (with 5 carbon atoms) exhibited a noticeably more exothermic combustion enthalpy compared to methanol (1 carbon) and ethanol (2 carbons). Although the theoretical trend based on bond enthalpy data predicts a clear increase in energy release with additional carbon atoms, the experimental results for methanol and ethanol are very similar. This suggests that while the overall trend is present, the proportional increase in energy release with each additional carbon atom is not strictly linear in the measured data.</w:t>
      </w:r>
    </w:p>
    <w:p w:rsidR="1CC0B707" w:rsidP="336BC162" w:rsidRDefault="1CC0B707" w14:paraId="06F15783" w14:textId="313FD4CE">
      <w:pPr>
        <w:pStyle w:val="Heading2"/>
        <w:rPr>
          <w:b w:val="1"/>
          <w:bCs w:val="1"/>
          <w:i w:val="1"/>
          <w:iCs w:val="1"/>
          <w:u w:val="none"/>
        </w:rPr>
      </w:pPr>
      <w:r w:rsidR="415F9CE3">
        <w:rPr/>
        <w:t>Theoretical Explanation</w:t>
      </w:r>
    </w:p>
    <w:p w:rsidR="1CC0B707" w:rsidP="336BC162" w:rsidRDefault="1CC0B707" w14:paraId="7E38D9A3" w14:textId="31A9CFB7">
      <w:pPr>
        <w:pStyle w:val="Normal"/>
        <w:rPr>
          <w:b w:val="0"/>
          <w:bCs w:val="0"/>
          <w:i w:val="0"/>
          <w:iCs w:val="0"/>
          <w:u w:val="none"/>
        </w:rPr>
      </w:pPr>
      <w:r w:rsidRPr="336BC162" w:rsidR="415F9CE3">
        <w:rPr>
          <w:b w:val="0"/>
          <w:bCs w:val="0"/>
          <w:i w:val="0"/>
          <w:iCs w:val="0"/>
          <w:u w:val="none"/>
        </w:rPr>
        <w:t>The combustion of alcohols involves breaking bonds (such as C–H and C–C) and forming new bonds in the products, notably in carbon dioxide and water. Theoretically, as the number of carbon atoms increases, the total energy released during these bond rearrangements should also increase, leading to a more exothermic reaction</w:t>
      </w:r>
      <w:r w:rsidRPr="336BC162" w:rsidR="413C9861">
        <w:rPr>
          <w:b w:val="0"/>
          <w:bCs w:val="0"/>
          <w:i w:val="0"/>
          <w:iCs w:val="0"/>
          <w:u w:val="none"/>
        </w:rPr>
        <w:t xml:space="preserve"> (</w:t>
      </w:r>
      <w:r w:rsidRPr="336BC162" w:rsidR="413C9861">
        <w:rPr>
          <w:i w:val="1"/>
          <w:iCs w:val="1"/>
        </w:rPr>
        <w:t>Glassman &amp; Yetter</w:t>
      </w:r>
      <w:r w:rsidR="413C9861">
        <w:rPr/>
        <w:t>, 2008)</w:t>
      </w:r>
      <w:r w:rsidRPr="336BC162" w:rsidR="415F9CE3">
        <w:rPr>
          <w:b w:val="0"/>
          <w:bCs w:val="0"/>
          <w:i w:val="0"/>
          <w:iCs w:val="0"/>
          <w:u w:val="none"/>
        </w:rPr>
        <w:t xml:space="preserve">. The observation that pentanol shows a larger </w:t>
      </w:r>
      <w:r w:rsidRPr="336BC162" w:rsidR="415F9CE3">
        <w:rPr>
          <w:b w:val="0"/>
          <w:bCs w:val="0"/>
          <w:i w:val="0"/>
          <w:iCs w:val="0"/>
          <w:u w:val="none"/>
        </w:rPr>
        <w:t>magnitude</w:t>
      </w:r>
      <w:r w:rsidRPr="336BC162" w:rsidR="415F9CE3">
        <w:rPr>
          <w:b w:val="0"/>
          <w:bCs w:val="0"/>
          <w:i w:val="0"/>
          <w:iCs w:val="0"/>
          <w:u w:val="none"/>
        </w:rPr>
        <w:t xml:space="preserve"> of combustion enthalpy is consistent with this theoretical expectation. However, the near-identical values for methanol and ethanol </w:t>
      </w:r>
      <w:r w:rsidRPr="336BC162" w:rsidR="415F9CE3">
        <w:rPr>
          <w:b w:val="0"/>
          <w:bCs w:val="0"/>
          <w:i w:val="0"/>
          <w:iCs w:val="0"/>
          <w:u w:val="none"/>
        </w:rPr>
        <w:t>indicate</w:t>
      </w:r>
      <w:r w:rsidRPr="336BC162" w:rsidR="415F9CE3">
        <w:rPr>
          <w:b w:val="0"/>
          <w:bCs w:val="0"/>
          <w:i w:val="0"/>
          <w:iCs w:val="0"/>
          <w:u w:val="none"/>
        </w:rPr>
        <w:t xml:space="preserve"> that experimental factors may be masking the expected gradation, highlighting some deviations from the bond enthalpy predictions.</w:t>
      </w:r>
    </w:p>
    <w:p w:rsidR="1CC0B707" w:rsidP="336BC162" w:rsidRDefault="1CC0B707" w14:paraId="64786A19" w14:textId="78B0ED5A">
      <w:pPr>
        <w:pStyle w:val="Heading2"/>
        <w:rPr>
          <w:b w:val="0"/>
          <w:bCs w:val="0"/>
          <w:i w:val="0"/>
          <w:iCs w:val="0"/>
          <w:u w:val="none"/>
        </w:rPr>
      </w:pPr>
      <w:r w:rsidR="415F9CE3">
        <w:rPr/>
        <w:t>Limitations and Uncertainties</w:t>
      </w:r>
    </w:p>
    <w:p w:rsidR="1CC0B707" w:rsidP="69C57A0E" w:rsidRDefault="1CC0B707" w14:paraId="56B3E33C" w14:textId="6E97D22A">
      <w:pPr>
        <w:pStyle w:val="Normal"/>
        <w:ind w:left="0"/>
        <w:rPr>
          <w:b w:val="0"/>
          <w:bCs w:val="0"/>
          <w:i w:val="0"/>
          <w:iCs w:val="0"/>
          <w:sz w:val="24"/>
          <w:szCs w:val="24"/>
          <w:u w:val="none"/>
        </w:rPr>
      </w:pPr>
      <w:r w:rsidRPr="69C57A0E" w:rsidR="415F9CE3">
        <w:rPr>
          <w:b w:val="0"/>
          <w:bCs w:val="0"/>
          <w:i w:val="0"/>
          <w:iCs w:val="0"/>
          <w:u w:val="none"/>
        </w:rPr>
        <w:t>Several factors may have contributed to the discrepancies between the experimental and theoretical trends:</w:t>
      </w:r>
    </w:p>
    <w:p w:rsidR="1CC0B707" w:rsidP="336BC162" w:rsidRDefault="1CC0B707" w14:paraId="47274054" w14:textId="69CF11A8">
      <w:pPr>
        <w:pStyle w:val="ListParagraph"/>
        <w:numPr>
          <w:ilvl w:val="0"/>
          <w:numId w:val="10"/>
        </w:numPr>
        <w:rPr>
          <w:b w:val="0"/>
          <w:bCs w:val="0"/>
          <w:i w:val="0"/>
          <w:iCs w:val="0"/>
          <w:sz w:val="24"/>
          <w:szCs w:val="24"/>
          <w:u w:val="none"/>
        </w:rPr>
      </w:pPr>
      <w:r w:rsidRPr="336BC162" w:rsidR="415F9CE3">
        <w:rPr>
          <w:b w:val="1"/>
          <w:bCs w:val="1"/>
          <w:i w:val="0"/>
          <w:iCs w:val="0"/>
          <w:u w:val="none"/>
        </w:rPr>
        <w:t>Measurement Precision:</w:t>
      </w:r>
      <w:r w:rsidRPr="336BC162" w:rsidR="415F9CE3">
        <w:rPr>
          <w:b w:val="0"/>
          <w:bCs w:val="0"/>
          <w:i w:val="0"/>
          <w:iCs w:val="0"/>
          <w:u w:val="none"/>
        </w:rPr>
        <w:t xml:space="preserve"> The instruments used provided readings only to one decimal place, potentially limiting the precision of temperature and mass measurements.</w:t>
      </w:r>
    </w:p>
    <w:p w:rsidR="1CC0B707" w:rsidP="336BC162" w:rsidRDefault="1CC0B707" w14:paraId="5A243364" w14:textId="57D31399">
      <w:pPr>
        <w:pStyle w:val="ListParagraph"/>
        <w:numPr>
          <w:ilvl w:val="0"/>
          <w:numId w:val="10"/>
        </w:numPr>
        <w:rPr>
          <w:b w:val="0"/>
          <w:bCs w:val="0"/>
          <w:i w:val="0"/>
          <w:iCs w:val="0"/>
          <w:sz w:val="24"/>
          <w:szCs w:val="24"/>
          <w:u w:val="none"/>
        </w:rPr>
      </w:pPr>
      <w:r w:rsidRPr="336BC162" w:rsidR="415F9CE3">
        <w:rPr>
          <w:b w:val="1"/>
          <w:bCs w:val="1"/>
          <w:i w:val="0"/>
          <w:iCs w:val="0"/>
          <w:u w:val="none"/>
        </w:rPr>
        <w:t>Variability in Experimental Conditions:</w:t>
      </w:r>
      <w:r w:rsidRPr="336BC162" w:rsidR="415F9CE3">
        <w:rPr>
          <w:b w:val="0"/>
          <w:bCs w:val="0"/>
          <w:i w:val="0"/>
          <w:iCs w:val="0"/>
          <w:u w:val="none"/>
        </w:rPr>
        <w:t xml:space="preserve"> Some trials were conducted on different days, which introduced variability. For example, an anomaly in the ethanol trial—specifically, the inconsistency in the recorded alcohol mass after trial 2—was</w:t>
      </w:r>
      <w:r w:rsidRPr="336BC162" w:rsidR="5100F407">
        <w:rPr>
          <w:b w:val="0"/>
          <w:bCs w:val="0"/>
          <w:i w:val="0"/>
          <w:iCs w:val="0"/>
          <w:u w:val="none"/>
        </w:rPr>
        <w:t xml:space="preserve"> likely</w:t>
      </w:r>
      <w:r w:rsidRPr="336BC162" w:rsidR="415F9CE3">
        <w:rPr>
          <w:b w:val="0"/>
          <w:bCs w:val="0"/>
          <w:i w:val="0"/>
          <w:iCs w:val="0"/>
          <w:u w:val="none"/>
        </w:rPr>
        <w:t xml:space="preserve"> due</w:t>
      </w:r>
      <w:r w:rsidRPr="336BC162" w:rsidR="415F9CE3">
        <w:rPr>
          <w:b w:val="0"/>
          <w:bCs w:val="0"/>
          <w:i w:val="0"/>
          <w:iCs w:val="0"/>
          <w:u w:val="none"/>
        </w:rPr>
        <w:t xml:space="preserve"> to the use of a different spirit burner.</w:t>
      </w:r>
    </w:p>
    <w:p w:rsidR="1CC0B707" w:rsidP="5F780E57" w:rsidRDefault="1CC0B707" w14:paraId="4E96F2A7" w14:textId="198E595E">
      <w:pPr>
        <w:pStyle w:val="ListParagraph"/>
        <w:numPr>
          <w:ilvl w:val="0"/>
          <w:numId w:val="10"/>
        </w:numPr>
        <w:rPr>
          <w:b w:val="0"/>
          <w:bCs w:val="0"/>
          <w:i w:val="0"/>
          <w:iCs w:val="0"/>
          <w:sz w:val="24"/>
          <w:szCs w:val="24"/>
          <w:u w:val="none"/>
        </w:rPr>
      </w:pPr>
      <w:r w:rsidRPr="5F780E57" w:rsidR="415F9CE3">
        <w:rPr>
          <w:b w:val="1"/>
          <w:bCs w:val="1"/>
          <w:i w:val="0"/>
          <w:iCs w:val="0"/>
          <w:u w:val="none"/>
        </w:rPr>
        <w:t>Data Borrowing:</w:t>
      </w:r>
      <w:r w:rsidRPr="5F780E57" w:rsidR="415F9CE3">
        <w:rPr>
          <w:b w:val="0"/>
          <w:bCs w:val="0"/>
          <w:i w:val="0"/>
          <w:iCs w:val="0"/>
          <w:u w:val="none"/>
        </w:rPr>
        <w:t xml:space="preserve"> Data for pentanol's trials were obtained from another group because </w:t>
      </w:r>
      <w:r w:rsidRPr="5F780E57" w:rsidR="7C4887C1">
        <w:rPr>
          <w:b w:val="0"/>
          <w:bCs w:val="0"/>
          <w:i w:val="0"/>
          <w:iCs w:val="0"/>
          <w:u w:val="none"/>
        </w:rPr>
        <w:t>the</w:t>
      </w:r>
      <w:r w:rsidRPr="5F780E57" w:rsidR="415F9CE3">
        <w:rPr>
          <w:b w:val="0"/>
          <w:bCs w:val="0"/>
          <w:i w:val="0"/>
          <w:iCs w:val="0"/>
          <w:u w:val="none"/>
        </w:rPr>
        <w:t xml:space="preserve"> experiment was cut short by time constraints. This external data source may have introduced </w:t>
      </w:r>
      <w:r w:rsidRPr="5F780E57" w:rsidR="415F9CE3">
        <w:rPr>
          <w:b w:val="0"/>
          <w:bCs w:val="0"/>
          <w:i w:val="0"/>
          <w:iCs w:val="0"/>
          <w:u w:val="none"/>
        </w:rPr>
        <w:t>additional</w:t>
      </w:r>
      <w:r w:rsidRPr="5F780E57" w:rsidR="415F9CE3">
        <w:rPr>
          <w:b w:val="0"/>
          <w:bCs w:val="0"/>
          <w:i w:val="0"/>
          <w:iCs w:val="0"/>
          <w:u w:val="none"/>
        </w:rPr>
        <w:t xml:space="preserve"> uncertainties.</w:t>
      </w:r>
    </w:p>
    <w:p w:rsidR="1CC0B707" w:rsidP="0707DBC8" w:rsidRDefault="1CC0B707" w14:paraId="77EAFC2E" w14:textId="51A021BA">
      <w:pPr>
        <w:pStyle w:val="Normal"/>
      </w:pPr>
      <w:r w:rsidRPr="336BC162" w:rsidR="415F9CE3">
        <w:rPr>
          <w:b w:val="0"/>
          <w:bCs w:val="0"/>
          <w:i w:val="0"/>
          <w:iCs w:val="0"/>
          <w:u w:val="none"/>
        </w:rPr>
        <w:t>These limitations and uncertainties could account for the observed deviations from the theoretical predictions and any anomalies in the experimental results.</w:t>
      </w:r>
    </w:p>
    <w:p w:rsidR="69624C91" w:rsidRDefault="69624C91" w14:paraId="6EBA53C0" w14:textId="05115991">
      <w:r>
        <w:br w:type="page"/>
      </w:r>
    </w:p>
    <w:p w:rsidR="410716BF" w:rsidP="4D37911B" w:rsidRDefault="410716BF" w14:paraId="0BC2FF33" w14:textId="3DCBF032">
      <w:pPr>
        <w:pStyle w:val="Heading1"/>
        <w:rPr>
          <w:b w:val="1"/>
          <w:bCs w:val="1"/>
          <w:i w:val="0"/>
          <w:iCs w:val="0"/>
          <w:u w:val="single"/>
        </w:rPr>
      </w:pPr>
      <w:r w:rsidR="410716BF">
        <w:rPr/>
        <w:t>References:</w:t>
      </w:r>
    </w:p>
    <w:p w:rsidR="0B3C06FB" w:rsidP="64F0A789" w:rsidRDefault="0B3C06FB" w14:paraId="4C51E493" w14:textId="072353A5">
      <w:pPr>
        <w:pStyle w:val="ListParagraph"/>
        <w:numPr>
          <w:ilvl w:val="0"/>
          <w:numId w:val="1"/>
        </w:numPr>
        <w:rPr>
          <w:b w:val="0"/>
          <w:bCs w:val="0"/>
          <w:i w:val="0"/>
          <w:iCs w:val="0"/>
          <w:sz w:val="24"/>
          <w:szCs w:val="24"/>
          <w:u w:val="none"/>
        </w:rPr>
      </w:pPr>
      <w:r w:rsidRPr="64F0A789" w:rsidR="0B3C06FB">
        <w:rPr>
          <w:rFonts w:ascii="Times New Roman" w:hAnsi="Times New Roman" w:eastAsia="Times New Roman" w:cs="Times New Roman"/>
          <w:noProof w:val="0"/>
          <w:sz w:val="24"/>
          <w:szCs w:val="24"/>
          <w:lang w:val="en-US"/>
        </w:rPr>
        <w:t xml:space="preserve">Atkins, P. and De Paula, J. (2010). </w:t>
      </w:r>
      <w:r w:rsidRPr="64F0A789" w:rsidR="0B3C06FB">
        <w:rPr>
          <w:rFonts w:ascii="Times New Roman" w:hAnsi="Times New Roman" w:eastAsia="Times New Roman" w:cs="Times New Roman"/>
          <w:i w:val="1"/>
          <w:iCs w:val="1"/>
          <w:noProof w:val="0"/>
          <w:sz w:val="24"/>
          <w:szCs w:val="24"/>
          <w:lang w:val="en-US"/>
        </w:rPr>
        <w:t>Physical Chemistry</w:t>
      </w:r>
      <w:r w:rsidRPr="64F0A789" w:rsidR="0B3C06FB">
        <w:rPr>
          <w:rFonts w:ascii="Times New Roman" w:hAnsi="Times New Roman" w:eastAsia="Times New Roman" w:cs="Times New Roman"/>
          <w:noProof w:val="0"/>
          <w:sz w:val="24"/>
          <w:szCs w:val="24"/>
          <w:lang w:val="en-US"/>
        </w:rPr>
        <w:t xml:space="preserve">. 9th ed. [online] Oxford University Press. Available at: </w:t>
      </w:r>
      <w:hyperlink r:id="R72666b59315c4928">
        <w:r w:rsidRPr="64F0A789" w:rsidR="0B3C06FB">
          <w:rPr>
            <w:rStyle w:val="Hyperlink"/>
            <w:rFonts w:ascii="Times New Roman" w:hAnsi="Times New Roman" w:eastAsia="Times New Roman" w:cs="Times New Roman"/>
            <w:noProof w:val="0"/>
            <w:sz w:val="24"/>
            <w:szCs w:val="24"/>
            <w:lang w:val="en-US"/>
          </w:rPr>
          <w:t>https://tech.chemistrydocs.com/Books/Physical/Atkins-Physical-Chemistry-9e-by-Peter-Atkins-and-Julio-de-Paula.pdf</w:t>
        </w:r>
      </w:hyperlink>
      <w:r w:rsidRPr="64F0A789" w:rsidR="0B3C06FB">
        <w:rPr>
          <w:rFonts w:ascii="Times New Roman" w:hAnsi="Times New Roman" w:eastAsia="Times New Roman" w:cs="Times New Roman"/>
          <w:noProof w:val="0"/>
          <w:sz w:val="24"/>
          <w:szCs w:val="24"/>
          <w:lang w:val="en-US"/>
        </w:rPr>
        <w:t xml:space="preserve"> [Accessed 3 Mar. 2025].</w:t>
      </w:r>
    </w:p>
    <w:p w:rsidR="19BF9BFE" w:rsidP="64F0A789" w:rsidRDefault="19BF9BFE" w14:paraId="57BF297A" w14:textId="62725C9E">
      <w:pPr>
        <w:pStyle w:val="ListParagraph"/>
        <w:numPr>
          <w:ilvl w:val="0"/>
          <w:numId w:val="2"/>
        </w:numPr>
        <w:rPr>
          <w:rFonts w:ascii="Times New Roman" w:hAnsi="Times New Roman" w:eastAsia="Times New Roman" w:cs="Times New Roman"/>
          <w:noProof w:val="0"/>
          <w:sz w:val="24"/>
          <w:szCs w:val="24"/>
          <w:lang w:val="en-US"/>
        </w:rPr>
      </w:pPr>
      <w:r w:rsidRPr="64F0A789" w:rsidR="19BF9BFE">
        <w:rPr>
          <w:rFonts w:ascii="Times New Roman" w:hAnsi="Times New Roman" w:eastAsia="Times New Roman" w:cs="Times New Roman"/>
          <w:noProof w:val="0"/>
          <w:sz w:val="24"/>
          <w:szCs w:val="24"/>
          <w:lang w:val="en-US"/>
        </w:rPr>
        <w:t xml:space="preserve">Glassman, I. and Yetter, R.A. (2008). </w:t>
      </w:r>
      <w:r w:rsidRPr="64F0A789" w:rsidR="19BF9BFE">
        <w:rPr>
          <w:rFonts w:ascii="Times New Roman" w:hAnsi="Times New Roman" w:eastAsia="Times New Roman" w:cs="Times New Roman"/>
          <w:i w:val="1"/>
          <w:iCs w:val="1"/>
          <w:noProof w:val="0"/>
          <w:sz w:val="24"/>
          <w:szCs w:val="24"/>
          <w:lang w:val="en-US"/>
        </w:rPr>
        <w:t>Combustion (Fourth Edition)</w:t>
      </w:r>
      <w:r w:rsidRPr="64F0A789" w:rsidR="19BF9BFE">
        <w:rPr>
          <w:rFonts w:ascii="Times New Roman" w:hAnsi="Times New Roman" w:eastAsia="Times New Roman" w:cs="Times New Roman"/>
          <w:noProof w:val="0"/>
          <w:sz w:val="24"/>
          <w:szCs w:val="24"/>
          <w:lang w:val="en-US"/>
        </w:rPr>
        <w:t xml:space="preserve">. [online] Available at: </w:t>
      </w:r>
      <w:hyperlink r:id="Rbd07db94ec2c4cf7">
        <w:r w:rsidRPr="64F0A789" w:rsidR="19BF9BFE">
          <w:rPr>
            <w:rStyle w:val="Hyperlink"/>
            <w:rFonts w:ascii="Times New Roman" w:hAnsi="Times New Roman" w:eastAsia="Times New Roman" w:cs="Times New Roman"/>
            <w:noProof w:val="0"/>
            <w:sz w:val="24"/>
            <w:szCs w:val="24"/>
            <w:lang w:val="en-US"/>
          </w:rPr>
          <w:t>https://research.iaun.ac.ir/pd/ekianpour/pdfs/UploadFile_8224.pdf</w:t>
        </w:r>
      </w:hyperlink>
      <w:r w:rsidRPr="64F0A789" w:rsidR="19BF9BFE">
        <w:rPr>
          <w:rFonts w:ascii="Times New Roman" w:hAnsi="Times New Roman" w:eastAsia="Times New Roman" w:cs="Times New Roman"/>
          <w:noProof w:val="0"/>
          <w:sz w:val="24"/>
          <w:szCs w:val="24"/>
          <w:lang w:val="en-US"/>
        </w:rPr>
        <w:t xml:space="preserve"> [Accessed 3 Mar. 2025].</w:t>
      </w:r>
    </w:p>
    <w:p w:rsidR="57C246C7" w:rsidP="336BC162" w:rsidRDefault="57C246C7" w14:paraId="7E653B4B" w14:textId="0CDA53FE">
      <w:pPr>
        <w:pStyle w:val="ListParagraph"/>
        <w:numPr>
          <w:ilvl w:val="0"/>
          <w:numId w:val="4"/>
        </w:numPr>
        <w:rPr>
          <w:b w:val="0"/>
          <w:bCs w:val="0"/>
          <w:i w:val="0"/>
          <w:iCs w:val="0"/>
          <w:sz w:val="24"/>
          <w:szCs w:val="24"/>
          <w:u w:val="none"/>
        </w:rPr>
      </w:pPr>
      <w:r w:rsidRPr="336BC162" w:rsidR="57C246C7">
        <w:rPr>
          <w:rFonts w:ascii="Times New Roman" w:hAnsi="Times New Roman" w:eastAsia="Times New Roman" w:cs="Times New Roman"/>
          <w:noProof w:val="0"/>
          <w:sz w:val="24"/>
          <w:szCs w:val="24"/>
          <w:lang w:val="en-US"/>
        </w:rPr>
        <w:t xml:space="preserve">International Energy Agency (IEA) (2021). </w:t>
      </w:r>
      <w:r w:rsidRPr="336BC162" w:rsidR="57C246C7">
        <w:rPr>
          <w:rFonts w:ascii="Times New Roman" w:hAnsi="Times New Roman" w:eastAsia="Times New Roman" w:cs="Times New Roman"/>
          <w:i w:val="1"/>
          <w:iCs w:val="1"/>
          <w:noProof w:val="0"/>
          <w:sz w:val="24"/>
          <w:szCs w:val="24"/>
          <w:lang w:val="en-US"/>
        </w:rPr>
        <w:t>World Energy Outlook 2021 – Analysis</w:t>
      </w:r>
      <w:r w:rsidRPr="336BC162" w:rsidR="57C246C7">
        <w:rPr>
          <w:rFonts w:ascii="Times New Roman" w:hAnsi="Times New Roman" w:eastAsia="Times New Roman" w:cs="Times New Roman"/>
          <w:noProof w:val="0"/>
          <w:sz w:val="24"/>
          <w:szCs w:val="24"/>
          <w:lang w:val="en-US"/>
        </w:rPr>
        <w:t xml:space="preserve">. [online] IEA.org. Available at: </w:t>
      </w:r>
      <w:hyperlink r:id="Rc92e490dfe62411b">
        <w:r w:rsidRPr="336BC162" w:rsidR="57C246C7">
          <w:rPr>
            <w:rStyle w:val="Hyperlink"/>
            <w:rFonts w:ascii="Times New Roman" w:hAnsi="Times New Roman" w:eastAsia="Times New Roman" w:cs="Times New Roman"/>
            <w:noProof w:val="0"/>
            <w:sz w:val="24"/>
            <w:szCs w:val="24"/>
            <w:lang w:val="en-US"/>
          </w:rPr>
          <w:t>https://www.iea.org/reports/world-energy-outlook-2021</w:t>
        </w:r>
      </w:hyperlink>
      <w:r w:rsidRPr="336BC162" w:rsidR="57C246C7">
        <w:rPr>
          <w:rFonts w:ascii="Times New Roman" w:hAnsi="Times New Roman" w:eastAsia="Times New Roman" w:cs="Times New Roman"/>
          <w:noProof w:val="0"/>
          <w:sz w:val="24"/>
          <w:szCs w:val="24"/>
          <w:lang w:val="en-US"/>
        </w:rPr>
        <w:t xml:space="preserve"> [Accessed 3 Mar. 2025].</w:t>
      </w:r>
    </w:p>
    <w:p w:rsidR="336BC162" w:rsidP="336BC162" w:rsidRDefault="336BC162" w14:paraId="673054B1" w14:textId="2D9B1B1D">
      <w:pPr>
        <w:pStyle w:val="Normal"/>
        <w:rPr>
          <w:b w:val="0"/>
          <w:bCs w:val="0"/>
          <w:i w:val="0"/>
          <w:iCs w:val="0"/>
          <w:sz w:val="24"/>
          <w:szCs w:val="24"/>
          <w:u w:val="none"/>
        </w:rPr>
      </w:pPr>
    </w:p>
    <w:p w:rsidR="6E7BADA8" w:rsidP="336BC162" w:rsidRDefault="6E7BADA8" w14:paraId="06A1E624" w14:textId="4253AC49">
      <w:pPr>
        <w:pStyle w:val="Heading1"/>
      </w:pPr>
      <w:r w:rsidR="6E7BADA8">
        <w:rPr/>
        <w:t>Appendix:</w:t>
      </w:r>
    </w:p>
    <w:p w:rsidR="6E7BADA8" w:rsidP="336BC162" w:rsidRDefault="6E7BADA8" w14:paraId="3A0B0DBA" w14:textId="538577D6">
      <w:pPr>
        <w:pStyle w:val="Heading2"/>
      </w:pPr>
      <w:r w:rsidR="6E7BADA8">
        <w:rPr/>
        <w:t>Full results/calculation tables</w:t>
      </w:r>
    </w:p>
    <w:tbl>
      <w:tblPr>
        <w:tblStyle w:val="TableNormal"/>
        <w:tblW w:w="0" w:type="auto"/>
        <w:tblLayout w:type="fixed"/>
        <w:tblLook w:val="06A0" w:firstRow="1" w:lastRow="0" w:firstColumn="1" w:lastColumn="0" w:noHBand="1" w:noVBand="1"/>
      </w:tblPr>
      <w:tblGrid>
        <w:gridCol w:w="1140"/>
        <w:gridCol w:w="706"/>
        <w:gridCol w:w="695"/>
        <w:gridCol w:w="695"/>
        <w:gridCol w:w="1234"/>
        <w:gridCol w:w="1234"/>
        <w:gridCol w:w="1225"/>
        <w:gridCol w:w="1225"/>
        <w:gridCol w:w="1204"/>
      </w:tblGrid>
      <w:tr w:rsidR="336BC162" w:rsidTr="336BC162" w14:paraId="5780A79D">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33E25C9" w14:textId="6DA00489">
            <w:pPr>
              <w:spacing w:before="0" w:beforeAutospacing="off" w:after="0" w:afterAutospacing="off"/>
              <w:jc w:val="center"/>
              <w:rPr>
                <w:rFonts w:ascii="Aptos Narrow" w:hAnsi="Aptos Narrow" w:eastAsia="Aptos Narrow" w:cs="Aptos Narrow"/>
                <w:b w:val="1"/>
                <w:bCs w:val="1"/>
                <w:i w:val="0"/>
                <w:iCs w:val="0"/>
                <w:strike w:val="0"/>
                <w:dstrike w:val="0"/>
                <w:color w:val="000000" w:themeColor="text1" w:themeTint="FF" w:themeShade="FF"/>
                <w:sz w:val="20"/>
                <w:szCs w:val="20"/>
                <w:u w:val="single"/>
              </w:rPr>
            </w:pPr>
            <w:r w:rsidRPr="336BC162" w:rsidR="336BC162">
              <w:rPr>
                <w:rFonts w:ascii="Aptos Narrow" w:hAnsi="Aptos Narrow" w:eastAsia="Aptos Narrow" w:cs="Aptos Narrow"/>
                <w:b w:val="1"/>
                <w:bCs w:val="1"/>
                <w:i w:val="0"/>
                <w:iCs w:val="0"/>
                <w:strike w:val="0"/>
                <w:dstrike w:val="0"/>
                <w:color w:val="000000" w:themeColor="text1" w:themeTint="FF" w:themeShade="FF"/>
                <w:sz w:val="20"/>
                <w:szCs w:val="20"/>
                <w:u w:val="single"/>
              </w:rPr>
              <w:t>Methanol</w:t>
            </w:r>
          </w:p>
        </w:tc>
        <w:tc>
          <w:tcPr>
            <w:tcW w:w="70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E5EA3C3" w14:textId="19E0608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Alcohol Mass (g)</w:t>
            </w:r>
          </w:p>
        </w:tc>
        <w:tc>
          <w:tcPr>
            <w:tcW w:w="69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270A0DD" w14:textId="55E8C66D">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 xml:space="preserve">Water </w:t>
            </w: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Temp</w:t>
            </w: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 xml:space="preserve"> (°C)</w:t>
            </w:r>
          </w:p>
        </w:tc>
        <w:tc>
          <w:tcPr>
            <w:tcW w:w="69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C60C1A6" w14:textId="57F73CC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Water Mass (g)</w:t>
            </w:r>
          </w:p>
        </w:tc>
        <w:tc>
          <w:tcPr>
            <w:tcW w:w="1234"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D4D5E9D" w14:textId="634B4D3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Combustion Enthalpy (kJ/g)</w:t>
            </w:r>
          </w:p>
        </w:tc>
        <w:tc>
          <w:tcPr>
            <w:tcW w:w="1234"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ED64A51" w14:textId="587473F8">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Bond Enthalpy</w:t>
            </w:r>
          </w:p>
        </w:tc>
        <w:tc>
          <w:tcPr>
            <w:tcW w:w="122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82B576D" w14:textId="73191B5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Absolute Uncertainty</w:t>
            </w:r>
          </w:p>
        </w:tc>
        <w:tc>
          <w:tcPr>
            <w:tcW w:w="122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01CD34E" w14:textId="4D30DEC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Percentage / Relative Uncertainty</w:t>
            </w:r>
          </w:p>
        </w:tc>
        <w:tc>
          <w:tcPr>
            <w:tcW w:w="1204"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1534F14" w14:textId="6D18F67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Percentage Error</w:t>
            </w:r>
          </w:p>
        </w:tc>
      </w:tr>
      <w:tr w:rsidR="336BC162" w:rsidTr="336BC162" w14:paraId="65C70652">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614454F8" w14:textId="19D38E2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1 Before</w:t>
            </w:r>
          </w:p>
        </w:tc>
        <w:tc>
          <w:tcPr>
            <w:tcW w:w="706" w:type="dxa"/>
            <w:tcBorders>
              <w:top w:val="single" w:color="000000" w:themeColor="text1" w:sz="12"/>
              <w:left w:val="single" w:color="000000" w:themeColor="text1" w:sz="12"/>
              <w:bottom w:val="nil"/>
              <w:right w:val="nil"/>
            </w:tcBorders>
            <w:tcMar>
              <w:top w:w="15" w:type="dxa"/>
              <w:left w:w="15" w:type="dxa"/>
              <w:right w:w="15" w:type="dxa"/>
            </w:tcMar>
            <w:vAlign w:val="center"/>
          </w:tcPr>
          <w:p w:rsidR="336BC162" w:rsidP="336BC162" w:rsidRDefault="336BC162" w14:paraId="02099BD9" w14:textId="1634522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136.3</w:t>
            </w:r>
          </w:p>
        </w:tc>
        <w:tc>
          <w:tcPr>
            <w:tcW w:w="695"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50BF9A15" w14:textId="4BD5D4C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26.7</w:t>
            </w:r>
          </w:p>
        </w:tc>
        <w:tc>
          <w:tcPr>
            <w:tcW w:w="695"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7FF8FDE2" w14:textId="2D21FAD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199.8</w:t>
            </w:r>
          </w:p>
        </w:tc>
        <w:tc>
          <w:tcPr>
            <w:tcW w:w="1234"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0D44E1E8" w14:textId="7407A6A0">
            <w:pPr>
              <w:rPr>
                <w:sz w:val="20"/>
                <w:szCs w:val="20"/>
              </w:rPr>
            </w:pPr>
          </w:p>
        </w:tc>
        <w:tc>
          <w:tcPr>
            <w:tcW w:w="1234"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41F6F986" w14:textId="62ED26AC">
            <w:pPr>
              <w:rPr>
                <w:sz w:val="20"/>
                <w:szCs w:val="20"/>
              </w:rPr>
            </w:pPr>
          </w:p>
        </w:tc>
        <w:tc>
          <w:tcPr>
            <w:tcW w:w="1225"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696B9309" w14:textId="7F9ED8D7">
            <w:pPr>
              <w:rPr>
                <w:sz w:val="20"/>
                <w:szCs w:val="20"/>
              </w:rPr>
            </w:pPr>
          </w:p>
        </w:tc>
        <w:tc>
          <w:tcPr>
            <w:tcW w:w="1225"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01397AD3" w14:textId="75761179">
            <w:pPr>
              <w:rPr>
                <w:sz w:val="20"/>
                <w:szCs w:val="20"/>
              </w:rPr>
            </w:pPr>
          </w:p>
        </w:tc>
        <w:tc>
          <w:tcPr>
            <w:tcW w:w="1204" w:type="dxa"/>
            <w:tcBorders>
              <w:top w:val="single" w:color="000000" w:themeColor="text1" w:sz="12"/>
              <w:left w:val="nil"/>
              <w:bottom w:val="nil"/>
              <w:right w:val="single" w:color="000000" w:themeColor="text1" w:sz="12"/>
            </w:tcBorders>
            <w:tcMar>
              <w:top w:w="15" w:type="dxa"/>
              <w:left w:w="15" w:type="dxa"/>
              <w:right w:w="15" w:type="dxa"/>
            </w:tcMar>
            <w:vAlign w:val="center"/>
          </w:tcPr>
          <w:p w:rsidR="336BC162" w:rsidP="336BC162" w:rsidRDefault="336BC162" w14:paraId="68FC6CFD" w14:textId="005BBC1C">
            <w:pPr>
              <w:rPr>
                <w:sz w:val="20"/>
                <w:szCs w:val="20"/>
              </w:rPr>
            </w:pPr>
          </w:p>
        </w:tc>
      </w:tr>
      <w:tr w:rsidR="336BC162" w:rsidTr="336BC162" w14:paraId="64DF9672">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57A92474" w14:textId="18EB50A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1 After</w:t>
            </w:r>
          </w:p>
        </w:tc>
        <w:tc>
          <w:tcPr>
            <w:tcW w:w="706" w:type="dxa"/>
            <w:tcBorders>
              <w:top w:val="nil"/>
              <w:left w:val="single" w:color="000000" w:themeColor="text1" w:sz="12"/>
              <w:bottom w:val="nil"/>
              <w:right w:val="nil"/>
            </w:tcBorders>
            <w:tcMar>
              <w:top w:w="15" w:type="dxa"/>
              <w:left w:w="15" w:type="dxa"/>
              <w:right w:w="15" w:type="dxa"/>
            </w:tcMar>
            <w:vAlign w:val="center"/>
          </w:tcPr>
          <w:p w:rsidR="336BC162" w:rsidP="336BC162" w:rsidRDefault="336BC162" w14:paraId="5EB7BC42" w14:textId="30CB62C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134.9</w:t>
            </w:r>
          </w:p>
        </w:tc>
        <w:tc>
          <w:tcPr>
            <w:tcW w:w="695" w:type="dxa"/>
            <w:tcBorders>
              <w:top w:val="nil"/>
              <w:left w:val="nil"/>
              <w:bottom w:val="nil"/>
              <w:right w:val="nil"/>
            </w:tcBorders>
            <w:tcMar>
              <w:top w:w="15" w:type="dxa"/>
              <w:left w:w="15" w:type="dxa"/>
              <w:right w:w="15" w:type="dxa"/>
            </w:tcMar>
            <w:vAlign w:val="center"/>
          </w:tcPr>
          <w:p w:rsidR="336BC162" w:rsidP="336BC162" w:rsidRDefault="336BC162" w14:paraId="46A0276B" w14:textId="1701DC81">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36.7</w:t>
            </w:r>
          </w:p>
        </w:tc>
        <w:tc>
          <w:tcPr>
            <w:tcW w:w="695" w:type="dxa"/>
            <w:tcBorders>
              <w:top w:val="nil"/>
              <w:left w:val="nil"/>
              <w:bottom w:val="nil"/>
              <w:right w:val="nil"/>
            </w:tcBorders>
            <w:tcMar>
              <w:top w:w="15" w:type="dxa"/>
              <w:left w:w="15" w:type="dxa"/>
              <w:right w:w="15" w:type="dxa"/>
            </w:tcMar>
            <w:vAlign w:val="center"/>
          </w:tcPr>
          <w:p w:rsidR="336BC162" w:rsidP="336BC162" w:rsidRDefault="336BC162" w14:paraId="2E32908B" w14:textId="167AA17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199.8</w:t>
            </w:r>
          </w:p>
        </w:tc>
        <w:tc>
          <w:tcPr>
            <w:tcW w:w="1234" w:type="dxa"/>
            <w:tcBorders>
              <w:top w:val="nil"/>
              <w:left w:val="nil"/>
              <w:bottom w:val="nil"/>
              <w:right w:val="nil"/>
            </w:tcBorders>
            <w:tcMar>
              <w:top w:w="15" w:type="dxa"/>
              <w:left w:w="15" w:type="dxa"/>
              <w:right w:w="15" w:type="dxa"/>
            </w:tcMar>
            <w:vAlign w:val="center"/>
          </w:tcPr>
          <w:p w:rsidR="336BC162" w:rsidP="336BC162" w:rsidRDefault="336BC162" w14:paraId="2A4ED0BE" w14:textId="7083CC0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-5.971165714</w:t>
            </w:r>
          </w:p>
        </w:tc>
        <w:tc>
          <w:tcPr>
            <w:tcW w:w="1234" w:type="dxa"/>
            <w:tcBorders>
              <w:top w:val="nil"/>
              <w:left w:val="nil"/>
              <w:bottom w:val="nil"/>
              <w:right w:val="nil"/>
            </w:tcBorders>
            <w:tcMar>
              <w:top w:w="15" w:type="dxa"/>
              <w:left w:w="15" w:type="dxa"/>
              <w:right w:w="15" w:type="dxa"/>
            </w:tcMar>
            <w:vAlign w:val="center"/>
          </w:tcPr>
          <w:p w:rsidR="336BC162" w:rsidP="336BC162" w:rsidRDefault="336BC162" w14:paraId="29B91C4C" w14:textId="6B96292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-22.64846966</w:t>
            </w:r>
          </w:p>
        </w:tc>
        <w:tc>
          <w:tcPr>
            <w:tcW w:w="1225" w:type="dxa"/>
            <w:tcBorders>
              <w:top w:val="nil"/>
              <w:left w:val="nil"/>
              <w:bottom w:val="nil"/>
              <w:right w:val="nil"/>
            </w:tcBorders>
            <w:tcMar>
              <w:top w:w="15" w:type="dxa"/>
              <w:left w:w="15" w:type="dxa"/>
              <w:right w:w="15" w:type="dxa"/>
            </w:tcMar>
            <w:vAlign w:val="center"/>
          </w:tcPr>
          <w:p w:rsidR="336BC162" w:rsidP="336BC162" w:rsidRDefault="336BC162" w14:paraId="5E9E1EA2" w14:textId="213B0AE8">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0.304534312</w:t>
            </w:r>
          </w:p>
        </w:tc>
        <w:tc>
          <w:tcPr>
            <w:tcW w:w="1225" w:type="dxa"/>
            <w:tcBorders>
              <w:top w:val="nil"/>
              <w:left w:val="nil"/>
              <w:bottom w:val="nil"/>
              <w:right w:val="nil"/>
            </w:tcBorders>
            <w:tcMar>
              <w:top w:w="15" w:type="dxa"/>
              <w:left w:w="15" w:type="dxa"/>
              <w:right w:w="15" w:type="dxa"/>
            </w:tcMar>
            <w:vAlign w:val="center"/>
          </w:tcPr>
          <w:p w:rsidR="336BC162" w:rsidP="336BC162" w:rsidRDefault="336BC162" w14:paraId="1CB3AE28" w14:textId="6A0824F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5.100081405</w:t>
            </w:r>
          </w:p>
        </w:tc>
        <w:tc>
          <w:tcPr>
            <w:tcW w:w="1204" w:type="dxa"/>
            <w:tcBorders>
              <w:top w:val="nil"/>
              <w:left w:val="nil"/>
              <w:bottom w:val="nil"/>
              <w:right w:val="single" w:color="000000" w:themeColor="text1" w:sz="12"/>
            </w:tcBorders>
            <w:tcMar>
              <w:top w:w="15" w:type="dxa"/>
              <w:left w:w="15" w:type="dxa"/>
              <w:right w:w="15" w:type="dxa"/>
            </w:tcMar>
            <w:vAlign w:val="center"/>
          </w:tcPr>
          <w:p w:rsidR="336BC162" w:rsidP="336BC162" w:rsidRDefault="336BC162" w14:paraId="234739C8" w14:textId="14B8FF5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73.64%</w:t>
            </w:r>
          </w:p>
        </w:tc>
      </w:tr>
      <w:tr w:rsidR="336BC162" w:rsidTr="336BC162" w14:paraId="30841E4F">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59F2D3FF" w14:textId="5F6A071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2 Before</w:t>
            </w:r>
          </w:p>
        </w:tc>
        <w:tc>
          <w:tcPr>
            <w:tcW w:w="706" w:type="dxa"/>
            <w:tcBorders>
              <w:top w:val="single" w:color="000000" w:themeColor="text1" w:sz="8"/>
              <w:left w:val="single" w:color="000000" w:themeColor="text1" w:sz="12"/>
              <w:bottom w:val="nil"/>
              <w:right w:val="nil"/>
            </w:tcBorders>
            <w:tcMar>
              <w:top w:w="15" w:type="dxa"/>
              <w:left w:w="15" w:type="dxa"/>
              <w:right w:w="15" w:type="dxa"/>
            </w:tcMar>
            <w:vAlign w:val="center"/>
          </w:tcPr>
          <w:p w:rsidR="336BC162" w:rsidP="336BC162" w:rsidRDefault="336BC162" w14:paraId="19565898" w14:textId="1AB9362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134.9</w:t>
            </w:r>
          </w:p>
        </w:tc>
        <w:tc>
          <w:tcPr>
            <w:tcW w:w="69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18482C26" w14:textId="05D42FB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26.8</w:t>
            </w:r>
          </w:p>
        </w:tc>
        <w:tc>
          <w:tcPr>
            <w:tcW w:w="69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4313EBFE" w14:textId="118F3C21">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200.2</w:t>
            </w:r>
          </w:p>
        </w:tc>
        <w:tc>
          <w:tcPr>
            <w:tcW w:w="1234"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792A0CE8" w14:textId="0DBC79B7">
            <w:pPr>
              <w:rPr>
                <w:sz w:val="20"/>
                <w:szCs w:val="20"/>
              </w:rPr>
            </w:pPr>
          </w:p>
        </w:tc>
        <w:tc>
          <w:tcPr>
            <w:tcW w:w="1234"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4D2B2126" w14:textId="5F91B084">
            <w:pPr>
              <w:rPr>
                <w:sz w:val="20"/>
                <w:szCs w:val="20"/>
              </w:rPr>
            </w:pPr>
          </w:p>
        </w:tc>
        <w:tc>
          <w:tcPr>
            <w:tcW w:w="122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11ED7C12" w14:textId="49DBABF4">
            <w:pPr>
              <w:rPr>
                <w:sz w:val="20"/>
                <w:szCs w:val="20"/>
              </w:rPr>
            </w:pPr>
          </w:p>
        </w:tc>
        <w:tc>
          <w:tcPr>
            <w:tcW w:w="122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447425BD" w14:textId="238DFACE">
            <w:pPr>
              <w:rPr>
                <w:sz w:val="20"/>
                <w:szCs w:val="20"/>
              </w:rPr>
            </w:pPr>
          </w:p>
        </w:tc>
        <w:tc>
          <w:tcPr>
            <w:tcW w:w="1204" w:type="dxa"/>
            <w:tcBorders>
              <w:top w:val="single" w:color="000000" w:themeColor="text1" w:sz="8"/>
              <w:left w:val="nil"/>
              <w:bottom w:val="nil"/>
              <w:right w:val="single" w:color="000000" w:themeColor="text1" w:sz="12"/>
            </w:tcBorders>
            <w:tcMar>
              <w:top w:w="15" w:type="dxa"/>
              <w:left w:w="15" w:type="dxa"/>
              <w:right w:w="15" w:type="dxa"/>
            </w:tcMar>
            <w:vAlign w:val="center"/>
          </w:tcPr>
          <w:p w:rsidR="336BC162" w:rsidP="336BC162" w:rsidRDefault="336BC162" w14:paraId="27538414" w14:textId="415B494C">
            <w:pPr>
              <w:rPr>
                <w:sz w:val="20"/>
                <w:szCs w:val="20"/>
              </w:rPr>
            </w:pPr>
          </w:p>
        </w:tc>
      </w:tr>
      <w:tr w:rsidR="336BC162" w:rsidTr="336BC162" w14:paraId="4FD50DA1">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37FE56FB" w14:textId="114A959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2 After</w:t>
            </w:r>
          </w:p>
        </w:tc>
        <w:tc>
          <w:tcPr>
            <w:tcW w:w="706" w:type="dxa"/>
            <w:tcBorders>
              <w:top w:val="nil"/>
              <w:left w:val="single" w:color="000000" w:themeColor="text1" w:sz="12"/>
              <w:bottom w:val="nil"/>
              <w:right w:val="nil"/>
            </w:tcBorders>
            <w:tcMar>
              <w:top w:w="15" w:type="dxa"/>
              <w:left w:w="15" w:type="dxa"/>
              <w:right w:w="15" w:type="dxa"/>
            </w:tcMar>
            <w:vAlign w:val="center"/>
          </w:tcPr>
          <w:p w:rsidR="336BC162" w:rsidP="336BC162" w:rsidRDefault="336BC162" w14:paraId="6A11BBDA" w14:textId="07E8A8A8">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133.6</w:t>
            </w:r>
          </w:p>
        </w:tc>
        <w:tc>
          <w:tcPr>
            <w:tcW w:w="695" w:type="dxa"/>
            <w:tcBorders>
              <w:top w:val="nil"/>
              <w:left w:val="nil"/>
              <w:bottom w:val="nil"/>
              <w:right w:val="nil"/>
            </w:tcBorders>
            <w:tcMar>
              <w:top w:w="15" w:type="dxa"/>
              <w:left w:w="15" w:type="dxa"/>
              <w:right w:w="15" w:type="dxa"/>
            </w:tcMar>
            <w:vAlign w:val="center"/>
          </w:tcPr>
          <w:p w:rsidR="336BC162" w:rsidP="336BC162" w:rsidRDefault="336BC162" w14:paraId="7FC4FDEB" w14:textId="010D531D">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36.8</w:t>
            </w:r>
          </w:p>
        </w:tc>
        <w:tc>
          <w:tcPr>
            <w:tcW w:w="695" w:type="dxa"/>
            <w:tcBorders>
              <w:top w:val="nil"/>
              <w:left w:val="nil"/>
              <w:bottom w:val="nil"/>
              <w:right w:val="nil"/>
            </w:tcBorders>
            <w:tcMar>
              <w:top w:w="15" w:type="dxa"/>
              <w:left w:w="15" w:type="dxa"/>
              <w:right w:w="15" w:type="dxa"/>
            </w:tcMar>
            <w:vAlign w:val="center"/>
          </w:tcPr>
          <w:p w:rsidR="336BC162" w:rsidP="336BC162" w:rsidRDefault="336BC162" w14:paraId="4303B59F" w14:textId="3C87ABF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200.2</w:t>
            </w:r>
          </w:p>
        </w:tc>
        <w:tc>
          <w:tcPr>
            <w:tcW w:w="1234" w:type="dxa"/>
            <w:tcBorders>
              <w:top w:val="nil"/>
              <w:left w:val="nil"/>
              <w:bottom w:val="nil"/>
              <w:right w:val="nil"/>
            </w:tcBorders>
            <w:tcMar>
              <w:top w:w="15" w:type="dxa"/>
              <w:left w:w="15" w:type="dxa"/>
              <w:right w:w="15" w:type="dxa"/>
            </w:tcMar>
            <w:vAlign w:val="center"/>
          </w:tcPr>
          <w:p w:rsidR="336BC162" w:rsidP="336BC162" w:rsidRDefault="336BC162" w14:paraId="7261ABF4" w14:textId="1A07FE3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-6.44336</w:t>
            </w:r>
          </w:p>
        </w:tc>
        <w:tc>
          <w:tcPr>
            <w:tcW w:w="1234" w:type="dxa"/>
            <w:tcBorders>
              <w:top w:val="nil"/>
              <w:left w:val="nil"/>
              <w:bottom w:val="nil"/>
              <w:right w:val="nil"/>
            </w:tcBorders>
            <w:tcMar>
              <w:top w:w="15" w:type="dxa"/>
              <w:left w:w="15" w:type="dxa"/>
              <w:right w:w="15" w:type="dxa"/>
            </w:tcMar>
            <w:vAlign w:val="center"/>
          </w:tcPr>
          <w:p w:rsidR="336BC162" w:rsidP="336BC162" w:rsidRDefault="336BC162" w14:paraId="6A221012" w14:textId="72E4829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-22.64846966</w:t>
            </w:r>
          </w:p>
        </w:tc>
        <w:tc>
          <w:tcPr>
            <w:tcW w:w="1225" w:type="dxa"/>
            <w:tcBorders>
              <w:top w:val="nil"/>
              <w:left w:val="nil"/>
              <w:bottom w:val="nil"/>
              <w:right w:val="nil"/>
            </w:tcBorders>
            <w:tcMar>
              <w:top w:w="15" w:type="dxa"/>
              <w:left w:w="15" w:type="dxa"/>
              <w:right w:w="15" w:type="dxa"/>
            </w:tcMar>
            <w:vAlign w:val="center"/>
          </w:tcPr>
          <w:p w:rsidR="336BC162" w:rsidP="336BC162" w:rsidRDefault="336BC162" w14:paraId="597B9632" w14:textId="26D8934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0.35342533</w:t>
            </w:r>
          </w:p>
        </w:tc>
        <w:tc>
          <w:tcPr>
            <w:tcW w:w="1225" w:type="dxa"/>
            <w:tcBorders>
              <w:top w:val="nil"/>
              <w:left w:val="nil"/>
              <w:bottom w:val="nil"/>
              <w:right w:val="nil"/>
            </w:tcBorders>
            <w:tcMar>
              <w:top w:w="15" w:type="dxa"/>
              <w:left w:w="15" w:type="dxa"/>
              <w:right w:w="15" w:type="dxa"/>
            </w:tcMar>
            <w:vAlign w:val="center"/>
          </w:tcPr>
          <w:p w:rsidR="336BC162" w:rsidP="336BC162" w:rsidRDefault="336BC162" w14:paraId="50AAB702" w14:textId="55C09027">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5.485109167</w:t>
            </w:r>
          </w:p>
        </w:tc>
        <w:tc>
          <w:tcPr>
            <w:tcW w:w="1204" w:type="dxa"/>
            <w:tcBorders>
              <w:top w:val="nil"/>
              <w:left w:val="nil"/>
              <w:bottom w:val="nil"/>
              <w:right w:val="single" w:color="000000" w:themeColor="text1" w:sz="12"/>
            </w:tcBorders>
            <w:tcMar>
              <w:top w:w="15" w:type="dxa"/>
              <w:left w:w="15" w:type="dxa"/>
              <w:right w:w="15" w:type="dxa"/>
            </w:tcMar>
            <w:vAlign w:val="center"/>
          </w:tcPr>
          <w:p w:rsidR="336BC162" w:rsidP="336BC162" w:rsidRDefault="336BC162" w14:paraId="493B8674" w14:textId="17437BC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71.55%</w:t>
            </w:r>
          </w:p>
        </w:tc>
      </w:tr>
      <w:tr w:rsidR="336BC162" w:rsidTr="336BC162" w14:paraId="10B14A4A">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3ADB48A0" w14:textId="6697446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3 Before</w:t>
            </w:r>
          </w:p>
        </w:tc>
        <w:tc>
          <w:tcPr>
            <w:tcW w:w="706" w:type="dxa"/>
            <w:tcBorders>
              <w:top w:val="single" w:color="000000" w:themeColor="text1" w:sz="8"/>
              <w:left w:val="single" w:color="000000" w:themeColor="text1" w:sz="12"/>
              <w:bottom w:val="nil"/>
              <w:right w:val="nil"/>
            </w:tcBorders>
            <w:tcMar>
              <w:top w:w="15" w:type="dxa"/>
              <w:left w:w="15" w:type="dxa"/>
              <w:right w:w="15" w:type="dxa"/>
            </w:tcMar>
            <w:vAlign w:val="center"/>
          </w:tcPr>
          <w:p w:rsidR="336BC162" w:rsidP="336BC162" w:rsidRDefault="336BC162" w14:paraId="072A208D" w14:textId="51BC883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133.6</w:t>
            </w:r>
          </w:p>
        </w:tc>
        <w:tc>
          <w:tcPr>
            <w:tcW w:w="69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06225D86" w14:textId="3309BFA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27.3</w:t>
            </w:r>
          </w:p>
        </w:tc>
        <w:tc>
          <w:tcPr>
            <w:tcW w:w="69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02606EF1" w14:textId="04248EE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200.7</w:t>
            </w:r>
          </w:p>
        </w:tc>
        <w:tc>
          <w:tcPr>
            <w:tcW w:w="1234"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28FEC680" w14:textId="2F610DE4">
            <w:pPr>
              <w:rPr>
                <w:sz w:val="20"/>
                <w:szCs w:val="20"/>
              </w:rPr>
            </w:pPr>
          </w:p>
        </w:tc>
        <w:tc>
          <w:tcPr>
            <w:tcW w:w="1234"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1E08581C" w14:textId="1112ABCC">
            <w:pPr>
              <w:rPr>
                <w:sz w:val="20"/>
                <w:szCs w:val="20"/>
              </w:rPr>
            </w:pPr>
          </w:p>
        </w:tc>
        <w:tc>
          <w:tcPr>
            <w:tcW w:w="122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5D679BFA" w14:textId="3F0AE7D1">
            <w:pPr>
              <w:rPr>
                <w:sz w:val="20"/>
                <w:szCs w:val="20"/>
              </w:rPr>
            </w:pPr>
          </w:p>
        </w:tc>
        <w:tc>
          <w:tcPr>
            <w:tcW w:w="122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2C441426" w14:textId="657F0AC2">
            <w:pPr>
              <w:rPr>
                <w:sz w:val="20"/>
                <w:szCs w:val="20"/>
              </w:rPr>
            </w:pPr>
          </w:p>
        </w:tc>
        <w:tc>
          <w:tcPr>
            <w:tcW w:w="1204" w:type="dxa"/>
            <w:tcBorders>
              <w:top w:val="single" w:color="000000" w:themeColor="text1" w:sz="8"/>
              <w:left w:val="nil"/>
              <w:bottom w:val="nil"/>
              <w:right w:val="single" w:color="000000" w:themeColor="text1" w:sz="12"/>
            </w:tcBorders>
            <w:tcMar>
              <w:top w:w="15" w:type="dxa"/>
              <w:left w:w="15" w:type="dxa"/>
              <w:right w:w="15" w:type="dxa"/>
            </w:tcMar>
            <w:vAlign w:val="center"/>
          </w:tcPr>
          <w:p w:rsidR="336BC162" w:rsidP="336BC162" w:rsidRDefault="336BC162" w14:paraId="17F14E68" w14:textId="4EC0C017">
            <w:pPr>
              <w:rPr>
                <w:sz w:val="20"/>
                <w:szCs w:val="20"/>
              </w:rPr>
            </w:pPr>
          </w:p>
        </w:tc>
      </w:tr>
      <w:tr w:rsidR="336BC162" w:rsidTr="336BC162" w14:paraId="0A51AEC2">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9968AA4" w14:textId="77729B91">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3 After</w:t>
            </w:r>
          </w:p>
        </w:tc>
        <w:tc>
          <w:tcPr>
            <w:tcW w:w="706" w:type="dxa"/>
            <w:tcBorders>
              <w:top w:val="nil"/>
              <w:left w:val="single" w:color="000000" w:themeColor="text1" w:sz="12"/>
              <w:bottom w:val="single" w:color="000000" w:themeColor="text1" w:sz="12"/>
              <w:right w:val="nil"/>
            </w:tcBorders>
            <w:tcMar>
              <w:top w:w="15" w:type="dxa"/>
              <w:left w:w="15" w:type="dxa"/>
              <w:right w:w="15" w:type="dxa"/>
            </w:tcMar>
            <w:vAlign w:val="center"/>
          </w:tcPr>
          <w:p w:rsidR="336BC162" w:rsidP="336BC162" w:rsidRDefault="336BC162" w14:paraId="229459C4" w14:textId="4C09B99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132.3</w:t>
            </w:r>
          </w:p>
        </w:tc>
        <w:tc>
          <w:tcPr>
            <w:tcW w:w="695"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5C83BD7A" w14:textId="570539D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37.3</w:t>
            </w:r>
          </w:p>
        </w:tc>
        <w:tc>
          <w:tcPr>
            <w:tcW w:w="695"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549646BE" w14:textId="6876F9F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200.7</w:t>
            </w:r>
          </w:p>
        </w:tc>
        <w:tc>
          <w:tcPr>
            <w:tcW w:w="1234"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70EE1BFD" w14:textId="16FC158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-6.459452308</w:t>
            </w:r>
          </w:p>
        </w:tc>
        <w:tc>
          <w:tcPr>
            <w:tcW w:w="1234"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580D35BA" w14:textId="022FEE9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-22.64846966</w:t>
            </w:r>
          </w:p>
        </w:tc>
        <w:tc>
          <w:tcPr>
            <w:tcW w:w="1225"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339A1440" w14:textId="5B9D1AE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0.354307992</w:t>
            </w:r>
          </w:p>
        </w:tc>
        <w:tc>
          <w:tcPr>
            <w:tcW w:w="1225"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1C8EC10A" w14:textId="3970CD4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5.485108884</w:t>
            </w:r>
          </w:p>
        </w:tc>
        <w:tc>
          <w:tcPr>
            <w:tcW w:w="1204" w:type="dxa"/>
            <w:tcBorders>
              <w:top w:val="nil"/>
              <w:left w:val="nil"/>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01376FD" w14:textId="18B8FF57">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71.48%</w:t>
            </w:r>
          </w:p>
        </w:tc>
      </w:tr>
      <w:tr w:rsidR="336BC162" w:rsidTr="336BC162" w14:paraId="4AABBD50">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0A70119" w14:textId="58B1FBB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Average:</w:t>
            </w:r>
          </w:p>
        </w:tc>
        <w:tc>
          <w:tcPr>
            <w:tcW w:w="706" w:type="dxa"/>
            <w:tcBorders>
              <w:top w:val="single" w:color="000000" w:themeColor="text1" w:sz="12"/>
              <w:left w:val="single" w:color="000000" w:themeColor="text1" w:sz="12"/>
              <w:bottom w:val="single" w:color="000000" w:themeColor="text1" w:sz="12"/>
              <w:right w:val="nil"/>
            </w:tcBorders>
            <w:tcMar>
              <w:top w:w="15" w:type="dxa"/>
              <w:left w:w="15" w:type="dxa"/>
              <w:right w:w="15" w:type="dxa"/>
            </w:tcMar>
            <w:vAlign w:val="center"/>
          </w:tcPr>
          <w:p w:rsidR="336BC162" w:rsidP="336BC162" w:rsidRDefault="336BC162" w14:paraId="4642FFD2" w14:textId="2D9D1FF9">
            <w:pPr>
              <w:rPr>
                <w:sz w:val="20"/>
                <w:szCs w:val="20"/>
              </w:rPr>
            </w:pPr>
          </w:p>
        </w:tc>
        <w:tc>
          <w:tcPr>
            <w:tcW w:w="695"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2B30144C" w14:textId="75D04FB6">
            <w:pPr>
              <w:rPr>
                <w:sz w:val="20"/>
                <w:szCs w:val="20"/>
              </w:rPr>
            </w:pPr>
          </w:p>
        </w:tc>
        <w:tc>
          <w:tcPr>
            <w:tcW w:w="695"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047C6AE5" w14:textId="20494758">
            <w:pPr>
              <w:rPr>
                <w:sz w:val="20"/>
                <w:szCs w:val="20"/>
              </w:rPr>
            </w:pPr>
          </w:p>
        </w:tc>
        <w:tc>
          <w:tcPr>
            <w:tcW w:w="1234"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5BB9B6F8" w14:textId="1E617B0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-6.291326007</w:t>
            </w:r>
          </w:p>
        </w:tc>
        <w:tc>
          <w:tcPr>
            <w:tcW w:w="1234"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140DDA51" w14:textId="3B3EBFC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-22.64846966</w:t>
            </w:r>
          </w:p>
        </w:tc>
        <w:tc>
          <w:tcPr>
            <w:tcW w:w="1225"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2E9BD762" w14:textId="3A3AD7B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0.337422545</w:t>
            </w:r>
          </w:p>
        </w:tc>
        <w:tc>
          <w:tcPr>
            <w:tcW w:w="1225"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30B0AD48" w14:textId="1C2CE89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5.356766485</w:t>
            </w:r>
          </w:p>
        </w:tc>
        <w:tc>
          <w:tcPr>
            <w:tcW w:w="1204" w:type="dxa"/>
            <w:tcBorders>
              <w:top w:val="single" w:color="000000" w:themeColor="text1" w:sz="12"/>
              <w:left w:val="nil"/>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66E80575" w14:textId="482D8FB8">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72.22%</w:t>
            </w:r>
          </w:p>
        </w:tc>
      </w:tr>
    </w:tbl>
    <w:p w:rsidR="336BC162" w:rsidRDefault="336BC162" w14:paraId="13B3637E" w14:textId="6C977205"/>
    <w:tbl>
      <w:tblPr>
        <w:tblStyle w:val="TableNormal"/>
        <w:tblW w:w="0" w:type="auto"/>
        <w:tblLayout w:type="fixed"/>
        <w:tblLook w:val="06A0" w:firstRow="1" w:lastRow="0" w:firstColumn="1" w:lastColumn="0" w:noHBand="1" w:noVBand="1"/>
      </w:tblPr>
      <w:tblGrid>
        <w:gridCol w:w="1116"/>
        <w:gridCol w:w="708"/>
        <w:gridCol w:w="698"/>
        <w:gridCol w:w="698"/>
        <w:gridCol w:w="1237"/>
        <w:gridCol w:w="1237"/>
        <w:gridCol w:w="1229"/>
        <w:gridCol w:w="1229"/>
        <w:gridCol w:w="1208"/>
      </w:tblGrid>
      <w:tr w:rsidR="336BC162" w:rsidTr="336BC162" w14:paraId="790F20AD">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954FF4F" w14:textId="04E6250B">
            <w:pPr>
              <w:spacing w:before="0" w:beforeAutospacing="off" w:after="0" w:afterAutospacing="off"/>
              <w:jc w:val="center"/>
              <w:rPr>
                <w:rFonts w:ascii="Aptos Narrow" w:hAnsi="Aptos Narrow" w:eastAsia="Aptos Narrow" w:cs="Aptos Narrow"/>
                <w:b w:val="1"/>
                <w:bCs w:val="1"/>
                <w:i w:val="0"/>
                <w:iCs w:val="0"/>
                <w:strike w:val="0"/>
                <w:dstrike w:val="0"/>
                <w:color w:val="000000" w:themeColor="text1" w:themeTint="FF" w:themeShade="FF"/>
                <w:sz w:val="20"/>
                <w:szCs w:val="20"/>
                <w:u w:val="single"/>
              </w:rPr>
            </w:pPr>
            <w:r w:rsidRPr="336BC162" w:rsidR="336BC162">
              <w:rPr>
                <w:rFonts w:ascii="Aptos Narrow" w:hAnsi="Aptos Narrow" w:eastAsia="Aptos Narrow" w:cs="Aptos Narrow"/>
                <w:b w:val="1"/>
                <w:bCs w:val="1"/>
                <w:i w:val="0"/>
                <w:iCs w:val="0"/>
                <w:strike w:val="0"/>
                <w:dstrike w:val="0"/>
                <w:color w:val="000000" w:themeColor="text1" w:themeTint="FF" w:themeShade="FF"/>
                <w:sz w:val="20"/>
                <w:szCs w:val="20"/>
                <w:u w:val="single"/>
              </w:rPr>
              <w:t>Ethanol</w:t>
            </w:r>
          </w:p>
        </w:tc>
        <w:tc>
          <w:tcPr>
            <w:tcW w:w="70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8955683" w14:textId="4242D8D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Alcohol Mass (g)</w:t>
            </w:r>
          </w:p>
        </w:tc>
        <w:tc>
          <w:tcPr>
            <w:tcW w:w="69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9F31140" w14:textId="4FF569C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Water Temp (°C)</w:t>
            </w:r>
          </w:p>
        </w:tc>
        <w:tc>
          <w:tcPr>
            <w:tcW w:w="69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5E6D8FAB" w14:textId="5FC9F1E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Water Mass (g)</w:t>
            </w:r>
          </w:p>
        </w:tc>
        <w:tc>
          <w:tcPr>
            <w:tcW w:w="1237"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8D534C4" w14:textId="60249DE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Combustion Enthalpy (kJ/g)</w:t>
            </w:r>
          </w:p>
        </w:tc>
        <w:tc>
          <w:tcPr>
            <w:tcW w:w="1237"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24B66077" w14:textId="5F0002C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Bond Enthalpy</w:t>
            </w:r>
          </w:p>
        </w:tc>
        <w:tc>
          <w:tcPr>
            <w:tcW w:w="1229"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631E29DE" w14:textId="63D040F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Absolute Uncertainty</w:t>
            </w:r>
          </w:p>
        </w:tc>
        <w:tc>
          <w:tcPr>
            <w:tcW w:w="1229"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09F7B64" w14:textId="663A167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Percentage / Relative Uncertainty</w:t>
            </w:r>
          </w:p>
        </w:tc>
        <w:tc>
          <w:tcPr>
            <w:tcW w:w="120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0EE8503" w14:textId="38E7EEC1">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Percentage Error</w:t>
            </w:r>
          </w:p>
        </w:tc>
      </w:tr>
      <w:tr w:rsidR="336BC162" w:rsidTr="336BC162" w14:paraId="16074BB5">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2293CF51" w14:textId="56183AC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1 Before</w:t>
            </w:r>
          </w:p>
        </w:tc>
        <w:tc>
          <w:tcPr>
            <w:tcW w:w="708" w:type="dxa"/>
            <w:tcBorders>
              <w:top w:val="single" w:color="000000" w:themeColor="text1" w:sz="12"/>
              <w:left w:val="single" w:color="000000" w:themeColor="text1" w:sz="12"/>
              <w:bottom w:val="nil"/>
              <w:right w:val="nil"/>
            </w:tcBorders>
            <w:tcMar>
              <w:top w:w="15" w:type="dxa"/>
              <w:left w:w="15" w:type="dxa"/>
              <w:right w:w="15" w:type="dxa"/>
            </w:tcMar>
            <w:vAlign w:val="center"/>
          </w:tcPr>
          <w:p w:rsidR="336BC162" w:rsidP="336BC162" w:rsidRDefault="336BC162" w14:paraId="38F4BFDA" w14:textId="3487BEE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162.1</w:t>
            </w:r>
          </w:p>
        </w:tc>
        <w:tc>
          <w:tcPr>
            <w:tcW w:w="698"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67CA2034" w14:textId="40114B7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25.5</w:t>
            </w:r>
          </w:p>
        </w:tc>
        <w:tc>
          <w:tcPr>
            <w:tcW w:w="698"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00923501" w14:textId="0C7C713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200</w:t>
            </w:r>
          </w:p>
        </w:tc>
        <w:tc>
          <w:tcPr>
            <w:tcW w:w="1237"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142F91CC" w14:textId="6A185A3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-8.009371429</w:t>
            </w:r>
          </w:p>
        </w:tc>
        <w:tc>
          <w:tcPr>
            <w:tcW w:w="1237"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29D096F4" w14:textId="3A56F43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-29.68655032</w:t>
            </w:r>
          </w:p>
        </w:tc>
        <w:tc>
          <w:tcPr>
            <w:tcW w:w="1229"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101E8291" w14:textId="1F56D390">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0.27116487</w:t>
            </w:r>
          </w:p>
        </w:tc>
        <w:tc>
          <w:tcPr>
            <w:tcW w:w="1229"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79029556" w14:textId="63BF499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3.385594895</w:t>
            </w:r>
          </w:p>
        </w:tc>
        <w:tc>
          <w:tcPr>
            <w:tcW w:w="1208" w:type="dxa"/>
            <w:tcBorders>
              <w:top w:val="single" w:color="000000" w:themeColor="text1" w:sz="12"/>
              <w:left w:val="nil"/>
              <w:bottom w:val="nil"/>
              <w:right w:val="single" w:color="000000" w:themeColor="text1" w:sz="12"/>
            </w:tcBorders>
            <w:tcMar>
              <w:top w:w="15" w:type="dxa"/>
              <w:left w:w="15" w:type="dxa"/>
              <w:right w:w="15" w:type="dxa"/>
            </w:tcMar>
            <w:vAlign w:val="center"/>
          </w:tcPr>
          <w:p w:rsidR="336BC162" w:rsidP="336BC162" w:rsidRDefault="336BC162" w14:paraId="16B4E339" w14:textId="628CBC2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73.02%</w:t>
            </w:r>
          </w:p>
        </w:tc>
      </w:tr>
      <w:tr w:rsidR="336BC162" w:rsidTr="336BC162" w14:paraId="08A91D6F">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2DEBEC24" w14:textId="0163A24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1 After</w:t>
            </w:r>
          </w:p>
        </w:tc>
        <w:tc>
          <w:tcPr>
            <w:tcW w:w="708" w:type="dxa"/>
            <w:tcBorders>
              <w:top w:val="nil"/>
              <w:left w:val="single" w:color="000000" w:themeColor="text1" w:sz="12"/>
              <w:bottom w:val="nil"/>
              <w:right w:val="nil"/>
            </w:tcBorders>
            <w:tcMar>
              <w:top w:w="15" w:type="dxa"/>
              <w:left w:w="15" w:type="dxa"/>
              <w:right w:w="15" w:type="dxa"/>
            </w:tcMar>
            <w:vAlign w:val="center"/>
          </w:tcPr>
          <w:p w:rsidR="336BC162" w:rsidP="336BC162" w:rsidRDefault="336BC162" w14:paraId="27BBFB26" w14:textId="5862FD11">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160</w:t>
            </w:r>
          </w:p>
        </w:tc>
        <w:tc>
          <w:tcPr>
            <w:tcW w:w="698" w:type="dxa"/>
            <w:tcBorders>
              <w:top w:val="nil"/>
              <w:left w:val="nil"/>
              <w:bottom w:val="nil"/>
              <w:right w:val="nil"/>
            </w:tcBorders>
            <w:tcMar>
              <w:top w:w="15" w:type="dxa"/>
              <w:left w:w="15" w:type="dxa"/>
              <w:right w:w="15" w:type="dxa"/>
            </w:tcMar>
            <w:vAlign w:val="center"/>
          </w:tcPr>
          <w:p w:rsidR="336BC162" w:rsidP="336BC162" w:rsidRDefault="336BC162" w14:paraId="7D59545E" w14:textId="23751EE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45.6</w:t>
            </w:r>
          </w:p>
        </w:tc>
        <w:tc>
          <w:tcPr>
            <w:tcW w:w="698" w:type="dxa"/>
            <w:tcBorders>
              <w:top w:val="nil"/>
              <w:left w:val="nil"/>
              <w:bottom w:val="nil"/>
              <w:right w:val="nil"/>
            </w:tcBorders>
            <w:tcMar>
              <w:top w:w="15" w:type="dxa"/>
              <w:left w:w="15" w:type="dxa"/>
              <w:right w:w="15" w:type="dxa"/>
            </w:tcMar>
            <w:vAlign w:val="center"/>
          </w:tcPr>
          <w:p w:rsidR="336BC162" w:rsidP="336BC162" w:rsidRDefault="336BC162" w14:paraId="4CCA7BDC" w14:textId="6565964D">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200</w:t>
            </w:r>
          </w:p>
        </w:tc>
        <w:tc>
          <w:tcPr>
            <w:tcW w:w="1237" w:type="dxa"/>
            <w:tcBorders>
              <w:top w:val="nil"/>
              <w:left w:val="nil"/>
              <w:bottom w:val="single" w:color="000000" w:themeColor="text1" w:sz="8"/>
              <w:right w:val="nil"/>
            </w:tcBorders>
            <w:tcMar>
              <w:top w:w="15" w:type="dxa"/>
              <w:left w:w="15" w:type="dxa"/>
              <w:right w:w="15" w:type="dxa"/>
            </w:tcMar>
            <w:vAlign w:val="center"/>
          </w:tcPr>
          <w:p w:rsidR="336BC162" w:rsidP="336BC162" w:rsidRDefault="336BC162" w14:paraId="21060C9D" w14:textId="0D3440DA">
            <w:pPr>
              <w:rPr>
                <w:sz w:val="20"/>
                <w:szCs w:val="20"/>
              </w:rPr>
            </w:pPr>
          </w:p>
        </w:tc>
        <w:tc>
          <w:tcPr>
            <w:tcW w:w="1237" w:type="dxa"/>
            <w:tcBorders>
              <w:top w:val="nil"/>
              <w:left w:val="nil"/>
              <w:bottom w:val="single" w:color="000000" w:themeColor="text1" w:sz="8"/>
              <w:right w:val="nil"/>
            </w:tcBorders>
            <w:tcMar>
              <w:top w:w="15" w:type="dxa"/>
              <w:left w:w="15" w:type="dxa"/>
              <w:right w:w="15" w:type="dxa"/>
            </w:tcMar>
            <w:vAlign w:val="center"/>
          </w:tcPr>
          <w:p w:rsidR="336BC162" w:rsidP="336BC162" w:rsidRDefault="336BC162" w14:paraId="4C3FFA33" w14:textId="29F485B3">
            <w:pPr>
              <w:rPr>
                <w:sz w:val="20"/>
                <w:szCs w:val="20"/>
              </w:rPr>
            </w:pPr>
          </w:p>
        </w:tc>
        <w:tc>
          <w:tcPr>
            <w:tcW w:w="1229" w:type="dxa"/>
            <w:tcBorders>
              <w:top w:val="nil"/>
              <w:left w:val="nil"/>
              <w:bottom w:val="single" w:color="000000" w:themeColor="text1" w:sz="8"/>
              <w:right w:val="nil"/>
            </w:tcBorders>
            <w:tcMar>
              <w:top w:w="15" w:type="dxa"/>
              <w:left w:w="15" w:type="dxa"/>
              <w:right w:w="15" w:type="dxa"/>
            </w:tcMar>
            <w:vAlign w:val="center"/>
          </w:tcPr>
          <w:p w:rsidR="336BC162" w:rsidP="336BC162" w:rsidRDefault="336BC162" w14:paraId="7FEBA298" w14:textId="696750A1">
            <w:pPr>
              <w:rPr>
                <w:sz w:val="20"/>
                <w:szCs w:val="20"/>
              </w:rPr>
            </w:pPr>
          </w:p>
        </w:tc>
        <w:tc>
          <w:tcPr>
            <w:tcW w:w="1229" w:type="dxa"/>
            <w:tcBorders>
              <w:top w:val="nil"/>
              <w:left w:val="nil"/>
              <w:bottom w:val="single" w:color="000000" w:themeColor="text1" w:sz="8"/>
              <w:right w:val="nil"/>
            </w:tcBorders>
            <w:tcMar>
              <w:top w:w="15" w:type="dxa"/>
              <w:left w:w="15" w:type="dxa"/>
              <w:right w:w="15" w:type="dxa"/>
            </w:tcMar>
            <w:vAlign w:val="center"/>
          </w:tcPr>
          <w:p w:rsidR="336BC162" w:rsidP="336BC162" w:rsidRDefault="336BC162" w14:paraId="2CE0E487" w14:textId="337DEC14">
            <w:pPr>
              <w:rPr>
                <w:sz w:val="20"/>
                <w:szCs w:val="20"/>
              </w:rPr>
            </w:pPr>
          </w:p>
        </w:tc>
        <w:tc>
          <w:tcPr>
            <w:tcW w:w="1208" w:type="dxa"/>
            <w:tcBorders>
              <w:top w:val="nil"/>
              <w:left w:val="nil"/>
              <w:bottom w:val="single" w:color="000000" w:themeColor="text1" w:sz="8"/>
              <w:right w:val="single" w:color="000000" w:themeColor="text1" w:sz="12"/>
            </w:tcBorders>
            <w:tcMar>
              <w:top w:w="15" w:type="dxa"/>
              <w:left w:w="15" w:type="dxa"/>
              <w:right w:w="15" w:type="dxa"/>
            </w:tcMar>
            <w:vAlign w:val="center"/>
          </w:tcPr>
          <w:p w:rsidR="336BC162" w:rsidP="336BC162" w:rsidRDefault="336BC162" w14:paraId="00D03B88" w14:textId="03D72440">
            <w:pPr>
              <w:rPr>
                <w:sz w:val="20"/>
                <w:szCs w:val="20"/>
              </w:rPr>
            </w:pPr>
          </w:p>
        </w:tc>
      </w:tr>
      <w:tr w:rsidR="336BC162" w:rsidTr="336BC162" w14:paraId="714A042B">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216E2C5A" w14:textId="653DB8A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2 Before</w:t>
            </w:r>
          </w:p>
        </w:tc>
        <w:tc>
          <w:tcPr>
            <w:tcW w:w="708" w:type="dxa"/>
            <w:tcBorders>
              <w:top w:val="single" w:color="000000" w:themeColor="text1" w:sz="8"/>
              <w:left w:val="single" w:color="000000" w:themeColor="text1" w:sz="12"/>
              <w:bottom w:val="nil"/>
              <w:right w:val="nil"/>
            </w:tcBorders>
            <w:tcMar>
              <w:top w:w="15" w:type="dxa"/>
              <w:left w:w="15" w:type="dxa"/>
              <w:right w:w="15" w:type="dxa"/>
            </w:tcMar>
            <w:vAlign w:val="center"/>
          </w:tcPr>
          <w:p w:rsidR="336BC162" w:rsidP="336BC162" w:rsidRDefault="336BC162" w14:paraId="35DAB0D1" w14:textId="541DFC1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160</w:t>
            </w:r>
          </w:p>
        </w:tc>
        <w:tc>
          <w:tcPr>
            <w:tcW w:w="698"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65F3F07F" w14:textId="2DA0BC8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27.7</w:t>
            </w:r>
          </w:p>
        </w:tc>
        <w:tc>
          <w:tcPr>
            <w:tcW w:w="698"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0C86D865" w14:textId="1630722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202.9</w:t>
            </w:r>
          </w:p>
        </w:tc>
        <w:tc>
          <w:tcPr>
            <w:tcW w:w="1237"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28CE64AE" w14:textId="0F368C4A">
            <w:pPr>
              <w:rPr>
                <w:sz w:val="20"/>
                <w:szCs w:val="20"/>
              </w:rPr>
            </w:pPr>
          </w:p>
        </w:tc>
        <w:tc>
          <w:tcPr>
            <w:tcW w:w="1237"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4A5D09F8" w14:textId="1DD3A8E6">
            <w:pPr>
              <w:rPr>
                <w:sz w:val="20"/>
                <w:szCs w:val="20"/>
              </w:rPr>
            </w:pPr>
          </w:p>
        </w:tc>
        <w:tc>
          <w:tcPr>
            <w:tcW w:w="1229"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1F45A66D" w14:textId="1AEE6E2D">
            <w:pPr>
              <w:rPr>
                <w:sz w:val="20"/>
                <w:szCs w:val="20"/>
              </w:rPr>
            </w:pPr>
          </w:p>
        </w:tc>
        <w:tc>
          <w:tcPr>
            <w:tcW w:w="1229"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3F57BADE" w14:textId="50A22308">
            <w:pPr>
              <w:rPr>
                <w:sz w:val="20"/>
                <w:szCs w:val="20"/>
              </w:rPr>
            </w:pPr>
          </w:p>
        </w:tc>
        <w:tc>
          <w:tcPr>
            <w:tcW w:w="1208" w:type="dxa"/>
            <w:tcBorders>
              <w:top w:val="single" w:color="000000" w:themeColor="text1" w:sz="8"/>
              <w:left w:val="nil"/>
              <w:bottom w:val="nil"/>
              <w:right w:val="single" w:color="000000" w:themeColor="text1" w:sz="12"/>
            </w:tcBorders>
            <w:tcMar>
              <w:top w:w="15" w:type="dxa"/>
              <w:left w:w="15" w:type="dxa"/>
              <w:right w:w="15" w:type="dxa"/>
            </w:tcMar>
            <w:vAlign w:val="center"/>
          </w:tcPr>
          <w:p w:rsidR="336BC162" w:rsidP="336BC162" w:rsidRDefault="336BC162" w14:paraId="0E655180" w14:textId="3FE1BC6B">
            <w:pPr>
              <w:rPr>
                <w:sz w:val="20"/>
                <w:szCs w:val="20"/>
              </w:rPr>
            </w:pPr>
          </w:p>
        </w:tc>
      </w:tr>
      <w:tr w:rsidR="336BC162" w:rsidTr="336BC162" w14:paraId="0A28306E">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CB9461F" w14:textId="70227D41">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2 After</w:t>
            </w:r>
          </w:p>
        </w:tc>
        <w:tc>
          <w:tcPr>
            <w:tcW w:w="708" w:type="dxa"/>
            <w:tcBorders>
              <w:top w:val="nil"/>
              <w:left w:val="single" w:color="000000" w:themeColor="text1" w:sz="12"/>
              <w:bottom w:val="nil"/>
              <w:right w:val="nil"/>
            </w:tcBorders>
            <w:tcMar>
              <w:top w:w="15" w:type="dxa"/>
              <w:left w:w="15" w:type="dxa"/>
              <w:right w:w="15" w:type="dxa"/>
            </w:tcMar>
            <w:vAlign w:val="center"/>
          </w:tcPr>
          <w:p w:rsidR="336BC162" w:rsidP="336BC162" w:rsidRDefault="336BC162" w14:paraId="2D3AFA08" w14:textId="098B606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141.8</w:t>
            </w:r>
          </w:p>
        </w:tc>
        <w:tc>
          <w:tcPr>
            <w:tcW w:w="698" w:type="dxa"/>
            <w:tcBorders>
              <w:top w:val="nil"/>
              <w:left w:val="nil"/>
              <w:bottom w:val="nil"/>
              <w:right w:val="nil"/>
            </w:tcBorders>
            <w:tcMar>
              <w:top w:w="15" w:type="dxa"/>
              <w:left w:w="15" w:type="dxa"/>
              <w:right w:w="15" w:type="dxa"/>
            </w:tcMar>
            <w:vAlign w:val="center"/>
          </w:tcPr>
          <w:p w:rsidR="336BC162" w:rsidP="336BC162" w:rsidRDefault="336BC162" w14:paraId="045E576E" w14:textId="0F0335AD">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47.6</w:t>
            </w:r>
          </w:p>
        </w:tc>
        <w:tc>
          <w:tcPr>
            <w:tcW w:w="698" w:type="dxa"/>
            <w:tcBorders>
              <w:top w:val="nil"/>
              <w:left w:val="nil"/>
              <w:bottom w:val="nil"/>
              <w:right w:val="nil"/>
            </w:tcBorders>
            <w:tcMar>
              <w:top w:w="15" w:type="dxa"/>
              <w:left w:w="15" w:type="dxa"/>
              <w:right w:w="15" w:type="dxa"/>
            </w:tcMar>
            <w:vAlign w:val="center"/>
          </w:tcPr>
          <w:p w:rsidR="336BC162" w:rsidP="336BC162" w:rsidRDefault="336BC162" w14:paraId="661D1DE0" w14:textId="1CD3E817">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202.9</w:t>
            </w:r>
          </w:p>
        </w:tc>
        <w:tc>
          <w:tcPr>
            <w:tcW w:w="1237" w:type="dxa"/>
            <w:tcBorders>
              <w:top w:val="nil"/>
              <w:left w:val="nil"/>
              <w:bottom w:val="nil"/>
              <w:right w:val="nil"/>
            </w:tcBorders>
            <w:tcMar>
              <w:top w:w="15" w:type="dxa"/>
              <w:left w:w="15" w:type="dxa"/>
              <w:right w:w="15" w:type="dxa"/>
            </w:tcMar>
            <w:vAlign w:val="center"/>
          </w:tcPr>
          <w:p w:rsidR="336BC162" w:rsidP="336BC162" w:rsidRDefault="336BC162" w14:paraId="24C5E778" w14:textId="2B062A8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-0.928229596</w:t>
            </w:r>
          </w:p>
        </w:tc>
        <w:tc>
          <w:tcPr>
            <w:tcW w:w="1237" w:type="dxa"/>
            <w:tcBorders>
              <w:top w:val="nil"/>
              <w:left w:val="nil"/>
              <w:bottom w:val="nil"/>
              <w:right w:val="nil"/>
            </w:tcBorders>
            <w:tcMar>
              <w:top w:w="15" w:type="dxa"/>
              <w:left w:w="15" w:type="dxa"/>
              <w:right w:w="15" w:type="dxa"/>
            </w:tcMar>
            <w:vAlign w:val="center"/>
          </w:tcPr>
          <w:p w:rsidR="336BC162" w:rsidP="336BC162" w:rsidRDefault="336BC162" w14:paraId="7C762B51" w14:textId="38BB0100">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-29.68655032</w:t>
            </w:r>
          </w:p>
        </w:tc>
        <w:tc>
          <w:tcPr>
            <w:tcW w:w="1229" w:type="dxa"/>
            <w:tcBorders>
              <w:top w:val="nil"/>
              <w:left w:val="nil"/>
              <w:bottom w:val="nil"/>
              <w:right w:val="nil"/>
            </w:tcBorders>
            <w:tcMar>
              <w:top w:w="15" w:type="dxa"/>
              <w:left w:w="15" w:type="dxa"/>
              <w:right w:w="15" w:type="dxa"/>
            </w:tcMar>
            <w:vAlign w:val="center"/>
          </w:tcPr>
          <w:p w:rsidR="336BC162" w:rsidP="336BC162" w:rsidRDefault="336BC162" w14:paraId="04648CF2" w14:textId="4A056E08">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0.004892524</w:t>
            </w:r>
          </w:p>
        </w:tc>
        <w:tc>
          <w:tcPr>
            <w:tcW w:w="1229" w:type="dxa"/>
            <w:tcBorders>
              <w:top w:val="nil"/>
              <w:left w:val="nil"/>
              <w:bottom w:val="nil"/>
              <w:right w:val="nil"/>
            </w:tcBorders>
            <w:tcMar>
              <w:top w:w="15" w:type="dxa"/>
              <w:left w:w="15" w:type="dxa"/>
              <w:right w:w="15" w:type="dxa"/>
            </w:tcMar>
            <w:vAlign w:val="center"/>
          </w:tcPr>
          <w:p w:rsidR="336BC162" w:rsidP="336BC162" w:rsidRDefault="336BC162" w14:paraId="3ED19EDA" w14:textId="0AF259A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0.527081258</w:t>
            </w:r>
          </w:p>
        </w:tc>
        <w:tc>
          <w:tcPr>
            <w:tcW w:w="1208" w:type="dxa"/>
            <w:tcBorders>
              <w:top w:val="nil"/>
              <w:left w:val="nil"/>
              <w:bottom w:val="nil"/>
              <w:right w:val="single" w:color="000000" w:themeColor="text1" w:sz="12"/>
            </w:tcBorders>
            <w:tcMar>
              <w:top w:w="15" w:type="dxa"/>
              <w:left w:w="15" w:type="dxa"/>
              <w:right w:w="15" w:type="dxa"/>
            </w:tcMar>
            <w:vAlign w:val="center"/>
          </w:tcPr>
          <w:p w:rsidR="336BC162" w:rsidP="336BC162" w:rsidRDefault="336BC162" w14:paraId="1E774AC0" w14:textId="13E3F2E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96.87%</w:t>
            </w:r>
          </w:p>
        </w:tc>
      </w:tr>
      <w:tr w:rsidR="336BC162" w:rsidTr="336BC162" w14:paraId="298279DF">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E845EC0" w14:textId="05A05550">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3 Before</w:t>
            </w:r>
          </w:p>
        </w:tc>
        <w:tc>
          <w:tcPr>
            <w:tcW w:w="708" w:type="dxa"/>
            <w:tcBorders>
              <w:top w:val="single" w:color="000000" w:themeColor="text1" w:sz="8"/>
              <w:left w:val="single" w:color="000000" w:themeColor="text1" w:sz="12"/>
              <w:bottom w:val="nil"/>
              <w:right w:val="nil"/>
            </w:tcBorders>
            <w:tcMar>
              <w:top w:w="15" w:type="dxa"/>
              <w:left w:w="15" w:type="dxa"/>
              <w:right w:w="15" w:type="dxa"/>
            </w:tcMar>
            <w:vAlign w:val="center"/>
          </w:tcPr>
          <w:p w:rsidR="336BC162" w:rsidP="336BC162" w:rsidRDefault="336BC162" w14:paraId="4070505A" w14:textId="0AEFB4D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141.8</w:t>
            </w:r>
          </w:p>
        </w:tc>
        <w:tc>
          <w:tcPr>
            <w:tcW w:w="698"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1FC448C6" w14:textId="16A32FD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26.6</w:t>
            </w:r>
          </w:p>
        </w:tc>
        <w:tc>
          <w:tcPr>
            <w:tcW w:w="698"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6C587A15" w14:textId="61B6F41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199.4</w:t>
            </w:r>
          </w:p>
        </w:tc>
        <w:tc>
          <w:tcPr>
            <w:tcW w:w="1237"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4147696F" w14:textId="37DD8810">
            <w:pPr>
              <w:rPr>
                <w:sz w:val="20"/>
                <w:szCs w:val="20"/>
              </w:rPr>
            </w:pPr>
          </w:p>
        </w:tc>
        <w:tc>
          <w:tcPr>
            <w:tcW w:w="1237"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65AA509D" w14:textId="6A938B84">
            <w:pPr>
              <w:rPr>
                <w:sz w:val="20"/>
                <w:szCs w:val="20"/>
              </w:rPr>
            </w:pPr>
          </w:p>
        </w:tc>
        <w:tc>
          <w:tcPr>
            <w:tcW w:w="1229"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28C8722F" w14:textId="67907891">
            <w:pPr>
              <w:rPr>
                <w:sz w:val="20"/>
                <w:szCs w:val="20"/>
              </w:rPr>
            </w:pPr>
          </w:p>
        </w:tc>
        <w:tc>
          <w:tcPr>
            <w:tcW w:w="1229"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5D6C7E53" w14:textId="7075944E">
            <w:pPr>
              <w:rPr>
                <w:sz w:val="20"/>
                <w:szCs w:val="20"/>
              </w:rPr>
            </w:pPr>
          </w:p>
        </w:tc>
        <w:tc>
          <w:tcPr>
            <w:tcW w:w="1208" w:type="dxa"/>
            <w:tcBorders>
              <w:top w:val="single" w:color="000000" w:themeColor="text1" w:sz="8"/>
              <w:left w:val="nil"/>
              <w:bottom w:val="nil"/>
              <w:right w:val="single" w:color="000000" w:themeColor="text1" w:sz="12"/>
            </w:tcBorders>
            <w:tcMar>
              <w:top w:w="15" w:type="dxa"/>
              <w:left w:w="15" w:type="dxa"/>
              <w:right w:w="15" w:type="dxa"/>
            </w:tcMar>
            <w:vAlign w:val="center"/>
          </w:tcPr>
          <w:p w:rsidR="336BC162" w:rsidP="336BC162" w:rsidRDefault="336BC162" w14:paraId="65DC47B2" w14:textId="49647721">
            <w:pPr>
              <w:rPr>
                <w:sz w:val="20"/>
                <w:szCs w:val="20"/>
              </w:rPr>
            </w:pPr>
          </w:p>
        </w:tc>
      </w:tr>
      <w:tr w:rsidR="336BC162" w:rsidTr="336BC162" w14:paraId="750FAADB">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F82B5E3" w14:textId="13C82DC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3 After</w:t>
            </w:r>
          </w:p>
        </w:tc>
        <w:tc>
          <w:tcPr>
            <w:tcW w:w="708" w:type="dxa"/>
            <w:tcBorders>
              <w:top w:val="nil"/>
              <w:left w:val="single" w:color="000000" w:themeColor="text1" w:sz="12"/>
              <w:bottom w:val="single" w:color="000000" w:themeColor="text1" w:sz="12"/>
              <w:right w:val="nil"/>
            </w:tcBorders>
            <w:tcMar>
              <w:top w:w="15" w:type="dxa"/>
              <w:left w:w="15" w:type="dxa"/>
              <w:right w:w="15" w:type="dxa"/>
            </w:tcMar>
            <w:vAlign w:val="center"/>
          </w:tcPr>
          <w:p w:rsidR="336BC162" w:rsidP="336BC162" w:rsidRDefault="336BC162" w14:paraId="1358FEDA" w14:textId="1A03302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139.9</w:t>
            </w:r>
          </w:p>
        </w:tc>
        <w:tc>
          <w:tcPr>
            <w:tcW w:w="698"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61695DF2" w14:textId="271DD4E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46.6</w:t>
            </w:r>
          </w:p>
        </w:tc>
        <w:tc>
          <w:tcPr>
            <w:tcW w:w="698"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66AD413D" w14:textId="55F479C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199.4</w:t>
            </w:r>
          </w:p>
        </w:tc>
        <w:tc>
          <w:tcPr>
            <w:tcW w:w="1237"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59F717EA" w14:textId="427263B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-8.781995789</w:t>
            </w:r>
          </w:p>
        </w:tc>
        <w:tc>
          <w:tcPr>
            <w:tcW w:w="1237"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4F7E19C1" w14:textId="6BA4BA2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-29.68655032</w:t>
            </w:r>
          </w:p>
        </w:tc>
        <w:tc>
          <w:tcPr>
            <w:tcW w:w="1229"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4E79BC21" w14:textId="253C344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0.328310943</w:t>
            </w:r>
          </w:p>
        </w:tc>
        <w:tc>
          <w:tcPr>
            <w:tcW w:w="1229"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4382A7BC" w14:textId="5DFA22C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3.738454798</w:t>
            </w:r>
          </w:p>
        </w:tc>
        <w:tc>
          <w:tcPr>
            <w:tcW w:w="1208" w:type="dxa"/>
            <w:tcBorders>
              <w:top w:val="nil"/>
              <w:left w:val="nil"/>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B833E30" w14:textId="01B3527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70.42%</w:t>
            </w:r>
          </w:p>
        </w:tc>
      </w:tr>
      <w:tr w:rsidR="336BC162" w:rsidTr="336BC162" w14:paraId="36D3E478">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21F1C488" w14:textId="47B109F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Average:</w:t>
            </w:r>
          </w:p>
        </w:tc>
        <w:tc>
          <w:tcPr>
            <w:tcW w:w="708" w:type="dxa"/>
            <w:tcBorders>
              <w:top w:val="single" w:color="000000" w:themeColor="text1" w:sz="12"/>
              <w:left w:val="single" w:color="000000" w:themeColor="text1" w:sz="12"/>
              <w:bottom w:val="single" w:color="000000" w:themeColor="text1" w:sz="12"/>
              <w:right w:val="nil"/>
            </w:tcBorders>
            <w:tcMar>
              <w:top w:w="15" w:type="dxa"/>
              <w:left w:w="15" w:type="dxa"/>
              <w:right w:w="15" w:type="dxa"/>
            </w:tcMar>
            <w:vAlign w:val="center"/>
          </w:tcPr>
          <w:p w:rsidR="336BC162" w:rsidP="336BC162" w:rsidRDefault="336BC162" w14:paraId="19E57931" w14:textId="48A7B951">
            <w:pPr>
              <w:rPr>
                <w:sz w:val="20"/>
                <w:szCs w:val="20"/>
              </w:rPr>
            </w:pPr>
          </w:p>
        </w:tc>
        <w:tc>
          <w:tcPr>
            <w:tcW w:w="698"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5DB09288" w14:textId="18E0CA14">
            <w:pPr>
              <w:rPr>
                <w:sz w:val="20"/>
                <w:szCs w:val="20"/>
              </w:rPr>
            </w:pPr>
          </w:p>
        </w:tc>
        <w:tc>
          <w:tcPr>
            <w:tcW w:w="698"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73EFF970" w14:textId="691F09D6">
            <w:pPr>
              <w:rPr>
                <w:sz w:val="20"/>
                <w:szCs w:val="20"/>
              </w:rPr>
            </w:pPr>
          </w:p>
        </w:tc>
        <w:tc>
          <w:tcPr>
            <w:tcW w:w="1237"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528670D8" w14:textId="14BAA6A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-5.906532271</w:t>
            </w:r>
          </w:p>
        </w:tc>
        <w:tc>
          <w:tcPr>
            <w:tcW w:w="1237"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79AD23F6" w14:textId="426A17B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-29.68655032</w:t>
            </w:r>
          </w:p>
        </w:tc>
        <w:tc>
          <w:tcPr>
            <w:tcW w:w="1229"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353EEC90" w14:textId="5C1494CD">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0.201456112</w:t>
            </w:r>
          </w:p>
        </w:tc>
        <w:tc>
          <w:tcPr>
            <w:tcW w:w="1229"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1571D97F" w14:textId="3E7CDBD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2.550376984</w:t>
            </w:r>
          </w:p>
        </w:tc>
        <w:tc>
          <w:tcPr>
            <w:tcW w:w="1208" w:type="dxa"/>
            <w:tcBorders>
              <w:top w:val="single" w:color="000000" w:themeColor="text1" w:sz="12"/>
              <w:left w:val="nil"/>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B108356" w14:textId="26AAB9C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80.10%</w:t>
            </w:r>
          </w:p>
        </w:tc>
      </w:tr>
    </w:tbl>
    <w:p w:rsidR="336BC162" w:rsidRDefault="336BC162" w14:paraId="135FE675" w14:textId="10772560"/>
    <w:p w:rsidR="336BC162" w:rsidRDefault="336BC162" w14:paraId="561C353E" w14:textId="06DCA74B"/>
    <w:tbl>
      <w:tblPr>
        <w:tblStyle w:val="TableNormal"/>
        <w:tblW w:w="0" w:type="auto"/>
        <w:tblLayout w:type="fixed"/>
        <w:tblLook w:val="06A0" w:firstRow="1" w:lastRow="0" w:firstColumn="1" w:lastColumn="0" w:noHBand="1" w:noVBand="1"/>
      </w:tblPr>
      <w:tblGrid>
        <w:gridCol w:w="1135"/>
        <w:gridCol w:w="707"/>
        <w:gridCol w:w="696"/>
        <w:gridCol w:w="696"/>
        <w:gridCol w:w="1235"/>
        <w:gridCol w:w="1235"/>
        <w:gridCol w:w="1226"/>
        <w:gridCol w:w="1226"/>
        <w:gridCol w:w="1204"/>
      </w:tblGrid>
      <w:tr w:rsidR="336BC162" w:rsidTr="336BC162" w14:paraId="60BEA587">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6CBA8CA4" w14:textId="2715EC37">
            <w:pPr>
              <w:spacing w:before="0" w:beforeAutospacing="off" w:after="0" w:afterAutospacing="off"/>
              <w:jc w:val="center"/>
              <w:rPr>
                <w:rFonts w:ascii="Aptos Narrow" w:hAnsi="Aptos Narrow" w:eastAsia="Aptos Narrow" w:cs="Aptos Narrow"/>
                <w:b w:val="1"/>
                <w:bCs w:val="1"/>
                <w:i w:val="0"/>
                <w:iCs w:val="0"/>
                <w:strike w:val="0"/>
                <w:dstrike w:val="0"/>
                <w:color w:val="000000" w:themeColor="text1" w:themeTint="FF" w:themeShade="FF"/>
                <w:sz w:val="20"/>
                <w:szCs w:val="20"/>
                <w:u w:val="single"/>
              </w:rPr>
            </w:pPr>
            <w:r w:rsidRPr="336BC162" w:rsidR="336BC162">
              <w:rPr>
                <w:rFonts w:ascii="Aptos Narrow" w:hAnsi="Aptos Narrow" w:eastAsia="Aptos Narrow" w:cs="Aptos Narrow"/>
                <w:b w:val="1"/>
                <w:bCs w:val="1"/>
                <w:i w:val="0"/>
                <w:iCs w:val="0"/>
                <w:strike w:val="0"/>
                <w:dstrike w:val="0"/>
                <w:color w:val="000000" w:themeColor="text1" w:themeTint="FF" w:themeShade="FF"/>
                <w:sz w:val="20"/>
                <w:szCs w:val="20"/>
                <w:u w:val="single"/>
              </w:rPr>
              <w:t>Pentanol</w:t>
            </w:r>
          </w:p>
        </w:tc>
        <w:tc>
          <w:tcPr>
            <w:tcW w:w="707"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72374CE" w14:textId="1A6EB4D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Alcohol Mass (g)</w:t>
            </w:r>
          </w:p>
        </w:tc>
        <w:tc>
          <w:tcPr>
            <w:tcW w:w="69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130CF02" w14:textId="2C38F09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 xml:space="preserve">Water </w:t>
            </w: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Temp</w:t>
            </w: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 xml:space="preserve"> (°C)</w:t>
            </w:r>
          </w:p>
        </w:tc>
        <w:tc>
          <w:tcPr>
            <w:tcW w:w="69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7AC3CE3" w14:textId="3D71D9F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Water Mass (g)</w:t>
            </w:r>
          </w:p>
        </w:tc>
        <w:tc>
          <w:tcPr>
            <w:tcW w:w="12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572F296" w14:textId="009E671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Combustion Enthalpy (kJ/g)</w:t>
            </w:r>
          </w:p>
        </w:tc>
        <w:tc>
          <w:tcPr>
            <w:tcW w:w="12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30A602E6" w14:textId="515CDD8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Bond Enthalpy</w:t>
            </w:r>
          </w:p>
        </w:tc>
        <w:tc>
          <w:tcPr>
            <w:tcW w:w="122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2341E82D" w14:textId="36614B3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Absolute Uncertainty</w:t>
            </w:r>
          </w:p>
        </w:tc>
        <w:tc>
          <w:tcPr>
            <w:tcW w:w="122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99EFB6D" w14:textId="4AAB442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Percentage / Relative Uncertainty</w:t>
            </w:r>
          </w:p>
        </w:tc>
        <w:tc>
          <w:tcPr>
            <w:tcW w:w="1204"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4D40BDF" w14:textId="26219D27">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Percentage Error</w:t>
            </w:r>
          </w:p>
        </w:tc>
      </w:tr>
      <w:tr w:rsidR="336BC162" w:rsidTr="336BC162" w14:paraId="4FCD0F65">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D8414FB" w14:textId="1D48738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1 Before</w:t>
            </w:r>
          </w:p>
        </w:tc>
        <w:tc>
          <w:tcPr>
            <w:tcW w:w="707" w:type="dxa"/>
            <w:tcBorders>
              <w:top w:val="single" w:color="000000" w:themeColor="text1" w:sz="12"/>
              <w:left w:val="single" w:color="000000" w:themeColor="text1" w:sz="12"/>
              <w:bottom w:val="nil"/>
              <w:right w:val="nil"/>
            </w:tcBorders>
            <w:tcMar>
              <w:top w:w="15" w:type="dxa"/>
              <w:left w:w="15" w:type="dxa"/>
              <w:right w:w="15" w:type="dxa"/>
            </w:tcMar>
            <w:vAlign w:val="center"/>
          </w:tcPr>
          <w:p w:rsidR="336BC162" w:rsidP="336BC162" w:rsidRDefault="336BC162" w14:paraId="4E6E2F2A" w14:textId="7076A26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165</w:t>
            </w:r>
          </w:p>
        </w:tc>
        <w:tc>
          <w:tcPr>
            <w:tcW w:w="696"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68415FAE" w14:textId="0E4E40D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27.5</w:t>
            </w:r>
          </w:p>
        </w:tc>
        <w:tc>
          <w:tcPr>
            <w:tcW w:w="696"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10FF65A7" w14:textId="0835A01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203.1</w:t>
            </w:r>
          </w:p>
        </w:tc>
        <w:tc>
          <w:tcPr>
            <w:tcW w:w="1235"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5577EEA2" w14:textId="75D3DB97">
            <w:pPr>
              <w:rPr>
                <w:sz w:val="20"/>
                <w:szCs w:val="20"/>
              </w:rPr>
            </w:pPr>
          </w:p>
        </w:tc>
        <w:tc>
          <w:tcPr>
            <w:tcW w:w="1235"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66AEC20E" w14:textId="1BCACD11">
            <w:pPr>
              <w:rPr>
                <w:sz w:val="20"/>
                <w:szCs w:val="20"/>
              </w:rPr>
            </w:pPr>
          </w:p>
        </w:tc>
        <w:tc>
          <w:tcPr>
            <w:tcW w:w="1226"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5DB9A593" w14:textId="6C7556B4">
            <w:pPr>
              <w:rPr>
                <w:sz w:val="20"/>
                <w:szCs w:val="20"/>
              </w:rPr>
            </w:pPr>
          </w:p>
        </w:tc>
        <w:tc>
          <w:tcPr>
            <w:tcW w:w="1226"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7B376112" w14:textId="5B74EE1C">
            <w:pPr>
              <w:rPr>
                <w:sz w:val="20"/>
                <w:szCs w:val="20"/>
              </w:rPr>
            </w:pPr>
          </w:p>
        </w:tc>
        <w:tc>
          <w:tcPr>
            <w:tcW w:w="1204" w:type="dxa"/>
            <w:tcBorders>
              <w:top w:val="single" w:color="000000" w:themeColor="text1" w:sz="12"/>
              <w:left w:val="nil"/>
              <w:bottom w:val="nil"/>
              <w:right w:val="single" w:color="000000" w:themeColor="text1" w:sz="12"/>
            </w:tcBorders>
            <w:tcMar>
              <w:top w:w="15" w:type="dxa"/>
              <w:left w:w="15" w:type="dxa"/>
              <w:right w:w="15" w:type="dxa"/>
            </w:tcMar>
            <w:vAlign w:val="center"/>
          </w:tcPr>
          <w:p w:rsidR="336BC162" w:rsidP="336BC162" w:rsidRDefault="336BC162" w14:paraId="55028877" w14:textId="0CDE5404">
            <w:pPr>
              <w:rPr>
                <w:sz w:val="20"/>
                <w:szCs w:val="20"/>
              </w:rPr>
            </w:pPr>
          </w:p>
        </w:tc>
      </w:tr>
      <w:tr w:rsidR="336BC162" w:rsidTr="336BC162" w14:paraId="3B59FA52">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6629060" w14:textId="73551C3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1 After</w:t>
            </w:r>
          </w:p>
        </w:tc>
        <w:tc>
          <w:tcPr>
            <w:tcW w:w="707" w:type="dxa"/>
            <w:tcBorders>
              <w:top w:val="nil"/>
              <w:left w:val="single" w:color="000000" w:themeColor="text1" w:sz="12"/>
              <w:bottom w:val="nil"/>
              <w:right w:val="nil"/>
            </w:tcBorders>
            <w:tcMar>
              <w:top w:w="15" w:type="dxa"/>
              <w:left w:w="15" w:type="dxa"/>
              <w:right w:w="15" w:type="dxa"/>
            </w:tcMar>
            <w:vAlign w:val="center"/>
          </w:tcPr>
          <w:p w:rsidR="336BC162" w:rsidP="336BC162" w:rsidRDefault="336BC162" w14:paraId="4B7D36E5" w14:textId="762DAC0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164</w:t>
            </w:r>
          </w:p>
        </w:tc>
        <w:tc>
          <w:tcPr>
            <w:tcW w:w="696" w:type="dxa"/>
            <w:tcBorders>
              <w:top w:val="nil"/>
              <w:left w:val="nil"/>
              <w:bottom w:val="nil"/>
              <w:right w:val="nil"/>
            </w:tcBorders>
            <w:tcMar>
              <w:top w:w="15" w:type="dxa"/>
              <w:left w:w="15" w:type="dxa"/>
              <w:right w:w="15" w:type="dxa"/>
            </w:tcMar>
            <w:vAlign w:val="center"/>
          </w:tcPr>
          <w:p w:rsidR="336BC162" w:rsidP="336BC162" w:rsidRDefault="336BC162" w14:paraId="7D8F43E1" w14:textId="282C096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47.6</w:t>
            </w:r>
          </w:p>
        </w:tc>
        <w:tc>
          <w:tcPr>
            <w:tcW w:w="696" w:type="dxa"/>
            <w:tcBorders>
              <w:top w:val="nil"/>
              <w:left w:val="nil"/>
              <w:bottom w:val="nil"/>
              <w:right w:val="nil"/>
            </w:tcBorders>
            <w:tcMar>
              <w:top w:w="15" w:type="dxa"/>
              <w:left w:w="15" w:type="dxa"/>
              <w:right w:w="15" w:type="dxa"/>
            </w:tcMar>
            <w:vAlign w:val="center"/>
          </w:tcPr>
          <w:p w:rsidR="336BC162" w:rsidP="336BC162" w:rsidRDefault="336BC162" w14:paraId="63E05052" w14:textId="6E9840C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203.1</w:t>
            </w:r>
          </w:p>
        </w:tc>
        <w:tc>
          <w:tcPr>
            <w:tcW w:w="1235" w:type="dxa"/>
            <w:tcBorders>
              <w:top w:val="nil"/>
              <w:left w:val="nil"/>
              <w:bottom w:val="nil"/>
              <w:right w:val="nil"/>
            </w:tcBorders>
            <w:tcMar>
              <w:top w:w="15" w:type="dxa"/>
              <w:left w:w="15" w:type="dxa"/>
              <w:right w:w="15" w:type="dxa"/>
            </w:tcMar>
            <w:vAlign w:val="center"/>
          </w:tcPr>
          <w:p w:rsidR="336BC162" w:rsidP="336BC162" w:rsidRDefault="336BC162" w14:paraId="070E8D0B" w14:textId="51E0F2C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-17.08038504</w:t>
            </w:r>
          </w:p>
        </w:tc>
        <w:tc>
          <w:tcPr>
            <w:tcW w:w="1235" w:type="dxa"/>
            <w:tcBorders>
              <w:top w:val="nil"/>
              <w:left w:val="nil"/>
              <w:bottom w:val="nil"/>
              <w:right w:val="nil"/>
            </w:tcBorders>
            <w:tcMar>
              <w:top w:w="15" w:type="dxa"/>
              <w:left w:w="15" w:type="dxa"/>
              <w:right w:w="15" w:type="dxa"/>
            </w:tcMar>
            <w:vAlign w:val="center"/>
          </w:tcPr>
          <w:p w:rsidR="336BC162" w:rsidP="336BC162" w:rsidRDefault="336BC162" w14:paraId="0F1263F8" w14:textId="6F45AEA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-37.78761223</w:t>
            </w:r>
          </w:p>
        </w:tc>
        <w:tc>
          <w:tcPr>
            <w:tcW w:w="1226" w:type="dxa"/>
            <w:tcBorders>
              <w:top w:val="nil"/>
              <w:left w:val="nil"/>
              <w:bottom w:val="nil"/>
              <w:right w:val="nil"/>
            </w:tcBorders>
            <w:tcMar>
              <w:top w:w="15" w:type="dxa"/>
              <w:left w:w="15" w:type="dxa"/>
              <w:right w:w="15" w:type="dxa"/>
            </w:tcMar>
            <w:vAlign w:val="center"/>
          </w:tcPr>
          <w:p w:rsidR="336BC162" w:rsidP="336BC162" w:rsidRDefault="336BC162" w14:paraId="40A12800" w14:textId="2E30EBC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1.209266718</w:t>
            </w:r>
          </w:p>
        </w:tc>
        <w:tc>
          <w:tcPr>
            <w:tcW w:w="1226" w:type="dxa"/>
            <w:tcBorders>
              <w:top w:val="nil"/>
              <w:left w:val="nil"/>
              <w:bottom w:val="nil"/>
              <w:right w:val="nil"/>
            </w:tcBorders>
            <w:tcMar>
              <w:top w:w="15" w:type="dxa"/>
              <w:left w:w="15" w:type="dxa"/>
              <w:right w:w="15" w:type="dxa"/>
            </w:tcMar>
            <w:vAlign w:val="center"/>
          </w:tcPr>
          <w:p w:rsidR="336BC162" w:rsidP="336BC162" w:rsidRDefault="336BC162" w14:paraId="39BA3086" w14:textId="1D1ECF9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7.079856311</w:t>
            </w:r>
          </w:p>
        </w:tc>
        <w:tc>
          <w:tcPr>
            <w:tcW w:w="1204" w:type="dxa"/>
            <w:tcBorders>
              <w:top w:val="nil"/>
              <w:left w:val="nil"/>
              <w:bottom w:val="nil"/>
              <w:right w:val="single" w:color="000000" w:themeColor="text1" w:sz="12"/>
            </w:tcBorders>
            <w:tcMar>
              <w:top w:w="15" w:type="dxa"/>
              <w:left w:w="15" w:type="dxa"/>
              <w:right w:w="15" w:type="dxa"/>
            </w:tcMar>
            <w:vAlign w:val="center"/>
          </w:tcPr>
          <w:p w:rsidR="336BC162" w:rsidP="336BC162" w:rsidRDefault="336BC162" w14:paraId="6D6A881F" w14:textId="2C6645D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54.80%</w:t>
            </w:r>
          </w:p>
        </w:tc>
      </w:tr>
      <w:tr w:rsidR="336BC162" w:rsidTr="336BC162" w14:paraId="18595AE0">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6D3E9C7" w14:textId="020764D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2 Before</w:t>
            </w:r>
          </w:p>
        </w:tc>
        <w:tc>
          <w:tcPr>
            <w:tcW w:w="707" w:type="dxa"/>
            <w:tcBorders>
              <w:top w:val="single" w:color="000000" w:themeColor="text1" w:sz="8"/>
              <w:left w:val="single" w:color="000000" w:themeColor="text1" w:sz="12"/>
              <w:bottom w:val="nil"/>
              <w:right w:val="nil"/>
            </w:tcBorders>
            <w:tcMar>
              <w:top w:w="15" w:type="dxa"/>
              <w:left w:w="15" w:type="dxa"/>
              <w:right w:w="15" w:type="dxa"/>
            </w:tcMar>
            <w:vAlign w:val="center"/>
          </w:tcPr>
          <w:p w:rsidR="336BC162" w:rsidP="336BC162" w:rsidRDefault="336BC162" w14:paraId="4CDE12AA" w14:textId="4772702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164</w:t>
            </w:r>
          </w:p>
        </w:tc>
        <w:tc>
          <w:tcPr>
            <w:tcW w:w="69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6BAFAC40" w14:textId="4753506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28.1</w:t>
            </w:r>
          </w:p>
        </w:tc>
        <w:tc>
          <w:tcPr>
            <w:tcW w:w="69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15CBE5B8" w14:textId="135D341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205.6</w:t>
            </w:r>
          </w:p>
        </w:tc>
        <w:tc>
          <w:tcPr>
            <w:tcW w:w="123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71553CCF" w14:textId="3B0728DC">
            <w:pPr>
              <w:rPr>
                <w:sz w:val="20"/>
                <w:szCs w:val="20"/>
              </w:rPr>
            </w:pPr>
          </w:p>
        </w:tc>
        <w:tc>
          <w:tcPr>
            <w:tcW w:w="123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20AA69B7" w14:textId="4FB1DEBA">
            <w:pPr>
              <w:rPr>
                <w:sz w:val="20"/>
                <w:szCs w:val="20"/>
              </w:rPr>
            </w:pPr>
          </w:p>
        </w:tc>
        <w:tc>
          <w:tcPr>
            <w:tcW w:w="122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45DB07EF" w14:textId="16EEC2A7">
            <w:pPr>
              <w:rPr>
                <w:sz w:val="20"/>
                <w:szCs w:val="20"/>
              </w:rPr>
            </w:pPr>
          </w:p>
        </w:tc>
        <w:tc>
          <w:tcPr>
            <w:tcW w:w="122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622D0BA3" w14:textId="7B66842C">
            <w:pPr>
              <w:rPr>
                <w:sz w:val="20"/>
                <w:szCs w:val="20"/>
              </w:rPr>
            </w:pPr>
          </w:p>
        </w:tc>
        <w:tc>
          <w:tcPr>
            <w:tcW w:w="1204" w:type="dxa"/>
            <w:tcBorders>
              <w:top w:val="single" w:color="000000" w:themeColor="text1" w:sz="8"/>
              <w:left w:val="nil"/>
              <w:bottom w:val="nil"/>
              <w:right w:val="single" w:color="000000" w:themeColor="text1" w:sz="12"/>
            </w:tcBorders>
            <w:tcMar>
              <w:top w:w="15" w:type="dxa"/>
              <w:left w:w="15" w:type="dxa"/>
              <w:right w:w="15" w:type="dxa"/>
            </w:tcMar>
            <w:vAlign w:val="center"/>
          </w:tcPr>
          <w:p w:rsidR="336BC162" w:rsidP="336BC162" w:rsidRDefault="336BC162" w14:paraId="7801EFE8" w14:textId="54C581AE">
            <w:pPr>
              <w:rPr>
                <w:sz w:val="20"/>
                <w:szCs w:val="20"/>
              </w:rPr>
            </w:pPr>
          </w:p>
        </w:tc>
      </w:tr>
      <w:tr w:rsidR="336BC162" w:rsidTr="336BC162" w14:paraId="4FBFC6B5">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CAA5CD0" w14:textId="09C4E7F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2 After</w:t>
            </w:r>
          </w:p>
        </w:tc>
        <w:tc>
          <w:tcPr>
            <w:tcW w:w="707" w:type="dxa"/>
            <w:tcBorders>
              <w:top w:val="nil"/>
              <w:left w:val="single" w:color="000000" w:themeColor="text1" w:sz="12"/>
              <w:bottom w:val="nil"/>
              <w:right w:val="nil"/>
            </w:tcBorders>
            <w:tcMar>
              <w:top w:w="15" w:type="dxa"/>
              <w:left w:w="15" w:type="dxa"/>
              <w:right w:w="15" w:type="dxa"/>
            </w:tcMar>
            <w:vAlign w:val="center"/>
          </w:tcPr>
          <w:p w:rsidR="336BC162" w:rsidP="336BC162" w:rsidRDefault="336BC162" w14:paraId="14221AD9" w14:textId="3A7D8AD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162.4</w:t>
            </w:r>
          </w:p>
        </w:tc>
        <w:tc>
          <w:tcPr>
            <w:tcW w:w="696" w:type="dxa"/>
            <w:tcBorders>
              <w:top w:val="nil"/>
              <w:left w:val="nil"/>
              <w:bottom w:val="nil"/>
              <w:right w:val="nil"/>
            </w:tcBorders>
            <w:tcMar>
              <w:top w:w="15" w:type="dxa"/>
              <w:left w:w="15" w:type="dxa"/>
              <w:right w:w="15" w:type="dxa"/>
            </w:tcMar>
            <w:vAlign w:val="center"/>
          </w:tcPr>
          <w:p w:rsidR="336BC162" w:rsidP="336BC162" w:rsidRDefault="336BC162" w14:paraId="628155FB" w14:textId="04E97EA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48.2</w:t>
            </w:r>
          </w:p>
        </w:tc>
        <w:tc>
          <w:tcPr>
            <w:tcW w:w="696" w:type="dxa"/>
            <w:tcBorders>
              <w:top w:val="nil"/>
              <w:left w:val="nil"/>
              <w:bottom w:val="nil"/>
              <w:right w:val="nil"/>
            </w:tcBorders>
            <w:tcMar>
              <w:top w:w="15" w:type="dxa"/>
              <w:left w:w="15" w:type="dxa"/>
              <w:right w:w="15" w:type="dxa"/>
            </w:tcMar>
            <w:vAlign w:val="center"/>
          </w:tcPr>
          <w:p w:rsidR="336BC162" w:rsidP="336BC162" w:rsidRDefault="336BC162" w14:paraId="1081A798" w14:textId="4121B9B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205.6</w:t>
            </w:r>
          </w:p>
        </w:tc>
        <w:tc>
          <w:tcPr>
            <w:tcW w:w="1235" w:type="dxa"/>
            <w:tcBorders>
              <w:top w:val="nil"/>
              <w:left w:val="nil"/>
              <w:bottom w:val="nil"/>
              <w:right w:val="nil"/>
            </w:tcBorders>
            <w:tcMar>
              <w:top w:w="15" w:type="dxa"/>
              <w:left w:w="15" w:type="dxa"/>
              <w:right w:w="15" w:type="dxa"/>
            </w:tcMar>
            <w:vAlign w:val="center"/>
          </w:tcPr>
          <w:p w:rsidR="336BC162" w:rsidP="336BC162" w:rsidRDefault="336BC162" w14:paraId="793E2755" w14:textId="079C42E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-10.8066444</w:t>
            </w:r>
          </w:p>
        </w:tc>
        <w:tc>
          <w:tcPr>
            <w:tcW w:w="1235" w:type="dxa"/>
            <w:tcBorders>
              <w:top w:val="nil"/>
              <w:left w:val="nil"/>
              <w:bottom w:val="nil"/>
              <w:right w:val="nil"/>
            </w:tcBorders>
            <w:tcMar>
              <w:top w:w="15" w:type="dxa"/>
              <w:left w:w="15" w:type="dxa"/>
              <w:right w:w="15" w:type="dxa"/>
            </w:tcMar>
            <w:vAlign w:val="center"/>
          </w:tcPr>
          <w:p w:rsidR="336BC162" w:rsidP="336BC162" w:rsidRDefault="336BC162" w14:paraId="5ECCBC92" w14:textId="3BD9B55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-37.78761223</w:t>
            </w:r>
          </w:p>
        </w:tc>
        <w:tc>
          <w:tcPr>
            <w:tcW w:w="1226" w:type="dxa"/>
            <w:tcBorders>
              <w:top w:val="nil"/>
              <w:left w:val="nil"/>
              <w:bottom w:val="nil"/>
              <w:right w:val="nil"/>
            </w:tcBorders>
            <w:tcMar>
              <w:top w:w="15" w:type="dxa"/>
              <w:left w:w="15" w:type="dxa"/>
              <w:right w:w="15" w:type="dxa"/>
            </w:tcMar>
            <w:vAlign w:val="center"/>
          </w:tcPr>
          <w:p w:rsidR="336BC162" w:rsidP="336BC162" w:rsidRDefault="336BC162" w14:paraId="699EA37C" w14:textId="091C196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0.479108661</w:t>
            </w:r>
          </w:p>
        </w:tc>
        <w:tc>
          <w:tcPr>
            <w:tcW w:w="1226" w:type="dxa"/>
            <w:tcBorders>
              <w:top w:val="nil"/>
              <w:left w:val="nil"/>
              <w:bottom w:val="nil"/>
              <w:right w:val="nil"/>
            </w:tcBorders>
            <w:tcMar>
              <w:top w:w="15" w:type="dxa"/>
              <w:left w:w="15" w:type="dxa"/>
              <w:right w:w="15" w:type="dxa"/>
            </w:tcMar>
            <w:vAlign w:val="center"/>
          </w:tcPr>
          <w:p w:rsidR="336BC162" w:rsidP="336BC162" w:rsidRDefault="336BC162" w14:paraId="5294E40B" w14:textId="6E67DA4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4.43346374</w:t>
            </w:r>
          </w:p>
        </w:tc>
        <w:tc>
          <w:tcPr>
            <w:tcW w:w="1204" w:type="dxa"/>
            <w:tcBorders>
              <w:top w:val="nil"/>
              <w:left w:val="nil"/>
              <w:bottom w:val="nil"/>
              <w:right w:val="single" w:color="000000" w:themeColor="text1" w:sz="12"/>
            </w:tcBorders>
            <w:tcMar>
              <w:top w:w="15" w:type="dxa"/>
              <w:left w:w="15" w:type="dxa"/>
              <w:right w:w="15" w:type="dxa"/>
            </w:tcMar>
            <w:vAlign w:val="center"/>
          </w:tcPr>
          <w:p w:rsidR="336BC162" w:rsidP="336BC162" w:rsidRDefault="336BC162" w14:paraId="4A9D5113" w14:textId="41A61C7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71.40%</w:t>
            </w:r>
          </w:p>
        </w:tc>
      </w:tr>
      <w:tr w:rsidR="336BC162" w:rsidTr="336BC162" w14:paraId="7A47B9D9">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DF143E2" w14:textId="0D151FA8">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3 Before</w:t>
            </w:r>
          </w:p>
        </w:tc>
        <w:tc>
          <w:tcPr>
            <w:tcW w:w="707" w:type="dxa"/>
            <w:tcBorders>
              <w:top w:val="single" w:color="000000" w:themeColor="text1" w:sz="8"/>
              <w:left w:val="single" w:color="000000" w:themeColor="text1" w:sz="12"/>
              <w:bottom w:val="nil"/>
              <w:right w:val="nil"/>
            </w:tcBorders>
            <w:tcMar>
              <w:top w:w="15" w:type="dxa"/>
              <w:left w:w="15" w:type="dxa"/>
              <w:right w:w="15" w:type="dxa"/>
            </w:tcMar>
            <w:vAlign w:val="center"/>
          </w:tcPr>
          <w:p w:rsidR="336BC162" w:rsidP="336BC162" w:rsidRDefault="336BC162" w14:paraId="7CEEA58A" w14:textId="2AAC99E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161.9</w:t>
            </w:r>
          </w:p>
        </w:tc>
        <w:tc>
          <w:tcPr>
            <w:tcW w:w="69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72E59188" w14:textId="52396B2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23.8</w:t>
            </w:r>
          </w:p>
        </w:tc>
        <w:tc>
          <w:tcPr>
            <w:tcW w:w="69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62DF716E" w14:textId="616649A1">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198.5</w:t>
            </w:r>
          </w:p>
        </w:tc>
        <w:tc>
          <w:tcPr>
            <w:tcW w:w="123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24546E69" w14:textId="517C8ADA">
            <w:pPr>
              <w:rPr>
                <w:sz w:val="20"/>
                <w:szCs w:val="20"/>
              </w:rPr>
            </w:pPr>
          </w:p>
        </w:tc>
        <w:tc>
          <w:tcPr>
            <w:tcW w:w="123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24865355" w14:textId="4D7D3784">
            <w:pPr>
              <w:rPr>
                <w:sz w:val="20"/>
                <w:szCs w:val="20"/>
              </w:rPr>
            </w:pPr>
          </w:p>
        </w:tc>
        <w:tc>
          <w:tcPr>
            <w:tcW w:w="122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47F3E9B8" w14:textId="47404CA7">
            <w:pPr>
              <w:rPr>
                <w:sz w:val="20"/>
                <w:szCs w:val="20"/>
              </w:rPr>
            </w:pPr>
          </w:p>
        </w:tc>
        <w:tc>
          <w:tcPr>
            <w:tcW w:w="122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34B37F23" w14:textId="5ADD4C4B">
            <w:pPr>
              <w:rPr>
                <w:sz w:val="20"/>
                <w:szCs w:val="20"/>
              </w:rPr>
            </w:pPr>
          </w:p>
        </w:tc>
        <w:tc>
          <w:tcPr>
            <w:tcW w:w="1204" w:type="dxa"/>
            <w:tcBorders>
              <w:top w:val="single" w:color="000000" w:themeColor="text1" w:sz="8"/>
              <w:left w:val="nil"/>
              <w:bottom w:val="nil"/>
              <w:right w:val="single" w:color="000000" w:themeColor="text1" w:sz="12"/>
            </w:tcBorders>
            <w:tcMar>
              <w:top w:w="15" w:type="dxa"/>
              <w:left w:w="15" w:type="dxa"/>
              <w:right w:w="15" w:type="dxa"/>
            </w:tcMar>
            <w:vAlign w:val="center"/>
          </w:tcPr>
          <w:p w:rsidR="336BC162" w:rsidP="336BC162" w:rsidRDefault="336BC162" w14:paraId="0A7B6FED" w14:textId="60439D64">
            <w:pPr>
              <w:rPr>
                <w:sz w:val="20"/>
                <w:szCs w:val="20"/>
              </w:rPr>
            </w:pPr>
          </w:p>
        </w:tc>
      </w:tr>
      <w:tr w:rsidR="336BC162" w:rsidTr="336BC162" w14:paraId="55A9C732">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3359C985" w14:textId="3BD7E440">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3 After</w:t>
            </w:r>
          </w:p>
        </w:tc>
        <w:tc>
          <w:tcPr>
            <w:tcW w:w="707" w:type="dxa"/>
            <w:tcBorders>
              <w:top w:val="nil"/>
              <w:left w:val="single" w:color="000000" w:themeColor="text1" w:sz="12"/>
              <w:bottom w:val="single" w:color="000000" w:themeColor="text1" w:sz="12"/>
              <w:right w:val="nil"/>
            </w:tcBorders>
            <w:tcMar>
              <w:top w:w="15" w:type="dxa"/>
              <w:left w:w="15" w:type="dxa"/>
              <w:right w:w="15" w:type="dxa"/>
            </w:tcMar>
            <w:vAlign w:val="center"/>
          </w:tcPr>
          <w:p w:rsidR="336BC162" w:rsidP="336BC162" w:rsidRDefault="336BC162" w14:paraId="66DC9028" w14:textId="0E4A40D7">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159.6</w:t>
            </w:r>
          </w:p>
        </w:tc>
        <w:tc>
          <w:tcPr>
            <w:tcW w:w="696"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54262569" w14:textId="47371D5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43.8</w:t>
            </w:r>
          </w:p>
        </w:tc>
        <w:tc>
          <w:tcPr>
            <w:tcW w:w="696"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76834002" w14:textId="14C389C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198.5</w:t>
            </w:r>
          </w:p>
        </w:tc>
        <w:tc>
          <w:tcPr>
            <w:tcW w:w="1235"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4FADA94B" w14:textId="6B994E2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-7.221947826</w:t>
            </w:r>
          </w:p>
        </w:tc>
        <w:tc>
          <w:tcPr>
            <w:tcW w:w="1235"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75493226" w14:textId="3162932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-37.78761223</w:t>
            </w:r>
          </w:p>
        </w:tc>
        <w:tc>
          <w:tcPr>
            <w:tcW w:w="1226"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5B1550E5" w14:textId="4D55F33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0.223500679</w:t>
            </w:r>
          </w:p>
        </w:tc>
        <w:tc>
          <w:tcPr>
            <w:tcW w:w="1226"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4D20FE28" w14:textId="01AFD2A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3.094742368</w:t>
            </w:r>
          </w:p>
        </w:tc>
        <w:tc>
          <w:tcPr>
            <w:tcW w:w="1204" w:type="dxa"/>
            <w:tcBorders>
              <w:top w:val="nil"/>
              <w:left w:val="nil"/>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2507DCA8" w14:textId="7DD75528">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80.89%</w:t>
            </w:r>
          </w:p>
        </w:tc>
      </w:tr>
      <w:tr w:rsidR="336BC162" w:rsidTr="336BC162" w14:paraId="49A5CB62">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C4629E2" w14:textId="6775369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Average:</w:t>
            </w:r>
          </w:p>
        </w:tc>
        <w:tc>
          <w:tcPr>
            <w:tcW w:w="707" w:type="dxa"/>
            <w:tcBorders>
              <w:top w:val="single" w:color="000000" w:themeColor="text1" w:sz="12"/>
              <w:left w:val="single" w:color="000000" w:themeColor="text1" w:sz="12"/>
              <w:bottom w:val="single" w:color="000000" w:themeColor="text1" w:sz="12"/>
              <w:right w:val="nil"/>
            </w:tcBorders>
            <w:tcMar>
              <w:top w:w="15" w:type="dxa"/>
              <w:left w:w="15" w:type="dxa"/>
              <w:right w:w="15" w:type="dxa"/>
            </w:tcMar>
            <w:vAlign w:val="center"/>
          </w:tcPr>
          <w:p w:rsidR="336BC162" w:rsidP="336BC162" w:rsidRDefault="336BC162" w14:paraId="64E779E9" w14:textId="54955A6C">
            <w:pPr>
              <w:rPr>
                <w:sz w:val="20"/>
                <w:szCs w:val="20"/>
              </w:rPr>
            </w:pPr>
          </w:p>
        </w:tc>
        <w:tc>
          <w:tcPr>
            <w:tcW w:w="696"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5E09ECE7" w14:textId="74C9C761">
            <w:pPr>
              <w:rPr>
                <w:sz w:val="20"/>
                <w:szCs w:val="20"/>
              </w:rPr>
            </w:pPr>
          </w:p>
        </w:tc>
        <w:tc>
          <w:tcPr>
            <w:tcW w:w="696"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2BD54196" w14:textId="7BB61FF5">
            <w:pPr>
              <w:rPr>
                <w:sz w:val="20"/>
                <w:szCs w:val="20"/>
              </w:rPr>
            </w:pPr>
          </w:p>
        </w:tc>
        <w:tc>
          <w:tcPr>
            <w:tcW w:w="1235"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2BEAF609" w14:textId="75A3B25D">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-11.70299242</w:t>
            </w:r>
          </w:p>
        </w:tc>
        <w:tc>
          <w:tcPr>
            <w:tcW w:w="1235"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1A2A63CF" w14:textId="57F6B4A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-37.78761223</w:t>
            </w:r>
          </w:p>
        </w:tc>
        <w:tc>
          <w:tcPr>
            <w:tcW w:w="1226"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665835B9" w14:textId="642C07F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0.637292019</w:t>
            </w:r>
          </w:p>
        </w:tc>
        <w:tc>
          <w:tcPr>
            <w:tcW w:w="1226"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376037B0" w14:textId="4C8ACD5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4.869354139</w:t>
            </w:r>
          </w:p>
        </w:tc>
        <w:tc>
          <w:tcPr>
            <w:tcW w:w="1204" w:type="dxa"/>
            <w:tcBorders>
              <w:top w:val="single" w:color="000000" w:themeColor="text1" w:sz="12"/>
              <w:left w:val="nil"/>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A877BB9" w14:textId="6D11B3A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69.03%</w:t>
            </w:r>
          </w:p>
        </w:tc>
      </w:tr>
    </w:tbl>
    <w:p w:rsidR="336BC162" w:rsidP="336BC162" w:rsidRDefault="336BC162" w14:paraId="7C1197C3" w14:textId="58611A5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9584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e0b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06dac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390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11751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7d718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ff6d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e6d6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edf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aec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B8F55D"/>
    <w:rsid w:val="00743BDB"/>
    <w:rsid w:val="0095D4DC"/>
    <w:rsid w:val="016A2A64"/>
    <w:rsid w:val="0192CFF2"/>
    <w:rsid w:val="029456B6"/>
    <w:rsid w:val="02A2C492"/>
    <w:rsid w:val="033FA859"/>
    <w:rsid w:val="03A0022A"/>
    <w:rsid w:val="0410D1F0"/>
    <w:rsid w:val="041D058C"/>
    <w:rsid w:val="0481A76E"/>
    <w:rsid w:val="0481A76E"/>
    <w:rsid w:val="056FA7DF"/>
    <w:rsid w:val="06254363"/>
    <w:rsid w:val="063F9919"/>
    <w:rsid w:val="063F9919"/>
    <w:rsid w:val="06556FD2"/>
    <w:rsid w:val="06556FD2"/>
    <w:rsid w:val="06B7BB90"/>
    <w:rsid w:val="06EFE2B6"/>
    <w:rsid w:val="06F4251F"/>
    <w:rsid w:val="06F4251F"/>
    <w:rsid w:val="0707DBC8"/>
    <w:rsid w:val="072354AB"/>
    <w:rsid w:val="07384332"/>
    <w:rsid w:val="088933E5"/>
    <w:rsid w:val="0891383C"/>
    <w:rsid w:val="0892FD72"/>
    <w:rsid w:val="08CBDC7A"/>
    <w:rsid w:val="08F6EE10"/>
    <w:rsid w:val="0960C4A1"/>
    <w:rsid w:val="096B4318"/>
    <w:rsid w:val="0971DFC5"/>
    <w:rsid w:val="097DED6A"/>
    <w:rsid w:val="0B3C06FB"/>
    <w:rsid w:val="0C39CD8F"/>
    <w:rsid w:val="0C39CD8F"/>
    <w:rsid w:val="0C435077"/>
    <w:rsid w:val="0CB2B269"/>
    <w:rsid w:val="0CD18902"/>
    <w:rsid w:val="0CE6F66A"/>
    <w:rsid w:val="0D3AD6F3"/>
    <w:rsid w:val="0DFE9881"/>
    <w:rsid w:val="0EA68B95"/>
    <w:rsid w:val="0F104460"/>
    <w:rsid w:val="0F6919C9"/>
    <w:rsid w:val="0F81A427"/>
    <w:rsid w:val="0FA871ED"/>
    <w:rsid w:val="1181A6DC"/>
    <w:rsid w:val="11E65C04"/>
    <w:rsid w:val="1211DBF2"/>
    <w:rsid w:val="12644D4E"/>
    <w:rsid w:val="12A7B12C"/>
    <w:rsid w:val="1309E047"/>
    <w:rsid w:val="13157B7C"/>
    <w:rsid w:val="14123567"/>
    <w:rsid w:val="142FE323"/>
    <w:rsid w:val="146BD43A"/>
    <w:rsid w:val="14D42CAC"/>
    <w:rsid w:val="15428A91"/>
    <w:rsid w:val="15539E40"/>
    <w:rsid w:val="15839B5B"/>
    <w:rsid w:val="15A92751"/>
    <w:rsid w:val="15EA0038"/>
    <w:rsid w:val="15FB67B2"/>
    <w:rsid w:val="167489D5"/>
    <w:rsid w:val="16F1B795"/>
    <w:rsid w:val="17117BFF"/>
    <w:rsid w:val="17117BFF"/>
    <w:rsid w:val="1753850E"/>
    <w:rsid w:val="17CEE9F2"/>
    <w:rsid w:val="17CEE9F2"/>
    <w:rsid w:val="1835B12B"/>
    <w:rsid w:val="1847FD3E"/>
    <w:rsid w:val="18A1BDF2"/>
    <w:rsid w:val="19BDBBA4"/>
    <w:rsid w:val="19BF9BFE"/>
    <w:rsid w:val="19FE7C9B"/>
    <w:rsid w:val="1A2FDF6A"/>
    <w:rsid w:val="1A3323EA"/>
    <w:rsid w:val="1B1D5AB1"/>
    <w:rsid w:val="1B28BFBF"/>
    <w:rsid w:val="1BC51760"/>
    <w:rsid w:val="1C4CB981"/>
    <w:rsid w:val="1CC0B707"/>
    <w:rsid w:val="1CC67E58"/>
    <w:rsid w:val="1D662D2B"/>
    <w:rsid w:val="1D97277C"/>
    <w:rsid w:val="1DCEF421"/>
    <w:rsid w:val="1DEA2512"/>
    <w:rsid w:val="1E0F9EC0"/>
    <w:rsid w:val="1ED6F856"/>
    <w:rsid w:val="1F2FE0B4"/>
    <w:rsid w:val="1FDDDB79"/>
    <w:rsid w:val="1FE53122"/>
    <w:rsid w:val="20553CF1"/>
    <w:rsid w:val="20B818B1"/>
    <w:rsid w:val="20C7DAB8"/>
    <w:rsid w:val="21552143"/>
    <w:rsid w:val="218FFF5D"/>
    <w:rsid w:val="220604F8"/>
    <w:rsid w:val="2226A92D"/>
    <w:rsid w:val="22362D60"/>
    <w:rsid w:val="227474DF"/>
    <w:rsid w:val="2285099C"/>
    <w:rsid w:val="22A9CA21"/>
    <w:rsid w:val="2373F1FF"/>
    <w:rsid w:val="2396E884"/>
    <w:rsid w:val="2396E884"/>
    <w:rsid w:val="23AA4086"/>
    <w:rsid w:val="2420F33A"/>
    <w:rsid w:val="2497106D"/>
    <w:rsid w:val="24C71956"/>
    <w:rsid w:val="24C71956"/>
    <w:rsid w:val="258F8B99"/>
    <w:rsid w:val="2666A7FC"/>
    <w:rsid w:val="28134837"/>
    <w:rsid w:val="282E8A38"/>
    <w:rsid w:val="2A5B7158"/>
    <w:rsid w:val="2AC2E1CB"/>
    <w:rsid w:val="2B360A00"/>
    <w:rsid w:val="2B86BE94"/>
    <w:rsid w:val="2B9719AB"/>
    <w:rsid w:val="2BFFF050"/>
    <w:rsid w:val="2C3A3F7D"/>
    <w:rsid w:val="2CCED3A5"/>
    <w:rsid w:val="2CCED3A5"/>
    <w:rsid w:val="2DD20918"/>
    <w:rsid w:val="2DDB0C66"/>
    <w:rsid w:val="2E0736F3"/>
    <w:rsid w:val="2E0C556D"/>
    <w:rsid w:val="2E3E6D99"/>
    <w:rsid w:val="2E55A238"/>
    <w:rsid w:val="2EB5A690"/>
    <w:rsid w:val="2EC0466A"/>
    <w:rsid w:val="2EC33764"/>
    <w:rsid w:val="2FBE7D2E"/>
    <w:rsid w:val="301F9D2B"/>
    <w:rsid w:val="302D3EF9"/>
    <w:rsid w:val="30B9C728"/>
    <w:rsid w:val="30F7F99B"/>
    <w:rsid w:val="31306D87"/>
    <w:rsid w:val="319C3D83"/>
    <w:rsid w:val="324EB271"/>
    <w:rsid w:val="336BC162"/>
    <w:rsid w:val="35563CCC"/>
    <w:rsid w:val="3575FD17"/>
    <w:rsid w:val="36846174"/>
    <w:rsid w:val="36BA5F5A"/>
    <w:rsid w:val="36C4A0A1"/>
    <w:rsid w:val="37098375"/>
    <w:rsid w:val="374B2FA8"/>
    <w:rsid w:val="37A61033"/>
    <w:rsid w:val="37B79C5D"/>
    <w:rsid w:val="37C500A9"/>
    <w:rsid w:val="37C500A9"/>
    <w:rsid w:val="3817A9C9"/>
    <w:rsid w:val="39693E97"/>
    <w:rsid w:val="3A38851B"/>
    <w:rsid w:val="3A5F6202"/>
    <w:rsid w:val="3AA5DCF1"/>
    <w:rsid w:val="3AAE1238"/>
    <w:rsid w:val="3B60202E"/>
    <w:rsid w:val="3BA67CEA"/>
    <w:rsid w:val="3C30B187"/>
    <w:rsid w:val="3C427E5D"/>
    <w:rsid w:val="3CA4B778"/>
    <w:rsid w:val="3DBF90F4"/>
    <w:rsid w:val="3E20B8A4"/>
    <w:rsid w:val="3EB03990"/>
    <w:rsid w:val="3FA94A0A"/>
    <w:rsid w:val="3FF4DBAA"/>
    <w:rsid w:val="410716BF"/>
    <w:rsid w:val="413C9861"/>
    <w:rsid w:val="41456552"/>
    <w:rsid w:val="415F9CE3"/>
    <w:rsid w:val="41CCC5BF"/>
    <w:rsid w:val="424D9DAA"/>
    <w:rsid w:val="4284388E"/>
    <w:rsid w:val="42AFCFCF"/>
    <w:rsid w:val="42C41486"/>
    <w:rsid w:val="431C20E0"/>
    <w:rsid w:val="439C48DC"/>
    <w:rsid w:val="43E6B22A"/>
    <w:rsid w:val="4435CBA5"/>
    <w:rsid w:val="44DAB804"/>
    <w:rsid w:val="44DAB804"/>
    <w:rsid w:val="4595DD32"/>
    <w:rsid w:val="45EA4C92"/>
    <w:rsid w:val="46245927"/>
    <w:rsid w:val="468ADDCB"/>
    <w:rsid w:val="46B635FB"/>
    <w:rsid w:val="46BB95D9"/>
    <w:rsid w:val="47634AA6"/>
    <w:rsid w:val="47910E2B"/>
    <w:rsid w:val="47F0221A"/>
    <w:rsid w:val="4865BF9E"/>
    <w:rsid w:val="48BA8CE1"/>
    <w:rsid w:val="48C41E6F"/>
    <w:rsid w:val="4929D918"/>
    <w:rsid w:val="492B7D03"/>
    <w:rsid w:val="4933D35D"/>
    <w:rsid w:val="499957CD"/>
    <w:rsid w:val="4AFC2263"/>
    <w:rsid w:val="4AFC2263"/>
    <w:rsid w:val="4B26FEC3"/>
    <w:rsid w:val="4C319FF7"/>
    <w:rsid w:val="4D0C0CB6"/>
    <w:rsid w:val="4D16B548"/>
    <w:rsid w:val="4D2F8069"/>
    <w:rsid w:val="4D37911B"/>
    <w:rsid w:val="4DE910C5"/>
    <w:rsid w:val="4E362AB7"/>
    <w:rsid w:val="4ED29250"/>
    <w:rsid w:val="4F0E6CEC"/>
    <w:rsid w:val="4F268776"/>
    <w:rsid w:val="4F56869F"/>
    <w:rsid w:val="50549709"/>
    <w:rsid w:val="5100F407"/>
    <w:rsid w:val="51653C86"/>
    <w:rsid w:val="52E15A2F"/>
    <w:rsid w:val="532E4F87"/>
    <w:rsid w:val="532E4F87"/>
    <w:rsid w:val="5348F346"/>
    <w:rsid w:val="538012ED"/>
    <w:rsid w:val="53857947"/>
    <w:rsid w:val="53B93F40"/>
    <w:rsid w:val="542E9550"/>
    <w:rsid w:val="54B05196"/>
    <w:rsid w:val="55340F41"/>
    <w:rsid w:val="561D91AC"/>
    <w:rsid w:val="56B607D7"/>
    <w:rsid w:val="56BA1E95"/>
    <w:rsid w:val="5722C628"/>
    <w:rsid w:val="57321E46"/>
    <w:rsid w:val="57370926"/>
    <w:rsid w:val="57C246C7"/>
    <w:rsid w:val="58413534"/>
    <w:rsid w:val="5893430E"/>
    <w:rsid w:val="58A7F4FF"/>
    <w:rsid w:val="58EEF2A1"/>
    <w:rsid w:val="5959BA27"/>
    <w:rsid w:val="59F8B455"/>
    <w:rsid w:val="59FC9B42"/>
    <w:rsid w:val="5A1D0DD5"/>
    <w:rsid w:val="5A861A4B"/>
    <w:rsid w:val="5BCA04D2"/>
    <w:rsid w:val="5C4DA3BA"/>
    <w:rsid w:val="5C856F20"/>
    <w:rsid w:val="5CC0D835"/>
    <w:rsid w:val="5D39D8B7"/>
    <w:rsid w:val="5E465033"/>
    <w:rsid w:val="5EB54643"/>
    <w:rsid w:val="5EDA67A3"/>
    <w:rsid w:val="5F43C4CB"/>
    <w:rsid w:val="5F780E57"/>
    <w:rsid w:val="5F7ADBB6"/>
    <w:rsid w:val="603AD55D"/>
    <w:rsid w:val="609A1836"/>
    <w:rsid w:val="60F8277F"/>
    <w:rsid w:val="61487FA7"/>
    <w:rsid w:val="6208F7C8"/>
    <w:rsid w:val="622CDD94"/>
    <w:rsid w:val="62FEF590"/>
    <w:rsid w:val="63BD8BA5"/>
    <w:rsid w:val="64E72F1A"/>
    <w:rsid w:val="64F0A789"/>
    <w:rsid w:val="64F41662"/>
    <w:rsid w:val="65E4A324"/>
    <w:rsid w:val="6634CF1B"/>
    <w:rsid w:val="67B6E3EB"/>
    <w:rsid w:val="680C36FF"/>
    <w:rsid w:val="680C36FF"/>
    <w:rsid w:val="68B54F29"/>
    <w:rsid w:val="68FCF088"/>
    <w:rsid w:val="69624C91"/>
    <w:rsid w:val="69634A9F"/>
    <w:rsid w:val="6965EBB0"/>
    <w:rsid w:val="69C57A0E"/>
    <w:rsid w:val="69D4A60F"/>
    <w:rsid w:val="6A4F751A"/>
    <w:rsid w:val="6A9A3699"/>
    <w:rsid w:val="6AC96C82"/>
    <w:rsid w:val="6B107971"/>
    <w:rsid w:val="6B2DF439"/>
    <w:rsid w:val="6B65CB32"/>
    <w:rsid w:val="6C3CE378"/>
    <w:rsid w:val="6C8C7912"/>
    <w:rsid w:val="6CAA9295"/>
    <w:rsid w:val="6CC80D18"/>
    <w:rsid w:val="6D5BA38A"/>
    <w:rsid w:val="6DC90BA8"/>
    <w:rsid w:val="6E036A02"/>
    <w:rsid w:val="6E7BADA8"/>
    <w:rsid w:val="6EB8F55D"/>
    <w:rsid w:val="6EC3A30C"/>
    <w:rsid w:val="6F593A4D"/>
    <w:rsid w:val="6F99EAEB"/>
    <w:rsid w:val="6F99EAEB"/>
    <w:rsid w:val="70588102"/>
    <w:rsid w:val="708B0F74"/>
    <w:rsid w:val="7187C0B7"/>
    <w:rsid w:val="719159D6"/>
    <w:rsid w:val="71A4B6D2"/>
    <w:rsid w:val="71C33B13"/>
    <w:rsid w:val="720603C1"/>
    <w:rsid w:val="72BEEDAA"/>
    <w:rsid w:val="72D735DB"/>
    <w:rsid w:val="7327E6B5"/>
    <w:rsid w:val="755BF73A"/>
    <w:rsid w:val="7593CBD3"/>
    <w:rsid w:val="75D6ED84"/>
    <w:rsid w:val="75EA8A6E"/>
    <w:rsid w:val="761E84DF"/>
    <w:rsid w:val="763EB1DA"/>
    <w:rsid w:val="77053D99"/>
    <w:rsid w:val="77546ECB"/>
    <w:rsid w:val="781AD001"/>
    <w:rsid w:val="79055554"/>
    <w:rsid w:val="79B224A4"/>
    <w:rsid w:val="79CB973B"/>
    <w:rsid w:val="7A25BA6E"/>
    <w:rsid w:val="7A5FFAE3"/>
    <w:rsid w:val="7A67FAE8"/>
    <w:rsid w:val="7AE4281E"/>
    <w:rsid w:val="7AF8BF8C"/>
    <w:rsid w:val="7B05F87E"/>
    <w:rsid w:val="7B8F58A4"/>
    <w:rsid w:val="7BBF2012"/>
    <w:rsid w:val="7C0645BF"/>
    <w:rsid w:val="7C0645BF"/>
    <w:rsid w:val="7C3F94A6"/>
    <w:rsid w:val="7C4887C1"/>
    <w:rsid w:val="7CA4D8E5"/>
    <w:rsid w:val="7D0F48E8"/>
    <w:rsid w:val="7D0F48E8"/>
    <w:rsid w:val="7D55992B"/>
    <w:rsid w:val="7DCFF598"/>
    <w:rsid w:val="7E6683BB"/>
    <w:rsid w:val="7E807659"/>
    <w:rsid w:val="7E8429ED"/>
    <w:rsid w:val="7F05AA53"/>
    <w:rsid w:val="7F30B355"/>
    <w:rsid w:val="7FBE856D"/>
    <w:rsid w:val="7FC8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F55D"/>
  <w15:chartTrackingRefBased/>
  <w15:docId w15:val="{17B28E5F-D350-460E-BA3C-995DC41189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4D37911B"/>
    <w:rPr>
      <w:rFonts w:ascii="Aptos" w:hAnsi="Aptos" w:eastAsia="" w:cs="" w:asciiTheme="minorAscii" w:hAnsiTheme="minorAscii" w:eastAsiaTheme="minorEastAsia" w:cstheme="minorBidi"/>
      <w:b w:val="1"/>
      <w:bCs w:val="1"/>
      <w:i w:val="0"/>
      <w:iCs w:val="0"/>
      <w:sz w:val="24"/>
      <w:szCs w:val="24"/>
      <w:u w:val="single"/>
    </w:rPr>
  </w:style>
  <w:style w:type="paragraph" w:styleId="Heading1">
    <w:uiPriority w:val="9"/>
    <w:name w:val="heading 1"/>
    <w:basedOn w:val="Normal"/>
    <w:next w:val="Normal"/>
    <w:link w:val="Heading1Char"/>
    <w:qFormat/>
    <w:rsid w:val="4D37911B"/>
    <w:rPr>
      <w:rFonts w:ascii="Aptos" w:hAnsi="Aptos" w:eastAsia="" w:cs="" w:asciiTheme="minorAscii" w:hAnsiTheme="minorAscii" w:eastAsiaTheme="minorEastAsia" w:cstheme="minorBidi"/>
      <w:b w:val="1"/>
      <w:bCs w:val="1"/>
      <w:i w:val="0"/>
      <w:iCs w:val="0"/>
      <w:sz w:val="24"/>
      <w:szCs w:val="24"/>
      <w:u w:val="single"/>
    </w:rPr>
  </w:style>
  <w:style w:type="character" w:styleId="Heading2Char" w:customStyle="true">
    <w:uiPriority w:val="9"/>
    <w:name w:val="Heading 2 Char"/>
    <w:basedOn w:val="Normal"/>
    <w:link w:val="Heading2"/>
    <w:rsid w:val="336BC162"/>
    <w:rPr>
      <w:rFonts w:ascii="Aptos" w:hAnsi="Aptos" w:eastAsia="" w:cs="" w:asciiTheme="minorAscii" w:hAnsiTheme="minorAscii" w:eastAsiaTheme="minorEastAsia" w:cstheme="minorBidi"/>
      <w:b w:val="1"/>
      <w:bCs w:val="1"/>
      <w:i w:val="1"/>
      <w:iCs w:val="1"/>
      <w:sz w:val="24"/>
      <w:szCs w:val="24"/>
      <w:u w:val="none"/>
    </w:rPr>
  </w:style>
  <w:style w:type="paragraph" w:styleId="Heading2">
    <w:uiPriority w:val="9"/>
    <w:name w:val="heading 2"/>
    <w:basedOn w:val="Normal"/>
    <w:next w:val="Normal"/>
    <w:unhideWhenUsed/>
    <w:link w:val="Heading2Char"/>
    <w:qFormat/>
    <w:rsid w:val="336BC162"/>
    <w:rPr>
      <w:rFonts w:ascii="Aptos" w:hAnsi="Aptos" w:eastAsia="" w:cs="" w:asciiTheme="minorAscii" w:hAnsiTheme="minorAscii" w:eastAsiaTheme="minorEastAsia" w:cstheme="minorBidi"/>
      <w:b w:val="1"/>
      <w:bCs w:val="1"/>
      <w:i w:val="1"/>
      <w:iCs w:val="1"/>
      <w:sz w:val="24"/>
      <w:szCs w:val="24"/>
      <w:u w:val="none"/>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true">
    <w:uiPriority w:val="10"/>
    <w:name w:val="Title Char"/>
    <w:basedOn w:val="Normal"/>
    <w:link w:val="Title"/>
    <w:rsid w:val="424D9DAA"/>
    <w:rPr>
      <w:rFonts w:ascii="Aptos" w:hAnsi="Aptos" w:eastAsia="" w:cs="" w:asciiTheme="minorAscii" w:hAnsiTheme="minorAscii" w:eastAsiaTheme="minorEastAsia" w:cstheme="minorBidi"/>
      <w:b w:val="1"/>
      <w:bCs w:val="1"/>
      <w:sz w:val="48"/>
      <w:szCs w:val="48"/>
      <w:u w:val="single"/>
    </w:rPr>
  </w:style>
  <w:style w:type="paragraph" w:styleId="Title">
    <w:uiPriority w:val="10"/>
    <w:name w:val="Title"/>
    <w:basedOn w:val="Normal"/>
    <w:next w:val="Normal"/>
    <w:link w:val="TitleChar"/>
    <w:qFormat/>
    <w:rsid w:val="424D9DAA"/>
    <w:rPr>
      <w:rFonts w:ascii="Aptos" w:hAnsi="Aptos" w:eastAsia="" w:cs="" w:asciiTheme="minorAscii" w:hAnsiTheme="minorAscii" w:eastAsiaTheme="minorEastAsia" w:cstheme="minorBidi"/>
      <w:b w:val="1"/>
      <w:bCs w:val="1"/>
      <w:sz w:val="48"/>
      <w:szCs w:val="48"/>
      <w:u w:val="single"/>
    </w:rPr>
    <w:pPr>
      <w:jc w:val="center"/>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56FA7DF"/>
    <w:pPr>
      <w:spacing/>
      <w:ind w:left="720"/>
      <w:contextualSpacing/>
    </w:pPr>
  </w:style>
  <w:style w:type="character" w:styleId="Hyperlink">
    <w:uiPriority w:val="99"/>
    <w:name w:val="Hyperlink"/>
    <w:basedOn w:val="DefaultParagraphFont"/>
    <w:unhideWhenUsed/>
    <w:rsid w:val="64F0A789"/>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NoSpacing">
    <w:uiPriority w:val="1"/>
    <w:name w:val="No Spacing"/>
    <w:basedOn w:val="Normal"/>
    <w:qFormat/>
    <w:rsid w:val="4D37911B"/>
    <w:rPr>
      <w:rFonts w:ascii="Aptos" w:hAnsi="Aptos" w:eastAsia="" w:cs="" w:asciiTheme="minorAscii" w:hAnsiTheme="minorAscii" w:eastAsiaTheme="minorEastAsia" w:cstheme="minorBidi"/>
      <w:b w:val="0"/>
      <w:bCs w:val="0"/>
      <w:i w:val="1"/>
      <w:iCs w:val="1"/>
      <w:sz w:val="24"/>
      <w:szCs w:val="24"/>
      <w:u w:val="none"/>
    </w:rPr>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6d2c22b72e94377" /><Relationship Type="http://schemas.openxmlformats.org/officeDocument/2006/relationships/hyperlink" Target="https://tech.chemistrydocs.com/Books/Physical/Atkins-Physical-Chemistry-9e-by-Peter-Atkins-and-Julio-de-Paula.pdf" TargetMode="External" Id="R72666b59315c4928" /><Relationship Type="http://schemas.openxmlformats.org/officeDocument/2006/relationships/hyperlink" Target="https://research.iaun.ac.ir/pd/ekianpour/pdfs/UploadFile_8224.pdf" TargetMode="External" Id="Rbd07db94ec2c4cf7" /><Relationship Type="http://schemas.openxmlformats.org/officeDocument/2006/relationships/hyperlink" Target="https://www.iea.org/reports/world-energy-outlook-2021" TargetMode="External" Id="Rc92e490dfe62411b" /><Relationship Type="http://schemas.openxmlformats.org/officeDocument/2006/relationships/image" Target="/media/image.png" Id="R8e575d302f3641b9" /><Relationship Type="http://schemas.openxmlformats.org/officeDocument/2006/relationships/image" Target="/media/image2.png" Id="R0b7a7e6ce0634c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2025-03-03T06:38:36.8191640Z</dcterms:created>
  <dcterms:modified xsi:type="dcterms:W3CDTF">2025-03-25T23:31:41.6657394Z</dcterms:modified>
  <dc:creator>TOMES, Eden (etome3)</dc:creator>
  <lastModifiedBy>TOMES, Eden (etome3)</lastModifiedBy>
</coreProperties>
</file>