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93018B" w:rsidRDefault="00DC3CB6" w14:paraId="55317663" w14:textId="4A942D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00B90" wp14:editId="52FDB464">
                <wp:simplePos x="0" y="0"/>
                <wp:positionH relativeFrom="column">
                  <wp:posOffset>106045</wp:posOffset>
                </wp:positionH>
                <wp:positionV relativeFrom="paragraph">
                  <wp:posOffset>90881</wp:posOffset>
                </wp:positionV>
                <wp:extent cx="2062887" cy="321869"/>
                <wp:effectExtent l="0" t="0" r="1397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7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DC3CB6" w:rsidR="00DC3CB6" w:rsidRDefault="00DC3CB6" w14:paraId="64B93978" w14:textId="3A4DD34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3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Refine this FIA2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1A00B90">
                <v:stroke joinstyle="miter"/>
                <v:path gradientshapeok="t" o:connecttype="rect"/>
              </v:shapetype>
              <v:shape id="Text Box 1" style="position:absolute;margin-left:8.35pt;margin-top:7.15pt;width:162.4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w0TAIAAKEEAAAOAAAAZHJzL2Uyb0RvYy54bWysVFFv2jAQfp+0/2D5fSSklFJEqBgV06Sq&#10;rQRVn43jkGi2z7MNCfv1OzuB0m5P017M+e7L57vv7pjdtUqSg7CuBp3T4SClRGgORa13OX3ZrL5M&#10;KHGe6YJJ0CKnR+Ho3fzzp1ljpiKDCmQhLEES7aaNyWnlvZkmieOVUMwNwAiNwRKsYh6vdpcUljXI&#10;rmSSpek4acAWxgIXzqH3vgvSeeQvS8H9U1k64YnMKebm42njuQ1nMp+x6c4yU9W8T4P9QxaK1Rof&#10;PVPdM8/I3tZ/UKmaW3BQ+gEHlUBZ1lzEGrCaYfqhmnXFjIi1oDjOnGVy/4+WPx6eLakL7B0lmils&#10;0Ua0nnyFlgyDOo1xUwStDcJ8i+6A7P0OnaHotrQq/GI5BOOo8/GsbSDj6MzScTaZ3FDCMXaVDSfj&#10;20CTvH1trPPfBCgSjJxa7F2UlB0enO+gJ0h4zIGsi1UtZbyEeRFLacmBYaeljzki+TuU1KTJ6fjq&#10;Oo3E72KB+vz9VjL+o0/vAoV8UmPOQZOu9mD5dtv2gmyhOKJOFro5c4avauR9YM4/M4uDhdLgsvgn&#10;PEoJmAz0FiUV2F9/8wc89hujlDQ4qDl1P/fMCkrkd42TcDscjcJkx8vo+ibDi72MbC8jeq+WgAph&#10;tzG7aAa8lyeztKBecacW4VUMMc3x7Zz6k7n03frgTnKxWEQQzrJh/kGvDQ/UoSNBz037yqzp++lx&#10;Eh7hNNJs+qGtHTZ8qWGx91DWsedB4E7VXnfcgzg1/c6GRbu8R9TbP8v8NwAAAP//AwBQSwMEFAAG&#10;AAgAAAAhAPz11R7cAAAACAEAAA8AAABkcnMvZG93bnJldi54bWxMj8FOwzAQRO9I/IO1SNyoU1pC&#10;CHEqQIULJwri7MZbOyJeR7abhr9nOcFpNZrR7JtmM/tBTBhTH0jBclGAQOqC6ckq+Hh/vqpApKzJ&#10;6CEQKvjGBJv2/KzRtQknesNpl63gEkq1VuByHmspU+fQ67QIIxJ7hxC9ziyjlSbqE5f7QV4XRSm9&#10;7ok/OD3ik8Pua3f0CraP9s52lY5uW5m+n+bPw6t9UeryYn64B5Fxzn9h+MVndGiZaR+OZJIYWJe3&#10;nOS7XoFgf7VeliD2CsqbAmTbyP8D2h8AAAD//wMAUEsBAi0AFAAGAAgAAAAhALaDOJL+AAAA4QEA&#10;ABMAAAAAAAAAAAAAAAAAAAAAAFtDb250ZW50X1R5cGVzXS54bWxQSwECLQAUAAYACAAAACEAOP0h&#10;/9YAAACUAQAACwAAAAAAAAAAAAAAAAAvAQAAX3JlbHMvLnJlbHNQSwECLQAUAAYACAAAACEAso78&#10;NEwCAAChBAAADgAAAAAAAAAAAAAAAAAuAgAAZHJzL2Uyb0RvYy54bWxQSwECLQAUAAYACAAAACEA&#10;/PXVHtwAAAAIAQAADwAAAAAAAAAAAAAAAACmBAAAZHJzL2Rvd25yZXYueG1sUEsFBgAAAAAEAAQA&#10;8wAAAK8FAAAAAA==&#10;">
                <v:textbox>
                  <w:txbxContent>
                    <w:p w:rsidRPr="00DC3CB6" w:rsidR="00DC3CB6" w:rsidRDefault="00DC3CB6" w14:paraId="64B93978" w14:textId="3A4DD34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3CB6">
                        <w:rPr>
                          <w:b/>
                          <w:bCs/>
                          <w:sz w:val="28"/>
                          <w:szCs w:val="28"/>
                        </w:rPr>
                        <w:t>Refine this FIA2 response</w:t>
                      </w:r>
                    </w:p>
                  </w:txbxContent>
                </v:textbox>
              </v:shape>
            </w:pict>
          </mc:Fallback>
        </mc:AlternateContent>
      </w:r>
      <w:r w:rsidR="0093018B">
        <w:rPr>
          <w:noProof/>
        </w:rPr>
        <w:drawing>
          <wp:inline distT="0" distB="0" distL="0" distR="0" wp14:anchorId="46719194" wp14:editId="42D3ED5A">
            <wp:extent cx="6560185" cy="2223554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40EB28-6A41-4166-BFA4-DECEAA22A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440EB28-6A41-4166-BFA4-DECEAA22AA63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" t="26553" r="4675" b="32402"/>
                    <a:stretch/>
                  </pic:blipFill>
                  <pic:spPr bwMode="auto">
                    <a:xfrm>
                      <a:off x="0" y="0"/>
                      <a:ext cx="6597749" cy="223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C3CB6" w:rsidR="00DC3CB6" w:rsidP="00DC3CB6" w:rsidRDefault="0093018B" w14:paraId="3B17705F" w14:textId="77777777">
      <w:pPr>
        <w:spacing w:line="240" w:lineRule="auto"/>
        <w:ind w:left="426" w:hanging="426"/>
        <w:rPr>
          <w:color w:val="002060"/>
          <w:sz w:val="26"/>
          <w:szCs w:val="26"/>
        </w:rPr>
      </w:pPr>
      <w:r w:rsidRPr="00DC3CB6">
        <w:rPr>
          <w:color w:val="002060"/>
          <w:sz w:val="26"/>
          <w:szCs w:val="26"/>
        </w:rPr>
        <w:t xml:space="preserve">Edit </w:t>
      </w:r>
      <w:r w:rsidRPr="00DC3CB6" w:rsidR="00DC3CB6">
        <w:rPr>
          <w:color w:val="002060"/>
          <w:sz w:val="26"/>
          <w:szCs w:val="26"/>
        </w:rPr>
        <w:t xml:space="preserve">and refine </w:t>
      </w:r>
    </w:p>
    <w:p w:rsidRPr="00DC3CB6" w:rsidR="00DC3CB6" w:rsidP="00DC3CB6" w:rsidRDefault="006707F1" w14:paraId="3C68FB13" w14:textId="77777777">
      <w:pPr>
        <w:spacing w:after="0" w:line="240" w:lineRule="auto"/>
        <w:ind w:left="426"/>
        <w:rPr>
          <w:color w:val="002060"/>
          <w:sz w:val="26"/>
          <w:szCs w:val="26"/>
        </w:rPr>
      </w:pPr>
      <w:r w:rsidRPr="00DC3CB6">
        <w:rPr>
          <w:color w:val="002060"/>
          <w:sz w:val="26"/>
          <w:szCs w:val="26"/>
        </w:rPr>
        <w:t xml:space="preserve">(1) </w:t>
      </w:r>
      <w:r w:rsidRPr="00DC3CB6" w:rsidR="0093018B">
        <w:rPr>
          <w:color w:val="002060"/>
          <w:sz w:val="26"/>
          <w:szCs w:val="26"/>
        </w:rPr>
        <w:t xml:space="preserve">to ensure logical historical sequence, </w:t>
      </w:r>
    </w:p>
    <w:p w:rsidRPr="00DC3CB6" w:rsidR="00DC3CB6" w:rsidP="00DC3CB6" w:rsidRDefault="006707F1" w14:paraId="78868D62" w14:textId="77777777">
      <w:pPr>
        <w:spacing w:after="0" w:line="240" w:lineRule="auto"/>
        <w:ind w:left="426"/>
        <w:rPr>
          <w:color w:val="002060"/>
          <w:sz w:val="26"/>
          <w:szCs w:val="26"/>
        </w:rPr>
      </w:pPr>
      <w:r w:rsidRPr="00DC3CB6">
        <w:rPr>
          <w:color w:val="002060"/>
          <w:sz w:val="26"/>
          <w:szCs w:val="26"/>
        </w:rPr>
        <w:t xml:space="preserve">(2) </w:t>
      </w:r>
      <w:r w:rsidRPr="00DC3CB6" w:rsidR="0093018B">
        <w:rPr>
          <w:color w:val="002060"/>
          <w:sz w:val="26"/>
          <w:szCs w:val="26"/>
        </w:rPr>
        <w:t xml:space="preserve">to correct grammatical errors, </w:t>
      </w:r>
    </w:p>
    <w:p w:rsidRPr="00DC3CB6" w:rsidR="00DC3CB6" w:rsidP="00DC3CB6" w:rsidRDefault="00DC3CB6" w14:paraId="394E4B77" w14:textId="77777777">
      <w:pPr>
        <w:spacing w:after="0" w:line="240" w:lineRule="auto"/>
        <w:ind w:left="426"/>
        <w:rPr>
          <w:color w:val="002060"/>
          <w:sz w:val="26"/>
          <w:szCs w:val="26"/>
        </w:rPr>
      </w:pPr>
      <w:r w:rsidRPr="00DC3CB6">
        <w:rPr>
          <w:color w:val="002060"/>
          <w:sz w:val="26"/>
          <w:szCs w:val="26"/>
        </w:rPr>
        <w:t xml:space="preserve">(3) to add some nuance to the interpretations, </w:t>
      </w:r>
      <w:r w:rsidRPr="00DC3CB6" w:rsidR="0093018B">
        <w:rPr>
          <w:color w:val="002060"/>
          <w:sz w:val="26"/>
          <w:szCs w:val="26"/>
        </w:rPr>
        <w:t xml:space="preserve">and </w:t>
      </w:r>
    </w:p>
    <w:p w:rsidRPr="00DC3CB6" w:rsidR="0093018B" w:rsidP="00DC3CB6" w:rsidRDefault="006707F1" w14:paraId="16BCE677" w14:textId="59E79C6B">
      <w:pPr>
        <w:spacing w:after="0" w:line="240" w:lineRule="auto"/>
        <w:ind w:left="426"/>
        <w:rPr>
          <w:color w:val="002060"/>
          <w:sz w:val="26"/>
          <w:szCs w:val="26"/>
        </w:rPr>
      </w:pPr>
      <w:r w:rsidRPr="00DC3CB6">
        <w:rPr>
          <w:color w:val="002060"/>
          <w:sz w:val="26"/>
          <w:szCs w:val="26"/>
        </w:rPr>
        <w:t>(</w:t>
      </w:r>
      <w:r w:rsidRPr="00DC3CB6" w:rsidR="00DC3CB6">
        <w:rPr>
          <w:color w:val="002060"/>
          <w:sz w:val="26"/>
          <w:szCs w:val="26"/>
        </w:rPr>
        <w:t>4</w:t>
      </w:r>
      <w:r w:rsidRPr="00DC3CB6">
        <w:rPr>
          <w:color w:val="002060"/>
          <w:sz w:val="26"/>
          <w:szCs w:val="26"/>
        </w:rPr>
        <w:t xml:space="preserve">) </w:t>
      </w:r>
      <w:r w:rsidRPr="00DC3CB6" w:rsidR="0093018B">
        <w:rPr>
          <w:color w:val="002060"/>
          <w:sz w:val="26"/>
          <w:szCs w:val="26"/>
        </w:rPr>
        <w:t xml:space="preserve">to </w:t>
      </w:r>
      <w:r w:rsidRPr="00DC3CB6" w:rsidR="00DC3CB6">
        <w:rPr>
          <w:color w:val="002060"/>
          <w:sz w:val="26"/>
          <w:szCs w:val="26"/>
        </w:rPr>
        <w:t>create a strong</w:t>
      </w:r>
      <w:r w:rsidRPr="00DC3CB6" w:rsidR="0093018B">
        <w:rPr>
          <w:color w:val="002060"/>
          <w:sz w:val="26"/>
          <w:szCs w:val="26"/>
        </w:rPr>
        <w:t xml:space="preserve"> link between the content here and </w:t>
      </w:r>
      <w:r w:rsidRPr="00DC3CB6">
        <w:rPr>
          <w:color w:val="002060"/>
          <w:sz w:val="26"/>
          <w:szCs w:val="26"/>
        </w:rPr>
        <w:t>a</w:t>
      </w:r>
      <w:r w:rsidRPr="00DC3CB6" w:rsidR="0093018B">
        <w:rPr>
          <w:color w:val="002060"/>
          <w:sz w:val="26"/>
          <w:szCs w:val="26"/>
        </w:rPr>
        <w:t xml:space="preserve"> sub-inquiry question.</w:t>
      </w:r>
    </w:p>
    <w:p w:rsidRPr="00DC3CB6" w:rsidR="00DC3CB6" w:rsidP="00DC3CB6" w:rsidRDefault="00DC3CB6" w14:paraId="256899A7" w14:textId="77777777">
      <w:pPr>
        <w:spacing w:after="0" w:line="240" w:lineRule="auto"/>
        <w:rPr>
          <w:b/>
          <w:bCs/>
          <w:color w:val="002060"/>
          <w:sz w:val="28"/>
          <w:szCs w:val="28"/>
        </w:rPr>
      </w:pPr>
    </w:p>
    <w:p w:rsidRPr="007221FE" w:rsidR="0093018B" w:rsidP="6FD66642" w:rsidRDefault="0093018B" w14:paraId="2D3D1E77" w14:textId="777CC1D4">
      <w:pPr>
        <w:pStyle w:val="NormalWeb"/>
        <w:spacing w:before="0" w:beforeAutospacing="off" w:after="0" w:afterAutospacing="off"/>
        <w:ind w:left="142" w:right="118"/>
        <w:rPr>
          <w:rFonts w:ascii="Calibri" w:hAnsi="Calibri" w:eastAsia="Calibri"/>
          <w:color w:val="000000" w:themeColor="text1"/>
          <w:kern w:val="24"/>
        </w:rPr>
      </w:pP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The Kline monument with the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>R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eclining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>G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irl is a captivating ancient </w:t>
      </w:r>
      <w:r w:rsidR="00DC3CB6">
        <w:rPr>
          <w:rFonts w:ascii="Calibri" w:hAnsi="Calibri" w:eastAsia="Calibri"/>
          <w:color w:val="000000" w:themeColor="text1"/>
          <w:kern w:val="24"/>
        </w:rPr>
        <w:t>r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oman funerary sculpture that beautifully captures the </w:t>
      </w:r>
      <w:r w:rsidRPr="007221FE" w:rsidR="1590C473">
        <w:rPr>
          <w:rFonts w:ascii="Calibri" w:hAnsi="Calibri" w:eastAsia="Calibri"/>
          <w:color w:val="000000" w:themeColor="text1"/>
          <w:kern w:val="24"/>
        </w:rPr>
        <w:t xml:space="preserve">sensitivities</w:t>
      </w:r>
      <w:r w:rsidR="0093018B">
        <w:rPr>
          <w:rFonts w:ascii="Calibri" w:hAnsi="Calibri" w:eastAsia="Calibri"/>
          <w:color w:val="000000" w:themeColor="text1"/>
          <w:kern w:val="24"/>
        </w:rPr>
        <w:t xml:space="preserve">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of Roman </w:t>
      </w:r>
      <w:r w:rsidR="00DC3CB6">
        <w:rPr>
          <w:rFonts w:ascii="Calibri" w:hAnsi="Calibri" w:eastAsia="Calibri"/>
          <w:color w:val="000000" w:themeColor="text1"/>
          <w:kern w:val="24"/>
        </w:rPr>
        <w:t xml:space="preserve">funerary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art and especially </w:t>
      </w:r>
      <w:r w:rsidRPr="007221FE" w:rsidR="007221FE">
        <w:rPr>
          <w:rFonts w:ascii="Calibri" w:hAnsi="Calibri" w:eastAsia="Calibri"/>
          <w:color w:val="000000" w:themeColor="text1"/>
          <w:kern w:val="24"/>
        </w:rPr>
        <w:t xml:space="preserve">shows what Romans thought the afterlife might offer.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This monument features a reclining girl lying on a Kline, or a </w:t>
      </w:r>
      <w:r w:rsidRPr="007221FE" w:rsidR="705F3AFC">
        <w:rPr>
          <w:rFonts w:ascii="Calibri" w:hAnsi="Calibri" w:eastAsia="Calibri"/>
          <w:color w:val="000000" w:themeColor="text1"/>
          <w:kern w:val="24"/>
        </w:rPr>
        <w:t xml:space="preserve">R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oman dining couch, symbolizing the peaceful repose of the deceased. </w:t>
      </w:r>
      <w:r w:rsidRPr="6FD66642" w:rsidR="2B3BEB41">
        <w:rPr>
          <w:rFonts w:ascii="Calibri" w:hAnsi="Calibri" w:eastAsia="Calibri"/>
          <w:color w:val="000000" w:themeColor="text1" w:themeTint="FF" w:themeShade="FF"/>
        </w:rPr>
        <w:t>Her hairstyle dates her to the period in which emperor Hadrian ruled, between AD 117 and 139.</w:t>
      </w:r>
    </w:p>
    <w:p w:rsidRPr="007221FE" w:rsidR="0093018B" w:rsidP="007221FE" w:rsidRDefault="0093018B" w14:paraId="05919069" w14:textId="77777777">
      <w:pPr>
        <w:pStyle w:val="NormalWeb"/>
        <w:spacing w:before="0" w:beforeAutospacing="0" w:after="0" w:afterAutospacing="0"/>
        <w:ind w:left="142" w:right="118"/>
        <w:rPr>
          <w:rFonts w:ascii="Calibri" w:hAnsi="Calibri" w:eastAsia="Calibri"/>
          <w:color w:val="000000" w:themeColor="text1"/>
          <w:kern w:val="24"/>
        </w:rPr>
      </w:pPr>
    </w:p>
    <w:p w:rsidRPr="007221FE" w:rsidR="0093018B" w:rsidP="6FD66642" w:rsidRDefault="0093018B" w14:paraId="31C7A1CC" w14:textId="1D373F83">
      <w:pPr>
        <w:pStyle w:val="NormalWeb"/>
        <w:spacing w:before="0" w:beforeAutospacing="off" w:after="0" w:afterAutospacing="off"/>
        <w:ind w:left="142" w:right="118"/>
        <w:rPr>
          <w:rFonts w:ascii="Calibri" w:hAnsi="Calibri" w:eastAsia="Calibri"/>
          <w:i w:val="1"/>
          <w:iCs w:val="1"/>
          <w:color w:val="000000" w:themeColor="text1"/>
          <w:kern w:val="24"/>
        </w:rPr>
      </w:pPr>
      <w:r w:rsidRPr="007221FE" w:rsidR="0093018B">
        <w:rPr>
          <w:rFonts w:ascii="Calibri" w:hAnsi="Calibri" w:eastAsia="Calibri"/>
          <w:color w:val="000000" w:themeColor="text1"/>
          <w:kern w:val="24"/>
        </w:rPr>
        <w:t>The sculpture serves a</w:t>
      </w:r>
      <w:r w:rsidRPr="007221FE" w:rsidR="0093018B">
        <w:rPr>
          <w:rFonts w:ascii="Calibri" w:hAnsi="Calibri" w:eastAsia="Calibri"/>
          <w:color w:val="0070C0"/>
          <w:kern w:val="24"/>
        </w:rPr>
        <w:t>s a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poignant representation of the deceased person’s eternal rest and tranquillity in the afterlife and exemplifies the Roman practice of </w:t>
      </w:r>
      <w:r w:rsidRPr="00DC3CB6" w:rsidR="0093018B">
        <w:rPr>
          <w:rFonts w:ascii="Calibri" w:hAnsi="Calibri" w:eastAsia="Calibri"/>
          <w:b w:val="1"/>
          <w:bCs w:val="1"/>
          <w:color w:val="000000" w:themeColor="text1"/>
          <w:kern w:val="24"/>
        </w:rPr>
        <w:t>commemorating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the deceased through art and sculpture (</w:t>
      </w:r>
      <w:r w:rsidRPr="007221FE" w:rsidR="0093018B">
        <w:rPr>
          <w:rFonts w:ascii="Calibri" w:hAnsi="Calibri" w:eastAsia="Calibri"/>
          <w:color w:val="4472C4"/>
          <w:kern w:val="24"/>
        </w:rPr>
        <w:t>Ahdifard,2023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).</w:t>
      </w:r>
      <w:r w:rsidRPr="6FD66642" w:rsidR="5D8B526A">
        <w:rPr>
          <w:rFonts w:ascii="Calibri" w:hAnsi="Calibri" w:eastAsia="Calibri"/>
          <w:color w:val="000000" w:themeColor="text1" w:themeTint="FF" w:themeShade="FF"/>
        </w:rPr>
        <w:t xml:space="preserve"> Days-old infants were not considered ritually unclean and, unlike older children and adults, could be buried anywhere in the city (reference).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Apparently, children’s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deaths were less likely to be grieved in the same intense and ritualistic manner as adults </w:t>
      </w:r>
      <w:r w:rsidRPr="006707F1" w:rsidR="0093018B">
        <w:rPr>
          <w:rFonts w:ascii="Calibri" w:hAnsi="Calibri" w:eastAsia="Calibri"/>
          <w:color w:val="000000" w:themeColor="text1"/>
          <w:kern w:val="24"/>
        </w:rPr>
        <w:t>(</w:t>
      </w:r>
      <w:r w:rsidRPr="006707F1" w:rsidR="006707F1">
        <w:rPr>
          <w:rFonts w:ascii="Calibri" w:hAnsi="Calibri" w:eastAsia="Calibri"/>
          <w:color w:val="000000" w:themeColor="text1"/>
          <w:kern w:val="24"/>
        </w:rPr>
        <w:t>S3</w:t>
      </w:r>
      <w:r w:rsidRPr="006707F1" w:rsidR="0093018B">
        <w:rPr>
          <w:rFonts w:ascii="Calibri" w:hAnsi="Calibri" w:eastAsia="Calibri"/>
          <w:color w:val="000000" w:themeColor="text1"/>
          <w:kern w:val="24"/>
        </w:rPr>
        <w:t>)</w:t>
      </w:r>
      <w:r w:rsidRPr="006707F1" w:rsidR="006707F1">
        <w:rPr>
          <w:rFonts w:ascii="Calibri" w:hAnsi="Calibri" w:eastAsia="Calibri"/>
          <w:color w:val="000000" w:themeColor="text1"/>
          <w:kern w:val="24"/>
        </w:rPr>
        <w:t>.</w:t>
      </w:r>
      <w:r w:rsidRPr="6FD66642" w:rsidR="006707F1">
        <w:rPr>
          <w:rFonts w:ascii="Calibri" w:hAnsi="Calibri" w:eastAsia="Calibri"/>
          <w:i w:val="1"/>
          <w:iCs w:val="1"/>
          <w:color w:val="000000" w:themeColor="text1"/>
          <w:kern w:val="24"/>
        </w:rPr>
        <w:t xml:space="preserve"> </w:t>
      </w:r>
      <w:r w:rsidRPr="006707F1" w:rsidR="006707F1">
        <w:rPr>
          <w:rFonts w:ascii="Calibri" w:hAnsi="Calibri" w:eastAsia="Calibri"/>
          <w:color w:val="000000" w:themeColor="text1"/>
          <w:kern w:val="24"/>
        </w:rPr>
        <w:t>Yet,</w:t>
      </w:r>
      <w:r w:rsidRPr="6FD66642" w:rsidR="0093018B">
        <w:rPr>
          <w:rFonts w:ascii="Calibri" w:hAnsi="Calibri" w:eastAsia="Calibri"/>
          <w:i w:val="1"/>
          <w:iCs w:val="1"/>
          <w:color w:val="000000" w:themeColor="text1"/>
          <w:kern w:val="24"/>
        </w:rPr>
        <w:t xml:space="preserve"> </w:t>
      </w:r>
      <w:r w:rsidR="006707F1">
        <w:rPr>
          <w:rFonts w:ascii="Calibri" w:hAnsi="Calibri" w:eastAsia="Calibri"/>
          <w:color w:val="000000" w:themeColor="text1"/>
          <w:kern w:val="24"/>
        </w:rPr>
        <w:t>t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he Klin</w:t>
      </w:r>
      <w:r w:rsidRPr="007221FE" w:rsidR="3AF6DADD">
        <w:rPr>
          <w:rFonts w:ascii="Calibri" w:hAnsi="Calibri" w:eastAsia="Calibri"/>
          <w:color w:val="000000" w:themeColor="text1"/>
          <w:kern w:val="24"/>
        </w:rPr>
        <w:t xml:space="preserve">e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monument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indicates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young children were loved by their families and provided with detailed funerary monuments and markers “when the family could afford to do so” </w:t>
      </w:r>
      <w:r w:rsidRPr="6FD66642" w:rsidR="0093018B">
        <w:rPr>
          <w:rFonts w:ascii="Calibri" w:hAnsi="Calibri" w:eastAsia="Calibri"/>
          <w:i w:val="1"/>
          <w:iCs w:val="1"/>
          <w:color w:val="000000" w:themeColor="text1"/>
          <w:kern w:val="24"/>
        </w:rPr>
        <w:t>(</w:t>
      </w:r>
      <w:r w:rsidRPr="6FD66642" w:rsidR="0093018B">
        <w:rPr>
          <w:rFonts w:ascii="Calibri" w:hAnsi="Calibri" w:eastAsia="Calibri"/>
          <w:i w:val="1"/>
          <w:iCs w:val="1"/>
          <w:color w:val="4472C4"/>
          <w:kern w:val="24"/>
        </w:rPr>
        <w:t>Maxford,2020</w:t>
      </w:r>
      <w:r w:rsidRPr="6FD66642" w:rsidR="0093018B">
        <w:rPr>
          <w:rFonts w:ascii="Calibri" w:hAnsi="Calibri" w:eastAsia="Calibri"/>
          <w:i w:val="1"/>
          <w:iCs w:val="1"/>
          <w:color w:val="000000" w:themeColor="text1"/>
          <w:kern w:val="24"/>
        </w:rPr>
        <w:t xml:space="preserve">). </w:t>
      </w:r>
    </w:p>
    <w:p w:rsidRPr="007221FE" w:rsidR="0093018B" w:rsidP="007221FE" w:rsidRDefault="0093018B" w14:paraId="2ECD5163" w14:textId="77777777">
      <w:pPr>
        <w:pStyle w:val="NormalWeb"/>
        <w:spacing w:before="0" w:beforeAutospacing="0" w:after="0" w:afterAutospacing="0"/>
        <w:ind w:left="142" w:right="118"/>
      </w:pPr>
    </w:p>
    <w:p w:rsidRPr="007221FE" w:rsidR="0093018B" w:rsidP="6FD66642" w:rsidRDefault="0093018B" w14:paraId="5296F04A" w14:textId="0089EF7A">
      <w:pPr>
        <w:pStyle w:val="NormalWeb"/>
        <w:spacing w:before="0" w:beforeAutospacing="off" w:after="0" w:afterAutospacing="off"/>
        <w:ind w:left="142" w:right="118"/>
        <w:rPr>
          <w:rFonts w:ascii="Calibri" w:hAnsi="Calibri" w:eastAsia="Calibri"/>
          <w:color w:val="000000" w:themeColor="text1"/>
          <w:kern w:val="24"/>
        </w:rPr>
      </w:pPr>
      <w:r w:rsidRPr="6FD66642" w:rsidR="0093018B">
        <w:rPr>
          <w:rFonts w:ascii="Calibri" w:hAnsi="Calibri" w:eastAsia="Calibri"/>
          <w:strike w:val="1"/>
          <w:color w:val="000000" w:themeColor="text1"/>
          <w:kern w:val="24"/>
        </w:rPr>
        <w:t xml:space="preserve">The treatment of children and infants was different from contemporary rituals as such deaths were </w:t>
      </w:r>
      <w:r w:rsidRPr="6FD66642" w:rsidR="0093018B">
        <w:rPr>
          <w:rFonts w:ascii="Calibri" w:hAnsi="Calibri" w:eastAsia="Calibri"/>
          <w:strike w:val="1"/>
          <w:color w:val="000000" w:themeColor="text1"/>
          <w:kern w:val="24"/>
        </w:rPr>
        <w:t xml:space="preserve">very common</w:t>
      </w:r>
      <w:r w:rsidRPr="6FD66642" w:rsidR="0093018B">
        <w:rPr>
          <w:rFonts w:ascii="Calibri" w:hAnsi="Calibri" w:eastAsia="Calibri"/>
          <w:strike w:val="1"/>
          <w:color w:val="000000" w:themeColor="text1"/>
          <w:kern w:val="24"/>
        </w:rPr>
        <w:t xml:space="preserve">.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</w:t>
      </w:r>
    </w:p>
    <w:p w:rsidRPr="007221FE" w:rsidR="0093018B" w:rsidP="007221FE" w:rsidRDefault="0093018B" w14:paraId="46C408F9" w14:textId="77777777">
      <w:pPr>
        <w:pStyle w:val="NormalWeb"/>
        <w:spacing w:before="0" w:beforeAutospacing="0" w:after="0" w:afterAutospacing="0"/>
        <w:ind w:left="142" w:right="118"/>
      </w:pPr>
    </w:p>
    <w:p w:rsidRPr="007221FE" w:rsidR="0093018B" w:rsidP="007221FE" w:rsidRDefault="0093018B" w14:paraId="18B9DF0D" w14:textId="4636D43E">
      <w:pPr>
        <w:pStyle w:val="NormalWeb"/>
        <w:spacing w:before="0" w:beforeAutospacing="0" w:after="0" w:afterAutospacing="0"/>
        <w:ind w:left="142" w:right="118"/>
        <w:rPr>
          <w:rFonts w:ascii="Calibri" w:hAnsi="Calibri" w:eastAsia="Calibri"/>
          <w:color w:val="000000" w:themeColor="text1"/>
          <w:kern w:val="24"/>
        </w:rPr>
      </w:pPr>
      <w:r w:rsidRPr="007221FE">
        <w:rPr>
          <w:rFonts w:ascii="Calibri" w:hAnsi="Calibri" w:eastAsia="Calibri"/>
          <w:color w:val="000000" w:themeColor="text1"/>
          <w:kern w:val="24"/>
        </w:rPr>
        <w:t>Although the creator/ maker of the sculpture has not been determined</w:t>
      </w:r>
      <w:r w:rsidR="006707F1">
        <w:rPr>
          <w:rFonts w:ascii="Calibri" w:hAnsi="Calibri" w:eastAsia="Calibri"/>
          <w:color w:val="000000" w:themeColor="text1"/>
          <w:kern w:val="24"/>
        </w:rPr>
        <w:t>, like the headstone that is Source 4,</w:t>
      </w:r>
      <w:r w:rsidRPr="007221FE">
        <w:rPr>
          <w:rFonts w:ascii="Calibri" w:hAnsi="Calibri" w:eastAsia="Calibri"/>
          <w:color w:val="000000" w:themeColor="text1"/>
          <w:kern w:val="24"/>
        </w:rPr>
        <w:t xml:space="preserve"> it still provides a reliable, informative primary source for the target audience of interested researchers, teachers and students learning about </w:t>
      </w:r>
      <w:r w:rsidRPr="007221FE">
        <w:rPr>
          <w:rFonts w:ascii="Calibri" w:hAnsi="Calibri" w:eastAsia="Calibri"/>
          <w:color w:val="000000" w:themeColor="text1"/>
          <w:kern w:val="24"/>
        </w:rPr>
        <w:t>r</w:t>
      </w:r>
      <w:r w:rsidRPr="007221FE">
        <w:rPr>
          <w:rFonts w:ascii="Calibri" w:hAnsi="Calibri" w:eastAsia="Calibri"/>
          <w:color w:val="000000" w:themeColor="text1"/>
          <w:kern w:val="24"/>
        </w:rPr>
        <w:t xml:space="preserve">oman culture. </w:t>
      </w:r>
    </w:p>
    <w:p w:rsidRPr="007221FE" w:rsidR="0093018B" w:rsidP="007221FE" w:rsidRDefault="0093018B" w14:paraId="2072BD24" w14:textId="77777777">
      <w:pPr>
        <w:pStyle w:val="NormalWeb"/>
        <w:spacing w:before="0" w:beforeAutospacing="0" w:after="0" w:afterAutospacing="0"/>
        <w:ind w:left="142" w:right="118"/>
        <w:rPr>
          <w:rFonts w:ascii="Calibri" w:hAnsi="Calibri" w:eastAsia="Calibri"/>
          <w:color w:val="000000" w:themeColor="text1"/>
          <w:kern w:val="24"/>
        </w:rPr>
      </w:pPr>
    </w:p>
    <w:p w:rsidR="0093018B" w:rsidP="6FD66642" w:rsidRDefault="0093018B" w14:paraId="038D3747" w14:textId="1BB6CBD5">
      <w:pPr>
        <w:pStyle w:val="NormalWeb"/>
        <w:spacing w:before="0" w:beforeAutospacing="off" w:after="0" w:afterAutospacing="off"/>
        <w:ind w:left="142" w:right="118"/>
        <w:rPr>
          <w:rFonts w:ascii="Calibri" w:hAnsi="Calibri" w:eastAsia="Calibri"/>
          <w:color w:val="000000" w:themeColor="text1"/>
          <w:kern w:val="24"/>
        </w:rPr>
      </w:pP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The sculpture was obviously created to ensure the deceased’s peaceful, joyful eternal rest and it 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assists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</w:t>
      </w:r>
      <w:r w:rsidR="00DC3CB6">
        <w:rPr>
          <w:rFonts w:ascii="Calibri" w:hAnsi="Calibri" w:eastAsia="Calibri"/>
          <w:color w:val="000000" w:themeColor="text1"/>
          <w:kern w:val="24"/>
        </w:rPr>
        <w:t>answer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the second sub-</w:t>
      </w:r>
      <w:r w:rsidR="006707F1">
        <w:rPr>
          <w:rFonts w:ascii="Calibri" w:hAnsi="Calibri" w:eastAsia="Calibri"/>
          <w:color w:val="000000" w:themeColor="text1"/>
          <w:kern w:val="24"/>
        </w:rPr>
        <w:t>I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>nquiry</w:t>
      </w:r>
      <w:r w:rsidR="006707F1">
        <w:rPr>
          <w:rFonts w:ascii="Calibri" w:hAnsi="Calibri" w:eastAsia="Calibri"/>
          <w:color w:val="000000" w:themeColor="text1"/>
          <w:kern w:val="24"/>
        </w:rPr>
        <w:t xml:space="preserve"> question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 ‘</w:t>
      </w:r>
      <w:r w:rsidRPr="6FD66642" w:rsidR="0093018B">
        <w:rPr>
          <w:rFonts w:ascii="Calibri" w:hAnsi="Calibri" w:eastAsia="Calibri"/>
          <w:i w:val="1"/>
          <w:iCs w:val="1"/>
          <w:color w:val="000000" w:themeColor="text1"/>
          <w:kern w:val="24"/>
        </w:rPr>
        <w:t>What were the Roman funerary practices with respects to children?’</w:t>
      </w:r>
      <w:r w:rsidRPr="007221FE" w:rsidR="0093018B">
        <w:rPr>
          <w:rFonts w:ascii="Calibri" w:hAnsi="Calibri" w:eastAsia="Calibri"/>
          <w:color w:val="000000" w:themeColor="text1"/>
          <w:kern w:val="24"/>
        </w:rPr>
        <w:t xml:space="preserve"> </w:t>
      </w:r>
    </w:p>
    <w:p w:rsidRPr="007221FE" w:rsidR="006707F1" w:rsidP="007221FE" w:rsidRDefault="006707F1" w14:paraId="09C3FD3B" w14:textId="77777777">
      <w:pPr>
        <w:pStyle w:val="NormalWeb"/>
        <w:spacing w:before="0" w:beforeAutospacing="0" w:after="0" w:afterAutospacing="0"/>
        <w:ind w:left="142" w:right="118"/>
      </w:pPr>
    </w:p>
    <w:p w:rsidRPr="007221FE" w:rsidR="0093018B" w:rsidP="007221FE" w:rsidRDefault="007221FE" w14:paraId="6ADB0967" w14:textId="5F6DA630">
      <w:pPr>
        <w:ind w:left="142"/>
        <w:rPr>
          <w:sz w:val="24"/>
          <w:szCs w:val="24"/>
        </w:rPr>
      </w:pPr>
      <w:r w:rsidRPr="007221FE">
        <w:rPr>
          <w:sz w:val="24"/>
          <w:szCs w:val="24"/>
        </w:rPr>
        <w:t>Beginning in the Augustan period</w:t>
      </w:r>
      <w:r w:rsidR="006707F1">
        <w:rPr>
          <w:sz w:val="24"/>
          <w:szCs w:val="24"/>
        </w:rPr>
        <w:t xml:space="preserve"> – Emperor Augustus died in AD ___ - </w:t>
      </w:r>
      <w:r w:rsidRPr="006707F1">
        <w:rPr>
          <w:i/>
          <w:iCs/>
          <w:sz w:val="24"/>
          <w:szCs w:val="24"/>
        </w:rPr>
        <w:t>kline</w:t>
      </w:r>
      <w:r w:rsidRPr="007221FE">
        <w:rPr>
          <w:sz w:val="24"/>
          <w:szCs w:val="24"/>
        </w:rPr>
        <w:t xml:space="preserve"> monuments were placed in tombs, either in niches or on flat bases. Eventually</w:t>
      </w:r>
      <w:r w:rsidR="006707F1">
        <w:rPr>
          <w:sz w:val="24"/>
          <w:szCs w:val="24"/>
        </w:rPr>
        <w:t xml:space="preserve"> …</w:t>
      </w:r>
      <w:r w:rsidRPr="007221FE">
        <w:rPr>
          <w:sz w:val="24"/>
          <w:szCs w:val="24"/>
        </w:rPr>
        <w:t xml:space="preserve"> these sculptures began to be used as lids for sarcophagi. This p</w:t>
      </w:r>
      <w:r w:rsidR="006707F1">
        <w:rPr>
          <w:sz w:val="24"/>
          <w:szCs w:val="24"/>
        </w:rPr>
        <w:t>eac</w:t>
      </w:r>
      <w:r w:rsidRPr="007221FE">
        <w:rPr>
          <w:sz w:val="24"/>
          <w:szCs w:val="24"/>
        </w:rPr>
        <w:t>e has grooves on the underside that would have fit the walls of a sarcophagus; it is the earliest surviving example of such a use</w:t>
      </w:r>
      <w:r w:rsidR="006707F1">
        <w:rPr>
          <w:sz w:val="24"/>
          <w:szCs w:val="24"/>
        </w:rPr>
        <w:t xml:space="preserve"> (Getty.edu)</w:t>
      </w:r>
      <w:r w:rsidRPr="007221FE">
        <w:rPr>
          <w:sz w:val="24"/>
          <w:szCs w:val="24"/>
        </w:rPr>
        <w:t>.</w:t>
      </w:r>
    </w:p>
    <w:p w:rsidRPr="007221FE" w:rsidR="007221FE" w:rsidRDefault="007221FE" w14:paraId="7E3CA2D0" w14:textId="23B7EB0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221FE">
        <w:rPr>
          <w:sz w:val="20"/>
          <w:szCs w:val="20"/>
        </w:rPr>
        <w:t>250 words</w:t>
      </w:r>
    </w:p>
    <w:sectPr w:rsidRPr="007221FE" w:rsidR="007221FE" w:rsidSect="006707F1">
      <w:pgSz w:w="11906" w:h="16838" w:orient="portrait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B"/>
    <w:rsid w:val="006707F1"/>
    <w:rsid w:val="007221FE"/>
    <w:rsid w:val="0093018B"/>
    <w:rsid w:val="00DC3CB6"/>
    <w:rsid w:val="0308DA84"/>
    <w:rsid w:val="1590C473"/>
    <w:rsid w:val="160C8850"/>
    <w:rsid w:val="22EE535F"/>
    <w:rsid w:val="299FE6E4"/>
    <w:rsid w:val="2B3BEB41"/>
    <w:rsid w:val="2BAF3D26"/>
    <w:rsid w:val="33C69F60"/>
    <w:rsid w:val="3736E8AD"/>
    <w:rsid w:val="3AF6DADD"/>
    <w:rsid w:val="5B288F73"/>
    <w:rsid w:val="5D8B526A"/>
    <w:rsid w:val="6C7AB130"/>
    <w:rsid w:val="6FD66642"/>
    <w:rsid w:val="705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3A61"/>
  <w15:chartTrackingRefBased/>
  <w15:docId w15:val="{C5B11694-574B-41CA-8742-C763B59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1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KUSKOPF, Melanie (mkusk2)</dc:creator>
  <keywords/>
  <dc:description/>
  <lastModifiedBy>TOMES, Eden (etome3)</lastModifiedBy>
  <revision>4</revision>
  <dcterms:created xsi:type="dcterms:W3CDTF">2025-03-23T04:50:00.0000000Z</dcterms:created>
  <dcterms:modified xsi:type="dcterms:W3CDTF">2025-03-24T03:01:33.6879235Z</dcterms:modified>
</coreProperties>
</file>