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6A32A4" w:rsidR="004D0BBC" w:rsidP="722B75EB" w:rsidRDefault="004607DA" w14:textId="5808553C" w14:paraId="0CBCFD1A">
      <w:pPr>
        <w:spacing w:line="360" w:lineRule="auto"/>
        <w:ind w:left="426" w:right="401"/>
        <w:rPr>
          <w:rFonts w:ascii="Arial" w:hAnsi="Arial" w:cs="Arial"/>
          <w:sz w:val="28"/>
          <w:szCs w:val="28"/>
        </w:rPr>
      </w:pPr>
      <w:r w:rsidRPr="006A32A4">
        <w:rPr>
          <w:noProof/>
          <w:sz w:val="32"/>
          <w:szCs w:val="32"/>
        </w:rPr>
        <mc:AlternateContent>
          <mc:Choice Requires="wps">
            <w:drawing>
              <wp:anchor distT="0" distB="0" distL="114300" distR="114300" simplePos="0" relativeHeight="251661312" behindDoc="0" locked="0" layoutInCell="1" allowOverlap="1" wp14:anchorId="48B21405" wp14:editId="24DD1140">
                <wp:simplePos x="0" y="0"/>
                <wp:positionH relativeFrom="column">
                  <wp:posOffset>69215</wp:posOffset>
                </wp:positionH>
                <wp:positionV relativeFrom="paragraph">
                  <wp:posOffset>9525</wp:posOffset>
                </wp:positionV>
                <wp:extent cx="6753860" cy="5468620"/>
                <wp:effectExtent l="0" t="0" r="8890" b="0"/>
                <wp:wrapSquare wrapText="bothSides"/>
                <wp:docPr id="185" name="Text Box 185"/>
                <wp:cNvGraphicFramePr/>
                <a:graphic xmlns:a="http://schemas.openxmlformats.org/drawingml/2006/main">
                  <a:graphicData uri="http://schemas.microsoft.com/office/word/2010/wordprocessingShape">
                    <wps:wsp>
                      <wps:cNvSpPr txBox="1"/>
                      <wps:spPr>
                        <a:xfrm>
                          <a:off x="0" y="0"/>
                          <a:ext cx="6753860" cy="5468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6A32A4" w:rsidR="004607DA" w:rsidP="004607DA" w:rsidRDefault="004607DA" w14:paraId="1A47B279" w14:textId="77777777">
                            <w:pPr>
                              <w:ind w:left="284" w:right="401"/>
                              <w:rPr>
                                <w:b/>
                                <w:color w:val="000000"/>
                                <w:sz w:val="32"/>
                                <w:szCs w:val="32"/>
                              </w:rPr>
                            </w:pPr>
                            <w:r w:rsidRPr="006A32A4">
                              <w:rPr>
                                <w:b/>
                                <w:color w:val="000000"/>
                                <w:sz w:val="32"/>
                                <w:szCs w:val="32"/>
                              </w:rPr>
                              <w:t>SOURCE 2: The Treatment of the Persian Dead according to Herodotus</w:t>
                            </w:r>
                          </w:p>
                          <w:p w:rsidRPr="006A32A4" w:rsidR="004607DA" w:rsidP="004607DA" w:rsidRDefault="004607DA" w14:paraId="4B9693BD" w14:textId="77777777">
                            <w:pPr>
                              <w:ind w:left="284" w:right="401"/>
                              <w:rPr>
                                <w:rFonts w:asciiTheme="minorEastAsia" w:hAnsiTheme="minorEastAsia" w:eastAsiaTheme="minorEastAsia"/>
                                <w:iCs/>
                                <w:color w:val="000000"/>
                                <w:sz w:val="32"/>
                                <w:szCs w:val="32"/>
                              </w:rPr>
                            </w:pPr>
                            <w:r w:rsidRPr="006A32A4">
                              <w:rPr>
                                <w:rFonts w:asciiTheme="minorEastAsia" w:hAnsiTheme="minorEastAsia" w:eastAsiaTheme="minorEastAsia"/>
                                <w:iCs/>
                                <w:color w:val="000000"/>
                                <w:sz w:val="32"/>
                                <w:szCs w:val="32"/>
                              </w:rPr>
                              <w:t>So much I can say of them from my own certain knowledge. But there are other matters concerning the dead which are secretly and obscurely told: how the dead bodies of Persians are not buried before they have been mangled by birds or dogs. [2] That this is the way of the Magi, I know for certain; for they do not conceal the practice. But this is certain, that before the Persians bury the body in earth, they embalm it in wax. These Magi are as unlike the priests of Egypt as they are unlike all other men: [3] for the priests consider it sacrilege to kill anything that lives, except what they sacrifice; but the Magi kill with their own hands every creature, except dogs and men; they kill all alike, ants and snakes, creeping and flying things, and take great pride in it. Leaving this custom to be such as it has been from the first,</w:t>
                            </w:r>
                            <w:r w:rsidRPr="006A32A4">
                              <w:rPr>
                                <w:rFonts w:asciiTheme="minorEastAsia" w:hAnsiTheme="minorEastAsia" w:eastAsiaTheme="minorEastAsia"/>
                                <w:iCs/>
                                <w:color w:val="000000"/>
                                <w:sz w:val="32"/>
                                <w:szCs w:val="32"/>
                                <w:vertAlign w:val="superscript"/>
                              </w:rPr>
                              <w:t>1</w:t>
                            </w:r>
                            <w:r w:rsidRPr="006A32A4">
                              <w:rPr>
                                <w:rFonts w:asciiTheme="minorEastAsia" w:hAnsiTheme="minorEastAsia" w:eastAsiaTheme="minorEastAsia"/>
                                <w:iCs/>
                                <w:color w:val="000000"/>
                                <w:sz w:val="32"/>
                                <w:szCs w:val="32"/>
                              </w:rPr>
                              <w:t xml:space="preserve"> I return now to my former story. </w:t>
                            </w:r>
                          </w:p>
                          <w:p w:rsidRPr="004607DA" w:rsidR="004607DA" w:rsidP="004607DA" w:rsidRDefault="004607DA" w14:paraId="6AAE93F2" w14:textId="77777777">
                            <w:pPr>
                              <w:ind w:left="284" w:right="401"/>
                              <w:rPr>
                                <w:rFonts w:asciiTheme="minorEastAsia" w:hAnsiTheme="minorEastAsia" w:eastAsiaTheme="minorEastAsia"/>
                                <w:color w:val="000000"/>
                                <w:sz w:val="24"/>
                                <w:szCs w:val="24"/>
                              </w:rPr>
                            </w:pPr>
                            <w:r w:rsidRPr="00B759A6">
                              <w:rPr>
                                <w:rFonts w:asciiTheme="minorEastAsia" w:hAnsiTheme="minorEastAsia" w:eastAsiaTheme="minorEastAsia"/>
                                <w:color w:val="000000"/>
                                <w:sz w:val="18"/>
                                <w:szCs w:val="18"/>
                                <w:vertAlign w:val="superscript"/>
                              </w:rPr>
                              <w:t>1</w:t>
                            </w:r>
                            <w:r w:rsidRPr="00B759A6">
                              <w:rPr>
                                <w:rFonts w:asciiTheme="minorEastAsia" w:hAnsiTheme="minorEastAsia" w:eastAsiaTheme="minorEastAsia"/>
                                <w:color w:val="000000"/>
                                <w:sz w:val="18"/>
                                <w:szCs w:val="18"/>
                              </w:rPr>
                              <w:t xml:space="preserve"> Lit. “let matters stand concerning this custom as it was first instituted:” i.e., apparently, “let us be content with knowing that this custom is as it has been from its origin.” </w:t>
                            </w:r>
                          </w:p>
                          <w:p w:rsidRPr="00101C7E" w:rsidR="004607DA" w:rsidP="004607DA" w:rsidRDefault="004607DA" w14:paraId="466EA665" w14:textId="77777777">
                            <w:pPr>
                              <w:spacing w:after="0"/>
                              <w:ind w:left="284" w:right="401"/>
                              <w:rPr>
                                <w:b/>
                                <w:color w:val="000000"/>
                                <w:sz w:val="16"/>
                                <w:szCs w:val="16"/>
                              </w:rPr>
                            </w:pPr>
                          </w:p>
                          <w:p w:rsidRPr="00101C7E" w:rsidR="004607DA" w:rsidP="00101C7E" w:rsidRDefault="004607DA" w14:paraId="751BFE50" w14:textId="2E15C344">
                            <w:pPr>
                              <w:spacing w:after="0"/>
                              <w:ind w:left="284" w:right="401"/>
                              <w:rPr>
                                <w:sz w:val="24"/>
                                <w:szCs w:val="24"/>
                              </w:rPr>
                            </w:pPr>
                            <w:r w:rsidRPr="004607DA">
                              <w:rPr>
                                <w:b/>
                                <w:color w:val="000000"/>
                                <w:sz w:val="24"/>
                                <w:szCs w:val="24"/>
                              </w:rPr>
                              <w:t>Reference:</w:t>
                            </w:r>
                            <w:r w:rsidRPr="004607DA">
                              <w:rPr>
                                <w:color w:val="000000"/>
                                <w:sz w:val="24"/>
                                <w:szCs w:val="24"/>
                              </w:rPr>
                              <w:t xml:space="preserve"> </w:t>
                            </w:r>
                            <w:r w:rsidRPr="004607DA">
                              <w:rPr>
                                <w:color w:val="000000"/>
                                <w:sz w:val="24"/>
                                <w:szCs w:val="24"/>
                              </w:rPr>
                              <w:tab/>
                            </w:r>
                            <w:r w:rsidRPr="004607DA">
                              <w:rPr>
                                <w:sz w:val="24"/>
                                <w:szCs w:val="24"/>
                              </w:rPr>
                              <w:t>www.perseus.tufts.edu. (n.d.). Herodotus, The Histories, Book 1, chapter 140. [online]. Available at: http://www.perseus.tufts.ed</w:t>
                            </w:r>
                            <w:r w:rsidR="00101C7E">
                              <w:rPr>
                                <w:sz w:val="24"/>
                                <w:szCs w:val="24"/>
                              </w:rPr>
                              <w:t>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48B21405">
                <v:stroke joinstyle="miter"/>
                <v:path gradientshapeok="t" o:connecttype="rect"/>
              </v:shapetype>
              <v:shape id="Text Box 185" style="position:absolute;left:0;text-align:left;margin-left:5.45pt;margin-top:.75pt;width:531.8pt;height:4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">
                <v:textbox inset="0,0,0,0">
                  <w:txbxContent>
                    <w:p w:rsidRPr="006A32A4" w:rsidR="004607DA" w:rsidP="004607DA" w:rsidRDefault="004607DA" w14:paraId="1A47B279" w14:textId="77777777">
                      <w:pPr>
                        <w:ind w:left="284" w:right="401"/>
                        <w:rPr>
                          <w:b/>
                          <w:color w:val="000000"/>
                          <w:sz w:val="32"/>
                          <w:szCs w:val="32"/>
                        </w:rPr>
                      </w:pPr>
                      <w:r w:rsidRPr="006A32A4">
                        <w:rPr>
                          <w:b/>
                          <w:color w:val="000000"/>
                          <w:sz w:val="32"/>
                          <w:szCs w:val="32"/>
                        </w:rPr>
                        <w:t>SOURCE 2: The Treatment of the Persian Dead according to Herodotus</w:t>
                      </w:r>
                    </w:p>
                    <w:p w:rsidRPr="006A32A4" w:rsidR="004607DA" w:rsidP="004607DA" w:rsidRDefault="004607DA" w14:paraId="4B9693BD" w14:textId="77777777">
                      <w:pPr>
                        <w:ind w:left="284" w:right="401"/>
                        <w:rPr>
                          <w:rFonts w:asciiTheme="minorEastAsia" w:hAnsiTheme="minorEastAsia" w:eastAsiaTheme="minorEastAsia"/>
                          <w:iCs/>
                          <w:color w:val="000000"/>
                          <w:sz w:val="32"/>
                          <w:szCs w:val="32"/>
                        </w:rPr>
                      </w:pPr>
                      <w:r w:rsidRPr="006A32A4">
                        <w:rPr>
                          <w:rFonts w:asciiTheme="minorEastAsia" w:hAnsiTheme="minorEastAsia" w:eastAsiaTheme="minorEastAsia"/>
                          <w:iCs/>
                          <w:color w:val="000000"/>
                          <w:sz w:val="32"/>
                          <w:szCs w:val="32"/>
                        </w:rPr>
                        <w:t>So much I can say of them from my own certain knowledge. But there are other matters concerning the dead which are secretly and obscurely told: how the dead bodies of Persians are not buried before they have been mangled by birds or dogs. [2] That this is the way of the Magi, I know for certain; for they do not conceal the practice. But this is certain, that before the Persians bury the body in earth, they embalm it in wax. These Magi are as unlike the priests of Egypt as they are unlike all other men: [3] for the priests consider it sacrilege to kill anything that lives, except what they sacrifice; but the Magi kill with their own hands every creature, except dogs and men; they kill all alike, ants and snakes, creeping and flying things, and take great pride in it. Leaving this custom to be such as it has been from the first,</w:t>
                      </w:r>
                      <w:r w:rsidRPr="006A32A4">
                        <w:rPr>
                          <w:rFonts w:asciiTheme="minorEastAsia" w:hAnsiTheme="minorEastAsia" w:eastAsiaTheme="minorEastAsia"/>
                          <w:iCs/>
                          <w:color w:val="000000"/>
                          <w:sz w:val="32"/>
                          <w:szCs w:val="32"/>
                          <w:vertAlign w:val="superscript"/>
                        </w:rPr>
                        <w:t>1</w:t>
                      </w:r>
                      <w:r w:rsidRPr="006A32A4">
                        <w:rPr>
                          <w:rFonts w:asciiTheme="minorEastAsia" w:hAnsiTheme="minorEastAsia" w:eastAsiaTheme="minorEastAsia"/>
                          <w:iCs/>
                          <w:color w:val="000000"/>
                          <w:sz w:val="32"/>
                          <w:szCs w:val="32"/>
                        </w:rPr>
                        <w:t xml:space="preserve"> I return now to my former story. </w:t>
                      </w:r>
                    </w:p>
                    <w:p w:rsidRPr="004607DA" w:rsidR="004607DA" w:rsidP="004607DA" w:rsidRDefault="004607DA" w14:paraId="6AAE93F2" w14:textId="77777777">
                      <w:pPr>
                        <w:ind w:left="284" w:right="401"/>
                        <w:rPr>
                          <w:rFonts w:asciiTheme="minorEastAsia" w:hAnsiTheme="minorEastAsia" w:eastAsiaTheme="minorEastAsia"/>
                          <w:color w:val="000000"/>
                          <w:sz w:val="24"/>
                          <w:szCs w:val="24"/>
                        </w:rPr>
                      </w:pPr>
                      <w:r w:rsidRPr="00B759A6">
                        <w:rPr>
                          <w:rFonts w:asciiTheme="minorEastAsia" w:hAnsiTheme="minorEastAsia" w:eastAsiaTheme="minorEastAsia"/>
                          <w:color w:val="000000"/>
                          <w:sz w:val="18"/>
                          <w:szCs w:val="18"/>
                          <w:vertAlign w:val="superscript"/>
                        </w:rPr>
                        <w:t>1</w:t>
                      </w:r>
                      <w:r w:rsidRPr="00B759A6">
                        <w:rPr>
                          <w:rFonts w:asciiTheme="minorEastAsia" w:hAnsiTheme="minorEastAsia" w:eastAsiaTheme="minorEastAsia"/>
                          <w:color w:val="000000"/>
                          <w:sz w:val="18"/>
                          <w:szCs w:val="18"/>
                        </w:rPr>
                        <w:t xml:space="preserve"> Lit. “let matters stand concerning this custom as it was first instituted:” i.e., apparently, “let us be content with knowing that this custom is as it has been from its origin.” </w:t>
                      </w:r>
                    </w:p>
                    <w:p w:rsidRPr="00101C7E" w:rsidR="004607DA" w:rsidP="004607DA" w:rsidRDefault="004607DA" w14:paraId="466EA665" w14:textId="77777777">
                      <w:pPr>
                        <w:spacing w:after="0"/>
                        <w:ind w:left="284" w:right="401"/>
                        <w:rPr>
                          <w:b/>
                          <w:color w:val="000000"/>
                          <w:sz w:val="16"/>
                          <w:szCs w:val="16"/>
                        </w:rPr>
                      </w:pPr>
                    </w:p>
                    <w:p w:rsidRPr="00101C7E" w:rsidR="004607DA" w:rsidP="00101C7E" w:rsidRDefault="004607DA" w14:paraId="751BFE50" w14:textId="2E15C344">
                      <w:pPr>
                        <w:spacing w:after="0"/>
                        <w:ind w:left="284" w:right="401"/>
                        <w:rPr>
                          <w:sz w:val="24"/>
                          <w:szCs w:val="24"/>
                        </w:rPr>
                      </w:pPr>
                      <w:r w:rsidRPr="004607DA">
                        <w:rPr>
                          <w:b/>
                          <w:color w:val="000000"/>
                          <w:sz w:val="24"/>
                          <w:szCs w:val="24"/>
                        </w:rPr>
                        <w:t>Reference:</w:t>
                      </w:r>
                      <w:r w:rsidRPr="004607DA">
                        <w:rPr>
                          <w:color w:val="000000"/>
                          <w:sz w:val="24"/>
                          <w:szCs w:val="24"/>
                        </w:rPr>
                        <w:t xml:space="preserve"> </w:t>
                      </w:r>
                      <w:r w:rsidRPr="004607DA">
                        <w:rPr>
                          <w:color w:val="000000"/>
                          <w:sz w:val="24"/>
                          <w:szCs w:val="24"/>
                        </w:rPr>
                        <w:tab/>
                      </w:r>
                      <w:r w:rsidRPr="004607DA">
                        <w:rPr>
                          <w:sz w:val="24"/>
                          <w:szCs w:val="24"/>
                        </w:rPr>
                        <w:t>www.perseus.tufts.edu. (n.d.). Herodotus, The Histories, Book 1, chapter 140. [online]. Available at: http://www.perseus.tufts.ed</w:t>
                      </w:r>
                      <w:r w:rsidR="00101C7E">
                        <w:rPr>
                          <w:sz w:val="24"/>
                          <w:szCs w:val="24"/>
                        </w:rPr>
                        <w:t>u</w:t>
                      </w:r>
                    </w:p>
                  </w:txbxContent>
                </v:textbox>
                <w10:wrap type="square"/>
              </v:shape>
            </w:pict>
          </mc:Fallback>
        </mc:AlternateContent>
      </w:r>
      <w:r w:rsidRPr="46597547" w:rsidR="4EE17AAD">
        <w:rPr>
          <w:rFonts w:ascii="Arial" w:hAnsi="Arial" w:cs="Arial"/>
          <w:color w:val="7030A0"/>
          <w:sz w:val="32"/>
          <w:szCs w:val="32"/>
        </w:rPr>
        <w:t>S</w:t>
      </w:r>
      <w:r w:rsidRPr="46597547" w:rsidR="4EE17AAD">
        <w:rPr>
          <w:rFonts w:ascii="Arial" w:hAnsi="Arial" w:cs="Arial"/>
          <w:color w:val="7030A0"/>
          <w:sz w:val="28"/>
          <w:szCs w:val="28"/>
        </w:rPr>
        <w:t xml:space="preserve">ource 2 is from Herodotus, The Histories, c. 440 BC. He </w:t>
      </w:r>
      <w:r w:rsidRPr="46597547" w:rsidR="4EE17AAD">
        <w:rPr>
          <w:rFonts w:ascii="Arial" w:hAnsi="Arial" w:cs="Arial"/>
          <w:color w:val="7030A0"/>
          <w:sz w:val="28"/>
          <w:szCs w:val="28"/>
        </w:rPr>
        <w:t xml:space="preserve">states</w:t>
      </w:r>
      <w:r w:rsidRPr="46597547" w:rsidR="4EE17AAD">
        <w:rPr>
          <w:rFonts w:ascii="Arial" w:hAnsi="Arial" w:cs="Arial"/>
          <w:color w:val="7030A0"/>
          <w:sz w:val="28"/>
          <w:szCs w:val="28"/>
        </w:rPr>
        <w:t xml:space="preserve"> his opinion on how the Persians dealt with their dead and </w:t>
      </w:r>
      <w:r w:rsidRPr="46597547" w:rsidR="5A99C109">
        <w:rPr>
          <w:rFonts w:ascii="Arial" w:hAnsi="Arial" w:cs="Arial"/>
          <w:color w:val="7030A0"/>
          <w:sz w:val="28"/>
          <w:szCs w:val="28"/>
        </w:rPr>
        <w:t>implies</w:t>
      </w:r>
      <w:r w:rsidRPr="46597547" w:rsidR="4EE17AAD">
        <w:rPr>
          <w:rFonts w:ascii="Arial" w:hAnsi="Arial" w:cs="Arial"/>
          <w:color w:val="7030A0"/>
          <w:sz w:val="28"/>
          <w:szCs w:val="28"/>
        </w:rPr>
        <w:t xml:space="preserve"> it was disgusting</w:t>
      </w:r>
      <w:r w:rsidRPr="46597547" w:rsidR="4EE17AAD">
        <w:rPr>
          <w:rFonts w:ascii="Arial" w:hAnsi="Arial" w:cs="Arial"/>
          <w:color w:val="7030A0"/>
          <w:sz w:val="28"/>
          <w:szCs w:val="28"/>
        </w:rPr>
        <w:t xml:space="preserve"> to his Greek sensibilities. One can assume that the implicit meaning of this text is the difference in cultures and how it influences his point of view on the Persian’s beliefs.</w:t>
      </w:r>
      <w:r w:rsidRPr="006A32A4" w:rsidR="4EE17AAD">
        <w:rPr>
          <w:rFonts w:ascii="Arial" w:hAnsi="Arial" w:cs="Arial"/>
          <w:sz w:val="28"/>
          <w:szCs w:val="28"/>
        </w:rPr>
        <w:t xml:space="preserve"> </w:t>
      </w:r>
      <w:r w:rsidRPr="722B75EB" w:rsidR="4EE17AAD">
        <w:rPr>
          <w:rFonts w:ascii="Arial" w:hAnsi="Arial" w:cs="Arial"/>
          <w:color w:val="6FAC47" w:themeColor="accent6" w:themeTint="FF" w:themeShade="FF"/>
          <w:sz w:val="28"/>
          <w:szCs w:val="28"/>
          <w:highlight w:val="yellow"/>
        </w:rPr>
        <w:t xml:space="preserve">The author of this source was Herodotus, an ancient Greek historian who was born in Halicarnassus during the height of the Persian Empire.</w:t>
      </w:r>
    </w:p>
    <w:p w:rsidRPr="006A32A4" w:rsidR="004D0BBC" w:rsidP="722B75EB" w:rsidRDefault="004607DA" w14:paraId="1D493EF4" w14:textId="043C4907">
      <w:pPr>
        <w:spacing w:line="360" w:lineRule="auto"/>
        <w:ind w:left="426" w:right="401"/>
        <w:rPr>
          <w:rFonts w:ascii="Arial" w:hAnsi="Arial" w:cs="Arial"/>
          <w:color w:val="6FAC47"/>
          <w:sz w:val="28"/>
          <w:szCs w:val="28"/>
        </w:rPr>
      </w:pPr>
      <w:r w:rsidRPr="4017F05D" w:rsidR="0C120122">
        <w:rPr>
          <w:rFonts w:ascii="Arial" w:hAnsi="Arial" w:cs="Arial"/>
          <w:color w:val="6FAC47" w:themeColor="accent6" w:themeTint="FF" w:themeShade="FF"/>
          <w:sz w:val="28"/>
          <w:szCs w:val="28"/>
        </w:rPr>
        <w:t xml:space="preserve">The </w:t>
      </w:r>
      <w:r w:rsidRPr="4017F05D" w:rsidR="588301FE">
        <w:rPr>
          <w:rFonts w:ascii="Arial" w:hAnsi="Arial" w:cs="Arial"/>
          <w:color w:val="6FAC47" w:themeColor="accent6" w:themeTint="FF" w:themeShade="FF"/>
          <w:sz w:val="28"/>
          <w:szCs w:val="28"/>
        </w:rPr>
        <w:t xml:space="preserve">source’s author Herodotus originates from </w:t>
      </w:r>
      <w:r w:rsidRPr="4017F05D" w:rsidR="4B53863A">
        <w:rPr>
          <w:rFonts w:ascii="Arial" w:hAnsi="Arial" w:cs="Arial"/>
          <w:color w:val="6FAC47" w:themeColor="accent6" w:themeTint="FF" w:themeShade="FF"/>
          <w:sz w:val="28"/>
          <w:szCs w:val="28"/>
        </w:rPr>
        <w:t xml:space="preserve">the Persian-controlled Halicarnassus</w:t>
      </w:r>
      <w:r w:rsidRPr="4017F05D" w:rsidR="115ED85D">
        <w:rPr>
          <w:rFonts w:ascii="Arial" w:hAnsi="Arial" w:cs="Arial"/>
          <w:color w:val="6FAC47" w:themeColor="accent6" w:themeTint="FF" w:themeShade="FF"/>
          <w:sz w:val="28"/>
          <w:szCs w:val="28"/>
        </w:rPr>
        <w:t xml:space="preserve">, during a time in which the Persian Empire</w:t>
      </w:r>
    </w:p>
    <w:p w:rsidRPr="006A32A4" w:rsidR="004D0BBC" w:rsidP="004607DA" w:rsidRDefault="004607DA" w14:paraId="7475BA05" w14:textId="5808553C">
      <w:pPr>
        <w:spacing w:line="360" w:lineRule="auto"/>
        <w:ind w:left="426" w:right="401"/>
        <w:rPr>
          <w:rFonts w:ascii="Arial" w:hAnsi="Arial" w:cs="Arial"/>
          <w:sz w:val="28"/>
          <w:szCs w:val="28"/>
        </w:rPr>
      </w:pPr>
      <w:r w:rsidRPr="4017F05D" w:rsidR="4EE17AAD">
        <w:rPr>
          <w:rFonts w:ascii="Arial" w:hAnsi="Arial" w:cs="Arial"/>
          <w:color w:val="6FAC47" w:themeColor="accent6" w:themeTint="FF" w:themeShade="FF"/>
          <w:sz w:val="28"/>
          <w:szCs w:val="28"/>
        </w:rPr>
        <w:t xml:space="preserve"> </w:t>
      </w:r>
      <w:r w:rsidRPr="4017F05D" w:rsidR="4EE17AAD">
        <w:rPr>
          <w:rFonts w:ascii="Arial" w:hAnsi="Arial" w:cs="Arial"/>
          <w:color w:val="6FAC47" w:themeColor="accent6" w:themeTint="FF" w:themeShade="FF"/>
          <w:sz w:val="28"/>
          <w:szCs w:val="28"/>
        </w:rPr>
        <w:t xml:space="preserve">This source is a secondary literary source and has been created to ‘inform’ the </w:t>
      </w:r>
      <w:r w:rsidRPr="4017F05D" w:rsidR="611AE0B9">
        <w:rPr>
          <w:rFonts w:ascii="Arial" w:hAnsi="Arial" w:cs="Arial"/>
          <w:color w:val="6FAC47" w:themeColor="accent6" w:themeTint="FF" w:themeShade="FF"/>
          <w:sz w:val="28"/>
          <w:szCs w:val="28"/>
        </w:rPr>
        <w:t>Greeks</w:t>
      </w:r>
      <w:r w:rsidRPr="4017F05D" w:rsidR="4EE17AAD">
        <w:rPr>
          <w:rFonts w:ascii="Arial" w:hAnsi="Arial" w:cs="Arial"/>
          <w:color w:val="6FAC47" w:themeColor="accent6" w:themeTint="FF" w:themeShade="FF"/>
          <w:sz w:val="28"/>
          <w:szCs w:val="28"/>
        </w:rPr>
        <w:t xml:space="preserve"> about the culture of the Persians but it is immensely biased </w:t>
      </w:r>
      <w:r w:rsidRPr="4017F05D" w:rsidR="06D6F9F7">
        <w:rPr>
          <w:rFonts w:ascii="Arial" w:hAnsi="Arial" w:cs="Arial"/>
          <w:color w:val="6FAC47" w:themeColor="accent6" w:themeTint="FF" w:themeShade="FF"/>
          <w:sz w:val="28"/>
          <w:szCs w:val="28"/>
        </w:rPr>
        <w:t>this</w:t>
      </w:r>
      <w:r w:rsidRPr="4017F05D" w:rsidR="4EE17AAD">
        <w:rPr>
          <w:rFonts w:ascii="Arial" w:hAnsi="Arial" w:cs="Arial"/>
          <w:color w:val="6FAC47" w:themeColor="accent6" w:themeTint="FF" w:themeShade="FF"/>
          <w:sz w:val="28"/>
          <w:szCs w:val="28"/>
        </w:rPr>
        <w:t xml:space="preserve"> is evident when he states </w:t>
      </w:r>
      <w:r w:rsidRPr="722B75EB" w:rsidR="4EE17AAD">
        <w:rPr>
          <w:rFonts w:ascii="Arial" w:hAnsi="Arial" w:cs="Arial"/>
          <w:i w:val="1"/>
          <w:iCs w:val="1"/>
          <w:color w:val="6FAC47" w:themeColor="accent6" w:themeTint="FF" w:themeShade="FF"/>
          <w:sz w:val="28"/>
          <w:szCs w:val="28"/>
        </w:rPr>
        <w:t xml:space="preserve">“been mangled by birds or dogs”</w:t>
      </w:r>
      <w:r w:rsidRPr="722B75EB" w:rsidR="4EE17AAD">
        <w:rPr>
          <w:rFonts w:ascii="Arial" w:hAnsi="Arial" w:cs="Arial"/>
          <w:i w:val="1"/>
          <w:iCs w:val="1"/>
          <w:color w:val="6FAC47" w:themeColor="accent6" w:themeTint="FF" w:themeShade="FF"/>
          <w:sz w:val="28"/>
          <w:szCs w:val="28"/>
        </w:rPr>
        <w:t xml:space="preserve"> </w:t>
      </w:r>
      <w:r w:rsidRPr="46597547" w:rsidR="4EE17AAD">
        <w:rPr>
          <w:rFonts w:ascii="Arial" w:hAnsi="Arial" w:cs="Arial"/>
          <w:color w:val="FF0000"/>
          <w:sz w:val="28"/>
          <w:szCs w:val="28"/>
        </w:rPr>
        <w:t xml:space="preserve">which can </w:t>
      </w:r>
      <w:r w:rsidRPr="46597547" w:rsidR="06D6F9F7">
        <w:rPr>
          <w:rFonts w:ascii="Arial" w:hAnsi="Arial" w:cs="Arial"/>
          <w:color w:val="FF0000"/>
          <w:sz w:val="28"/>
          <w:szCs w:val="28"/>
        </w:rPr>
        <w:t xml:space="preserve">also </w:t>
      </w:r>
      <w:r w:rsidRPr="46597547" w:rsidR="4EE17AAD">
        <w:rPr>
          <w:rFonts w:ascii="Arial" w:hAnsi="Arial" w:cs="Arial"/>
          <w:color w:val="FF0000"/>
          <w:sz w:val="28"/>
          <w:szCs w:val="28"/>
        </w:rPr>
        <w:t xml:space="preserve">be shown in Source 3 </w:t>
      </w:r>
      <w:r w:rsidRPr="46597547" w:rsidR="06D6F9F7">
        <w:rPr>
          <w:rFonts w:ascii="Arial" w:hAnsi="Arial" w:cs="Arial"/>
          <w:color w:val="FF0000"/>
          <w:sz w:val="28"/>
          <w:szCs w:val="28"/>
        </w:rPr>
        <w:t xml:space="preserve">- </w:t>
      </w:r>
      <w:r w:rsidRPr="46597547" w:rsidR="4EE17AAD">
        <w:rPr>
          <w:rFonts w:ascii="Arial" w:hAnsi="Arial" w:cs="Arial"/>
          <w:color w:val="FF0000"/>
          <w:sz w:val="28"/>
          <w:szCs w:val="28"/>
        </w:rPr>
        <w:t>which refers to the towers of silence, and that</w:t>
      </w:r>
      <w:r w:rsidRPr="722B75EB" w:rsidR="4EE17AAD">
        <w:rPr>
          <w:rFonts w:ascii="Arial" w:hAnsi="Arial" w:cs="Arial"/>
          <w:i w:val="1"/>
          <w:iCs w:val="1"/>
          <w:color w:val="FF0000"/>
          <w:sz w:val="28"/>
          <w:szCs w:val="28"/>
        </w:rPr>
        <w:t xml:space="preserve"> “these Magi are unlike the priests of Egypt as they are unlike all other men:”</w:t>
      </w:r>
      <w:r w:rsidRPr="722B75EB" w:rsidR="4EE17AAD">
        <w:rPr>
          <w:rFonts w:ascii="Arial" w:hAnsi="Arial" w:cs="Arial"/>
          <w:i w:val="1"/>
          <w:iCs w:val="1"/>
          <w:sz w:val="28"/>
          <w:szCs w:val="28"/>
        </w:rPr>
        <w:t xml:space="preserve"> </w:t>
      </w:r>
      <w:r w:rsidRPr="006A32A4" w:rsidR="4EE17AAD">
        <w:rPr>
          <w:rFonts w:ascii="Arial" w:hAnsi="Arial" w:cs="Arial"/>
          <w:sz w:val="28"/>
          <w:szCs w:val="28"/>
        </w:rPr>
        <w:t xml:space="preserve">His use of descriptive terms shows that he has a distaste towards their practices and  he </w:t>
      </w:r>
      <w:r w:rsidRPr="006A32A4" w:rsidR="06D6F9F7">
        <w:rPr>
          <w:rFonts w:ascii="Arial" w:hAnsi="Arial" w:cs="Arial"/>
          <w:sz w:val="28"/>
          <w:szCs w:val="28"/>
        </w:rPr>
        <w:t xml:space="preserve">also </w:t>
      </w:r>
      <w:r w:rsidRPr="006A32A4" w:rsidR="4EE17AAD">
        <w:rPr>
          <w:rFonts w:ascii="Arial" w:hAnsi="Arial" w:cs="Arial"/>
          <w:sz w:val="28"/>
          <w:szCs w:val="28"/>
        </w:rPr>
        <w:t xml:space="preserve">tries to make them seem alienated from other societies like the Egyptians. </w:t>
      </w:r>
    </w:p>
    <w:p w:rsidRPr="006A32A4" w:rsidR="004D0BBC" w:rsidP="004607DA" w:rsidRDefault="004D0BBC" w14:paraId="636E3FA9" w14:textId="7844DF2A">
      <w:pPr>
        <w:spacing w:line="360" w:lineRule="auto"/>
        <w:ind w:left="426" w:right="414"/>
        <w:rPr>
          <w:rFonts w:ascii="Arial" w:hAnsi="Arial" w:cs="Arial"/>
          <w:sz w:val="28"/>
          <w:szCs w:val="28"/>
        </w:rPr>
      </w:pPr>
      <w:r w:rsidRPr="722B75EB" w:rsidR="4EE17AAD">
        <w:rPr>
          <w:rFonts w:ascii="Arial" w:hAnsi="Arial" w:cs="Arial"/>
          <w:color w:val="7030A0"/>
          <w:sz w:val="28"/>
          <w:szCs w:val="28"/>
        </w:rPr>
        <w:t xml:space="preserve">Even though there is a negative point of view about the Persian’s funerary beliefs, this source also provides some knowledge of the Persian culture, including the fact that </w:t>
      </w:r>
      <w:r w:rsidRPr="722B75EB" w:rsidR="4EE17AAD">
        <w:rPr>
          <w:rFonts w:ascii="Arial" w:hAnsi="Arial" w:cs="Arial"/>
          <w:i w:val="1"/>
          <w:iCs w:val="1"/>
          <w:color w:val="7030A0"/>
          <w:sz w:val="28"/>
          <w:szCs w:val="28"/>
        </w:rPr>
        <w:t>“before the Persians bury the body in earth, they embalm it in wax.”</w:t>
      </w:r>
      <w:r w:rsidRPr="722B75EB" w:rsidR="4EE17AAD">
        <w:rPr>
          <w:rFonts w:ascii="Arial" w:hAnsi="Arial" w:cs="Arial"/>
          <w:color w:val="7030A0"/>
          <w:sz w:val="28"/>
          <w:szCs w:val="28"/>
        </w:rPr>
        <w:t xml:space="preserve"> He also informs us about the traditional funerary practices including the use of vultures to clean the bodies of their flesh, and how the Magis beliefs differ from the beliefs of other priests in surrounding countries.</w:t>
      </w:r>
      <w:r w:rsidRPr="722B75EB" w:rsidR="4EE17AAD">
        <w:rPr>
          <w:rFonts w:ascii="Arial" w:hAnsi="Arial" w:cs="Arial"/>
          <w:sz w:val="28"/>
          <w:szCs w:val="28"/>
        </w:rPr>
        <w:t xml:space="preserve"> </w:t>
      </w:r>
      <w:r w:rsidRPr="722B75EB" w:rsidR="4EE17AAD">
        <w:rPr>
          <w:rFonts w:ascii="Arial" w:hAnsi="Arial" w:cs="Arial"/>
          <w:color w:val="6FAC47"/>
          <w:sz w:val="28"/>
          <w:szCs w:val="28"/>
        </w:rPr>
        <w:t xml:space="preserve">Herodotus </w:t>
      </w:r>
      <w:r w:rsidRPr="722B75EB" w:rsidR="4EE17AAD">
        <w:rPr>
          <w:rFonts w:ascii="Arial" w:hAnsi="Arial" w:cs="Arial"/>
          <w:color w:val="6FAC47"/>
          <w:sz w:val="28"/>
          <w:szCs w:val="28"/>
        </w:rPr>
        <w:t>fails to</w:t>
      </w:r>
      <w:r w:rsidRPr="722B75EB" w:rsidR="4EE17AAD">
        <w:rPr>
          <w:rFonts w:ascii="Arial" w:hAnsi="Arial" w:cs="Arial"/>
          <w:color w:val="6FAC47"/>
          <w:sz w:val="28"/>
          <w:szCs w:val="28"/>
        </w:rPr>
        <w:t xml:space="preserve"> mention other details </w:t>
      </w:r>
      <w:r w:rsidRPr="722B75EB" w:rsidR="5A99C109">
        <w:rPr>
          <w:rFonts w:ascii="Arial" w:hAnsi="Arial" w:cs="Arial"/>
          <w:color w:val="6FAC47"/>
          <w:sz w:val="28"/>
          <w:szCs w:val="28"/>
        </w:rPr>
        <w:t>of</w:t>
      </w:r>
      <w:r w:rsidRPr="722B75EB" w:rsidR="4EE17AAD">
        <w:rPr>
          <w:rFonts w:ascii="Arial" w:hAnsi="Arial" w:cs="Arial"/>
          <w:color w:val="6FAC47"/>
          <w:sz w:val="28"/>
          <w:szCs w:val="28"/>
        </w:rPr>
        <w:t xml:space="preserve"> the Towers of Silence funerary practice, such as _________________, but his source is still </w:t>
      </w:r>
      <w:r w:rsidRPr="722B75EB" w:rsidR="4EE17AAD">
        <w:rPr>
          <w:rFonts w:ascii="Arial" w:hAnsi="Arial" w:cs="Arial"/>
          <w:color w:val="6FAC47"/>
          <w:sz w:val="28"/>
          <w:szCs w:val="28"/>
        </w:rPr>
        <w:t>somewhat trustworthy</w:t>
      </w:r>
      <w:r w:rsidRPr="722B75EB" w:rsidR="4EE17AAD">
        <w:rPr>
          <w:rFonts w:ascii="Arial" w:hAnsi="Arial" w:cs="Arial"/>
          <w:color w:val="6FAC47"/>
          <w:sz w:val="28"/>
          <w:szCs w:val="28"/>
        </w:rPr>
        <w:t>.</w:t>
      </w:r>
      <w:r w:rsidRPr="722B75EB" w:rsidR="4EE17AAD">
        <w:rPr>
          <w:rFonts w:ascii="Arial" w:hAnsi="Arial" w:cs="Arial"/>
          <w:sz w:val="28"/>
          <w:szCs w:val="28"/>
        </w:rPr>
        <w:t xml:space="preserve"> </w:t>
      </w:r>
      <w:r w:rsidRPr="722B75EB" w:rsidR="4EE17AAD">
        <w:rPr>
          <w:rFonts w:ascii="Arial" w:hAnsi="Arial" w:cs="Arial"/>
          <w:sz w:val="28"/>
          <w:szCs w:val="28"/>
        </w:rPr>
        <w:t xml:space="preserve">even though Herodotus was born in Persia, saying, </w:t>
      </w:r>
      <w:r w:rsidRPr="722B75EB" w:rsidR="4EE17AAD">
        <w:rPr>
          <w:rFonts w:ascii="Arial" w:hAnsi="Arial" w:cs="Arial"/>
          <w:i w:val="1"/>
          <w:iCs w:val="1"/>
          <w:sz w:val="28"/>
          <w:szCs w:val="28"/>
        </w:rPr>
        <w:t>“so much I can say of them from my own certain knowledge</w:t>
      </w:r>
      <w:r w:rsidRPr="722B75EB" w:rsidR="5A99C109">
        <w:rPr>
          <w:rFonts w:ascii="Arial" w:hAnsi="Arial" w:cs="Arial"/>
          <w:i w:val="1"/>
          <w:iCs w:val="1"/>
          <w:sz w:val="28"/>
          <w:szCs w:val="28"/>
        </w:rPr>
        <w:t>”.</w:t>
      </w:r>
      <w:r w:rsidRPr="722B75EB" w:rsidR="5A99C109">
        <w:rPr>
          <w:rFonts w:ascii="Arial" w:hAnsi="Arial" w:cs="Arial"/>
          <w:i w:val="1"/>
          <w:iCs w:val="1"/>
          <w:sz w:val="28"/>
          <w:szCs w:val="28"/>
        </w:rPr>
        <w:t xml:space="preserve"> </w:t>
      </w:r>
      <w:r w:rsidRPr="722B75EB" w:rsidR="5A99C109">
        <w:rPr>
          <w:rFonts w:ascii="Arial" w:hAnsi="Arial" w:cs="Arial"/>
          <w:sz w:val="28"/>
          <w:szCs w:val="28"/>
        </w:rPr>
        <w:t>He</w:t>
      </w:r>
      <w:r w:rsidRPr="722B75EB" w:rsidR="4EE17AAD">
        <w:rPr>
          <w:rFonts w:ascii="Arial" w:hAnsi="Arial" w:cs="Arial"/>
          <w:i w:val="1"/>
          <w:iCs w:val="1"/>
          <w:sz w:val="28"/>
          <w:szCs w:val="28"/>
        </w:rPr>
        <w:t xml:space="preserve"> </w:t>
      </w:r>
      <w:r w:rsidRPr="722B75EB" w:rsidR="4EE17AAD">
        <w:rPr>
          <w:rFonts w:ascii="Arial" w:hAnsi="Arial" w:cs="Arial"/>
          <w:sz w:val="28"/>
          <w:szCs w:val="28"/>
        </w:rPr>
        <w:t xml:space="preserve">negatively influences our opinion of Persian’s beliefs, he also informs us about the traditional funerary practices including the use of vultures to clean the bodies of their flesh, and how the Magi’s beliefs differ from the beliefs of other priests in surrounding countries. </w:t>
      </w:r>
    </w:p>
    <w:p w:rsidR="004607DA" w:rsidP="004607DA" w:rsidRDefault="004607DA" w14:paraId="19168F60" w14:textId="11871BC9">
      <w:pPr>
        <w:spacing w:line="360" w:lineRule="auto"/>
        <w:ind w:left="426" w:right="414"/>
        <w:rPr>
          <w:rFonts w:ascii="Arial" w:hAnsi="Arial" w:cs="Arial"/>
          <w:sz w:val="24"/>
          <w:szCs w:val="24"/>
        </w:rPr>
      </w:pPr>
    </w:p>
    <w:p w:rsidR="004607DA" w:rsidP="004607DA" w:rsidRDefault="004607DA" w14:paraId="0741B38F" w14:textId="7E9217A3">
      <w:pPr>
        <w:spacing w:line="360" w:lineRule="auto"/>
        <w:ind w:left="426" w:right="414"/>
        <w:rPr>
          <w:rFonts w:ascii="Arial" w:hAnsi="Arial" w:cs="Arial"/>
          <w:sz w:val="24"/>
          <w:szCs w:val="24"/>
        </w:rPr>
      </w:pPr>
    </w:p>
    <w:p w:rsidR="004607DA" w:rsidP="004607DA" w:rsidRDefault="004607DA" w14:paraId="45A1CC3D" w14:textId="6B251C18">
      <w:pPr>
        <w:spacing w:line="360" w:lineRule="auto"/>
        <w:ind w:left="426" w:right="414"/>
        <w:rPr>
          <w:rFonts w:ascii="Arial" w:hAnsi="Arial" w:cs="Arial"/>
          <w:sz w:val="24"/>
          <w:szCs w:val="24"/>
        </w:rPr>
      </w:pPr>
    </w:p>
    <w:p w:rsidR="004607DA" w:rsidP="004607DA" w:rsidRDefault="004607DA" w14:paraId="09B3C00E" w14:textId="4FDB8BF6">
      <w:pPr>
        <w:spacing w:line="360" w:lineRule="auto"/>
        <w:ind w:left="426" w:right="414"/>
        <w:rPr>
          <w:rFonts w:ascii="Arial" w:hAnsi="Arial" w:cs="Arial"/>
          <w:sz w:val="24"/>
          <w:szCs w:val="24"/>
        </w:rPr>
      </w:pPr>
    </w:p>
    <w:p w:rsidR="004607DA" w:rsidP="004607DA" w:rsidRDefault="004607DA" w14:paraId="34954305" w14:textId="5D38EACF">
      <w:pPr>
        <w:spacing w:line="360" w:lineRule="auto"/>
        <w:ind w:left="426" w:right="414"/>
        <w:rPr>
          <w:rFonts w:ascii="Arial" w:hAnsi="Arial" w:cs="Arial"/>
          <w:sz w:val="24"/>
          <w:szCs w:val="24"/>
        </w:rPr>
      </w:pPr>
    </w:p>
    <w:p w:rsidR="004607DA" w:rsidP="004607DA" w:rsidRDefault="004607DA" w14:paraId="6B94F8CA" w14:textId="4D19454F">
      <w:pPr>
        <w:spacing w:line="360" w:lineRule="auto"/>
        <w:ind w:left="426" w:right="414"/>
        <w:rPr>
          <w:rFonts w:ascii="Arial" w:hAnsi="Arial" w:cs="Arial"/>
          <w:sz w:val="24"/>
          <w:szCs w:val="24"/>
        </w:rPr>
      </w:pPr>
    </w:p>
    <w:p w:rsidR="004607DA" w:rsidP="004607DA" w:rsidRDefault="004607DA" w14:paraId="5D84BF24" w14:textId="48A5A0F1">
      <w:pPr>
        <w:spacing w:line="360" w:lineRule="auto"/>
        <w:ind w:left="426" w:right="414"/>
        <w:rPr>
          <w:rFonts w:ascii="Arial" w:hAnsi="Arial" w:cs="Arial"/>
          <w:sz w:val="24"/>
          <w:szCs w:val="24"/>
        </w:rPr>
      </w:pPr>
    </w:p>
    <w:p w:rsidR="004607DA" w:rsidP="004607DA" w:rsidRDefault="004607DA" w14:paraId="151C27BA" w14:textId="742CCCCE">
      <w:pPr>
        <w:spacing w:line="360" w:lineRule="auto"/>
        <w:ind w:left="426" w:right="414"/>
        <w:rPr>
          <w:rFonts w:ascii="Arial" w:hAnsi="Arial" w:cs="Arial"/>
          <w:sz w:val="24"/>
          <w:szCs w:val="24"/>
        </w:rPr>
      </w:pPr>
    </w:p>
    <w:p w:rsidR="004607DA" w:rsidP="004607DA" w:rsidRDefault="004607DA" w14:paraId="75B9EA8D" w14:textId="78681CD4">
      <w:pPr>
        <w:spacing w:line="360" w:lineRule="auto"/>
        <w:ind w:left="426" w:right="414"/>
        <w:rPr>
          <w:rFonts w:ascii="Arial" w:hAnsi="Arial" w:cs="Arial"/>
          <w:sz w:val="24"/>
          <w:szCs w:val="24"/>
        </w:rPr>
      </w:pPr>
    </w:p>
    <w:p w:rsidR="004607DA" w:rsidP="004607DA" w:rsidRDefault="004607DA" w14:paraId="4D26E9BA" w14:textId="68E15005">
      <w:pPr>
        <w:spacing w:line="360" w:lineRule="auto"/>
        <w:ind w:left="426" w:right="414"/>
        <w:rPr>
          <w:rFonts w:ascii="Arial" w:hAnsi="Arial" w:cs="Arial"/>
          <w:sz w:val="24"/>
          <w:szCs w:val="24"/>
        </w:rPr>
      </w:pPr>
    </w:p>
    <w:p w:rsidR="004607DA" w:rsidP="004607DA" w:rsidRDefault="004607DA" w14:paraId="26C7CCA6" w14:textId="5A02C74F">
      <w:pPr>
        <w:spacing w:line="360" w:lineRule="auto"/>
        <w:ind w:left="426" w:right="414"/>
        <w:rPr>
          <w:rFonts w:ascii="Arial" w:hAnsi="Arial" w:cs="Arial"/>
          <w:sz w:val="24"/>
          <w:szCs w:val="24"/>
        </w:rPr>
      </w:pPr>
    </w:p>
    <w:p w:rsidR="004607DA" w:rsidP="004607DA" w:rsidRDefault="004607DA" w14:paraId="37A4F4B8" w14:textId="7777F19F">
      <w:pPr>
        <w:spacing w:line="360" w:lineRule="auto"/>
        <w:ind w:left="426" w:right="414"/>
        <w:rPr>
          <w:rFonts w:ascii="Arial" w:hAnsi="Arial" w:cs="Arial"/>
          <w:sz w:val="24"/>
          <w:szCs w:val="24"/>
        </w:rPr>
      </w:pPr>
    </w:p>
    <w:p w:rsidR="004607DA" w:rsidP="004607DA" w:rsidRDefault="004607DA" w14:paraId="7F014A2C" w14:textId="18496768">
      <w:pPr>
        <w:spacing w:line="360" w:lineRule="auto"/>
        <w:ind w:left="426" w:right="414"/>
        <w:rPr>
          <w:rFonts w:ascii="Arial" w:hAnsi="Arial" w:cs="Arial"/>
          <w:sz w:val="24"/>
          <w:szCs w:val="24"/>
        </w:rPr>
      </w:pPr>
    </w:p>
    <w:p w:rsidR="004607DA" w:rsidP="004607DA" w:rsidRDefault="004607DA" w14:paraId="3A4DA1DC" w14:textId="38A502BD">
      <w:pPr>
        <w:spacing w:line="360" w:lineRule="auto"/>
        <w:ind w:left="426" w:right="414"/>
        <w:rPr>
          <w:rFonts w:ascii="Arial" w:hAnsi="Arial" w:cs="Arial"/>
          <w:sz w:val="24"/>
          <w:szCs w:val="24"/>
        </w:rPr>
      </w:pPr>
    </w:p>
    <w:p w:rsidR="004607DA" w:rsidP="004607DA" w:rsidRDefault="004607DA" w14:paraId="7BEAB46D" w14:textId="726E3E89">
      <w:pPr>
        <w:spacing w:line="360" w:lineRule="auto"/>
        <w:ind w:left="426" w:right="414"/>
        <w:rPr>
          <w:rFonts w:ascii="Arial" w:hAnsi="Arial" w:cs="Arial"/>
          <w:sz w:val="24"/>
          <w:szCs w:val="24"/>
        </w:rPr>
      </w:pPr>
    </w:p>
    <w:p w:rsidR="004607DA" w:rsidP="004607DA" w:rsidRDefault="004607DA" w14:paraId="2AEADE42" w14:textId="0F5D6205">
      <w:pPr>
        <w:spacing w:line="360" w:lineRule="auto"/>
        <w:ind w:left="426" w:right="414"/>
        <w:rPr>
          <w:rFonts w:ascii="Arial" w:hAnsi="Arial" w:cs="Arial"/>
          <w:sz w:val="24"/>
          <w:szCs w:val="24"/>
        </w:rPr>
      </w:pPr>
    </w:p>
    <w:p w:rsidR="004607DA" w:rsidP="004607DA" w:rsidRDefault="004607DA" w14:paraId="0C861DB4" w14:textId="102E4B99">
      <w:pPr>
        <w:spacing w:line="360" w:lineRule="auto"/>
        <w:ind w:left="426" w:right="414"/>
        <w:rPr>
          <w:rFonts w:ascii="Arial" w:hAnsi="Arial" w:cs="Arial"/>
          <w:sz w:val="24"/>
          <w:szCs w:val="24"/>
        </w:rPr>
      </w:pPr>
    </w:p>
    <w:p w:rsidRPr="004607DA" w:rsidR="004607DA" w:rsidP="004607DA" w:rsidRDefault="004607DA" w14:paraId="5B16F1D0" w14:textId="77777777">
      <w:pPr>
        <w:spacing w:line="360" w:lineRule="auto"/>
        <w:ind w:left="426" w:right="414"/>
        <w:rPr>
          <w:rFonts w:ascii="Arial" w:hAnsi="Arial" w:cs="Arial"/>
          <w:sz w:val="24"/>
          <w:szCs w:val="24"/>
        </w:rPr>
      </w:pPr>
    </w:p>
    <w:sectPr w:rsidRPr="004607DA" w:rsidR="004607DA" w:rsidSect="004607DA">
      <w:pgSz w:w="11906" w:h="16838" w:orient="portrait"/>
      <w:pgMar w:top="568" w:right="424"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41B8" w:rsidP="003B0574" w:rsidRDefault="005441B8" w14:paraId="2A3EE2F8" w14:textId="77777777">
      <w:pPr>
        <w:spacing w:after="0" w:line="240" w:lineRule="auto"/>
      </w:pPr>
      <w:r>
        <w:separator/>
      </w:r>
    </w:p>
  </w:endnote>
  <w:endnote w:type="continuationSeparator" w:id="0">
    <w:p w:rsidR="005441B8" w:rsidP="003B0574" w:rsidRDefault="005441B8" w14:paraId="1E49740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41B8" w:rsidP="003B0574" w:rsidRDefault="005441B8" w14:paraId="77F7EE1D" w14:textId="77777777">
      <w:pPr>
        <w:spacing w:after="0" w:line="240" w:lineRule="auto"/>
      </w:pPr>
      <w:r>
        <w:separator/>
      </w:r>
    </w:p>
  </w:footnote>
  <w:footnote w:type="continuationSeparator" w:id="0">
    <w:p w:rsidR="005441B8" w:rsidP="003B0574" w:rsidRDefault="005441B8" w14:paraId="4EACFF73"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BBC"/>
    <w:rsid w:val="00101C7E"/>
    <w:rsid w:val="003B0574"/>
    <w:rsid w:val="004607DA"/>
    <w:rsid w:val="004D0BBC"/>
    <w:rsid w:val="00537639"/>
    <w:rsid w:val="005441B8"/>
    <w:rsid w:val="006A32A4"/>
    <w:rsid w:val="007121B3"/>
    <w:rsid w:val="008468EE"/>
    <w:rsid w:val="008E3C52"/>
    <w:rsid w:val="00B759A6"/>
    <w:rsid w:val="00BF553A"/>
    <w:rsid w:val="00E16EA2"/>
    <w:rsid w:val="02506494"/>
    <w:rsid w:val="0412D749"/>
    <w:rsid w:val="06D6F9F7"/>
    <w:rsid w:val="0A665191"/>
    <w:rsid w:val="0C120122"/>
    <w:rsid w:val="115ED85D"/>
    <w:rsid w:val="15E256DC"/>
    <w:rsid w:val="1B2B838F"/>
    <w:rsid w:val="1B58F4E7"/>
    <w:rsid w:val="287D8DAE"/>
    <w:rsid w:val="2A339323"/>
    <w:rsid w:val="2BA488FE"/>
    <w:rsid w:val="33622E58"/>
    <w:rsid w:val="4017F05D"/>
    <w:rsid w:val="41CD35C3"/>
    <w:rsid w:val="46597547"/>
    <w:rsid w:val="47A9D651"/>
    <w:rsid w:val="4B53863A"/>
    <w:rsid w:val="4EE17AAD"/>
    <w:rsid w:val="588301FE"/>
    <w:rsid w:val="5A99C109"/>
    <w:rsid w:val="5D648CC8"/>
    <w:rsid w:val="611AE0B9"/>
    <w:rsid w:val="6ED7B3B5"/>
    <w:rsid w:val="722B75EB"/>
    <w:rsid w:val="76AAD216"/>
    <w:rsid w:val="774FB26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8EAD4"/>
  <w15:chartTrackingRefBased/>
  <w15:docId w15:val="{F91D3C43-E693-4D10-9AD0-D8BEF43DB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D0BBC"/>
    <w:rPr>
      <w:rFonts w:eastAsiaTheme="minorHAnsi"/>
      <w:lang w:eastAsia="en-US"/>
    </w:rPr>
  </w:style>
  <w:style w:type="paragraph" w:styleId="Heading1">
    <w:name w:val="heading 1"/>
    <w:basedOn w:val="Normal"/>
    <w:next w:val="Normal"/>
    <w:link w:val="Heading1Char"/>
    <w:uiPriority w:val="9"/>
    <w:qFormat/>
    <w:rsid w:val="003B057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4D0BBC"/>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4D0BBC"/>
    <w:rPr>
      <w:color w:val="0000FF"/>
      <w:u w:val="single"/>
    </w:rPr>
  </w:style>
  <w:style w:type="character" w:styleId="CommentReference">
    <w:name w:val="annotation reference"/>
    <w:basedOn w:val="DefaultParagraphFont"/>
    <w:uiPriority w:val="99"/>
    <w:semiHidden/>
    <w:unhideWhenUsed/>
    <w:rsid w:val="004D0BBC"/>
    <w:rPr>
      <w:sz w:val="16"/>
      <w:szCs w:val="16"/>
    </w:rPr>
  </w:style>
  <w:style w:type="paragraph" w:styleId="CommentText">
    <w:name w:val="annotation text"/>
    <w:basedOn w:val="Normal"/>
    <w:link w:val="CommentTextChar"/>
    <w:uiPriority w:val="99"/>
    <w:semiHidden/>
    <w:unhideWhenUsed/>
    <w:rsid w:val="004D0BBC"/>
    <w:pPr>
      <w:spacing w:line="240" w:lineRule="auto"/>
    </w:pPr>
    <w:rPr>
      <w:sz w:val="20"/>
      <w:szCs w:val="20"/>
    </w:rPr>
  </w:style>
  <w:style w:type="character" w:styleId="CommentTextChar" w:customStyle="1">
    <w:name w:val="Comment Text Char"/>
    <w:basedOn w:val="DefaultParagraphFont"/>
    <w:link w:val="CommentText"/>
    <w:uiPriority w:val="99"/>
    <w:semiHidden/>
    <w:rsid w:val="004D0BBC"/>
    <w:rPr>
      <w:rFonts w:eastAsiaTheme="minorHAnsi"/>
      <w:sz w:val="20"/>
      <w:szCs w:val="20"/>
      <w:lang w:eastAsia="en-US"/>
    </w:rPr>
  </w:style>
  <w:style w:type="paragraph" w:styleId="BalloonText">
    <w:name w:val="Balloon Text"/>
    <w:basedOn w:val="Normal"/>
    <w:link w:val="BalloonTextChar"/>
    <w:uiPriority w:val="99"/>
    <w:semiHidden/>
    <w:unhideWhenUsed/>
    <w:rsid w:val="004D0BBC"/>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D0BBC"/>
    <w:rPr>
      <w:rFonts w:ascii="Segoe UI" w:hAnsi="Segoe UI" w:cs="Segoe UI" w:eastAsiaTheme="minorHAnsi"/>
      <w:sz w:val="18"/>
      <w:szCs w:val="18"/>
      <w:lang w:eastAsia="en-US"/>
    </w:rPr>
  </w:style>
  <w:style w:type="character" w:styleId="UnresolvedMention">
    <w:name w:val="Unresolved Mention"/>
    <w:basedOn w:val="DefaultParagraphFont"/>
    <w:uiPriority w:val="99"/>
    <w:semiHidden/>
    <w:unhideWhenUsed/>
    <w:rsid w:val="004D0BBC"/>
    <w:rPr>
      <w:color w:val="605E5C"/>
      <w:shd w:val="clear" w:color="auto" w:fill="E1DFDD"/>
    </w:rPr>
  </w:style>
  <w:style w:type="character" w:styleId="Heading1Char" w:customStyle="1">
    <w:name w:val="Heading 1 Char"/>
    <w:basedOn w:val="DefaultParagraphFont"/>
    <w:link w:val="Heading1"/>
    <w:uiPriority w:val="9"/>
    <w:rsid w:val="003B0574"/>
    <w:rPr>
      <w:rFonts w:asciiTheme="majorHAnsi" w:hAnsiTheme="majorHAnsi" w:eastAsiaTheme="majorEastAsia"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3B0574"/>
    <w:pPr>
      <w:outlineLvl w:val="9"/>
    </w:pPr>
    <w:rPr>
      <w:lang w:val="en-US"/>
    </w:rPr>
  </w:style>
  <w:style w:type="paragraph" w:styleId="Header">
    <w:name w:val="header"/>
    <w:basedOn w:val="Normal"/>
    <w:link w:val="HeaderChar"/>
    <w:uiPriority w:val="99"/>
    <w:unhideWhenUsed/>
    <w:rsid w:val="003B0574"/>
    <w:pPr>
      <w:tabs>
        <w:tab w:val="center" w:pos="4513"/>
        <w:tab w:val="right" w:pos="9026"/>
      </w:tabs>
      <w:spacing w:after="0" w:line="240" w:lineRule="auto"/>
    </w:pPr>
  </w:style>
  <w:style w:type="character" w:styleId="HeaderChar" w:customStyle="1">
    <w:name w:val="Header Char"/>
    <w:basedOn w:val="DefaultParagraphFont"/>
    <w:link w:val="Header"/>
    <w:uiPriority w:val="99"/>
    <w:rsid w:val="003B0574"/>
    <w:rPr>
      <w:rFonts w:eastAsiaTheme="minorHAnsi"/>
      <w:lang w:eastAsia="en-US"/>
    </w:rPr>
  </w:style>
  <w:style w:type="paragraph" w:styleId="Footer">
    <w:name w:val="footer"/>
    <w:basedOn w:val="Normal"/>
    <w:link w:val="FooterChar"/>
    <w:uiPriority w:val="99"/>
    <w:unhideWhenUsed/>
    <w:rsid w:val="003B0574"/>
    <w:pPr>
      <w:tabs>
        <w:tab w:val="center" w:pos="4513"/>
        <w:tab w:val="right" w:pos="9026"/>
      </w:tabs>
      <w:spacing w:after="0" w:line="240" w:lineRule="auto"/>
    </w:pPr>
  </w:style>
  <w:style w:type="character" w:styleId="FooterChar" w:customStyle="1">
    <w:name w:val="Footer Char"/>
    <w:basedOn w:val="DefaultParagraphFont"/>
    <w:link w:val="Footer"/>
    <w:uiPriority w:val="99"/>
    <w:rsid w:val="003B0574"/>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KUSKOPF, Melanie (mkusk2)</dc:creator>
  <keywords/>
  <dc:description/>
  <lastModifiedBy>TOMES, Eden (etome3)</lastModifiedBy>
  <revision>10</revision>
  <lastPrinted>2025-03-24T01:00:00.0000000Z</lastPrinted>
  <dcterms:created xsi:type="dcterms:W3CDTF">2022-05-15T05:28:00.0000000Z</dcterms:created>
  <dcterms:modified xsi:type="dcterms:W3CDTF">2025-03-28T04:48:51.2188666Z</dcterms:modified>
</coreProperties>
</file>