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02ED" w14:textId="14366BF2" w:rsidR="2A5B7158" w:rsidRDefault="65E4A324" w:rsidP="424D9DAA">
      <w:pPr>
        <w:pStyle w:val="Title"/>
      </w:pPr>
      <w:r>
        <w:t xml:space="preserve">Combustion </w:t>
      </w:r>
      <w:r w:rsidR="2A5B7158">
        <w:t>Enthalpy Experiment – Eden Tomes</w:t>
      </w:r>
    </w:p>
    <w:p w14:paraId="02255E7A" w14:textId="0B34C50A" w:rsidR="4435CBA5" w:rsidRDefault="4435CBA5" w:rsidP="4D37911B">
      <w:pPr>
        <w:pStyle w:val="Heading1"/>
      </w:pPr>
      <w:r>
        <w:t>Research Question:</w:t>
      </w:r>
    </w:p>
    <w:p w14:paraId="77239217" w14:textId="2228BD32" w:rsidR="4435CBA5" w:rsidRDefault="4435CBA5" w:rsidP="4D37911B">
      <w:pPr>
        <w:rPr>
          <w:i/>
          <w:iCs/>
        </w:rPr>
      </w:pPr>
      <w:r w:rsidRPr="4D37911B">
        <w:rPr>
          <w:i/>
          <w:iCs/>
        </w:rPr>
        <w:t xml:space="preserve">How does the number of carbon atoms present </w:t>
      </w:r>
      <w:commentRangeStart w:id="0"/>
      <w:r w:rsidRPr="4D37911B">
        <w:rPr>
          <w:i/>
          <w:iCs/>
        </w:rPr>
        <w:t xml:space="preserve">in a chemical compound </w:t>
      </w:r>
      <w:commentRangeEnd w:id="0"/>
      <w:r w:rsidR="00D91A46">
        <w:rPr>
          <w:rStyle w:val="CommentReference"/>
        </w:rPr>
        <w:commentReference w:id="0"/>
      </w:r>
      <w:r w:rsidRPr="4D37911B">
        <w:rPr>
          <w:i/>
          <w:iCs/>
        </w:rPr>
        <w:t>affect the enthalpy of combustion?</w:t>
      </w:r>
    </w:p>
    <w:p w14:paraId="2C078E63" w14:textId="59A737CD" w:rsidR="00D939B0" w:rsidRDefault="77546ECB" w:rsidP="4D37911B">
      <w:pPr>
        <w:pStyle w:val="Heading1"/>
      </w:pPr>
      <w:commentRangeStart w:id="1"/>
      <w:r>
        <w:t>Rationale:</w:t>
      </w:r>
      <w:commentRangeEnd w:id="1"/>
      <w:r w:rsidR="00196291">
        <w:rPr>
          <w:rStyle w:val="CommentReference"/>
          <w:b w:val="0"/>
          <w:bCs w:val="0"/>
          <w:u w:val="none"/>
        </w:rPr>
        <w:commentReference w:id="1"/>
      </w:r>
    </w:p>
    <w:p w14:paraId="76EA847A" w14:textId="5CF96FFF" w:rsidR="7AE4281E" w:rsidRDefault="7AE4281E" w:rsidP="64F0A789">
      <w:r>
        <w:t xml:space="preserve">Combustion reactions, </w:t>
      </w:r>
      <w:r w:rsidR="42C41486">
        <w:t>which involve the exothermic oxidation of fuels, are essential for energy production in industries, transportation, and everyday applications. The enthalpy of combustion</w:t>
      </w:r>
      <w:r w:rsidR="167489D5">
        <w:t xml:space="preserve"> (</w:t>
      </w:r>
      <m:oMath>
        <m:r>
          <w:rPr>
            <w:rFonts w:ascii="Cambria Math" w:hAnsi="Cambria Math"/>
          </w:rPr>
          <m:t>∆H°C </m:t>
        </m:r>
      </m:oMath>
      <w:r w:rsidR="7AF8BF8C">
        <w:t>), defined as the energy released per mole of a substance during complete combustion</w:t>
      </w:r>
      <w:r w:rsidR="763EB1DA">
        <w:t>, is an important parameter for evaluating fuel efficiency and environmental impact (</w:t>
      </w:r>
      <w:r w:rsidR="763EB1DA" w:rsidRPr="69624C91">
        <w:rPr>
          <w:i/>
          <w:iCs/>
        </w:rPr>
        <w:t xml:space="preserve">Atkins &amp; </w:t>
      </w:r>
      <w:r w:rsidR="016A2A64" w:rsidRPr="69624C91">
        <w:rPr>
          <w:i/>
          <w:iCs/>
        </w:rPr>
        <w:t>de Paula</w:t>
      </w:r>
      <w:r w:rsidR="016A2A64">
        <w:t xml:space="preserve">, 2010). </w:t>
      </w:r>
      <w:r w:rsidR="3A5F6202">
        <w:t>Carbon, a primary component of hydrocarbons and organic fuels, plays a key role because its oxidation to carbon dioxide releases significant heat (</w:t>
      </w:r>
      <w:r w:rsidR="3A5F6202" w:rsidRPr="69624C91">
        <w:rPr>
          <w:i/>
          <w:iCs/>
        </w:rPr>
        <w:t xml:space="preserve">Glassman &amp; </w:t>
      </w:r>
      <w:proofErr w:type="spellStart"/>
      <w:r w:rsidR="3A5F6202" w:rsidRPr="69624C91">
        <w:rPr>
          <w:i/>
          <w:iCs/>
        </w:rPr>
        <w:t>Yetter</w:t>
      </w:r>
      <w:proofErr w:type="spellEnd"/>
      <w:r w:rsidR="3A5F6202">
        <w:t>, 2008).</w:t>
      </w:r>
      <w:r w:rsidR="42AFCFCF">
        <w:t xml:space="preserve"> While much research has focused on pure fuels, </w:t>
      </w:r>
      <w:commentRangeStart w:id="2"/>
      <w:r w:rsidR="42AFCFCF">
        <w:t xml:space="preserve">there is a gap in our understanding of how variations in carbon </w:t>
      </w:r>
      <w:r w:rsidR="56B607D7">
        <w:t>amounts</w:t>
      </w:r>
      <w:r w:rsidR="42AFCFCF">
        <w:t xml:space="preserve"> within different alcohols influence combustion energetics.</w:t>
      </w:r>
      <w:commentRangeEnd w:id="2"/>
      <w:r w:rsidR="00355189">
        <w:rPr>
          <w:rStyle w:val="CommentReference"/>
        </w:rPr>
        <w:commentReference w:id="2"/>
      </w:r>
    </w:p>
    <w:p w14:paraId="6AB2654A" w14:textId="02A36C62" w:rsidR="47910E2B" w:rsidRDefault="50549709">
      <w:r>
        <w:t xml:space="preserve">This experiment is the product of several modifications made to </w:t>
      </w:r>
      <w:r w:rsidR="1B28BFBF">
        <w:t>a</w:t>
      </w:r>
      <w:r>
        <w:t xml:space="preserve"> base experiment</w:t>
      </w:r>
      <w:r w:rsidR="56BA1E95">
        <w:t xml:space="preserve"> that involved investigating the enthalpy of combustion for different foods</w:t>
      </w:r>
      <w:r>
        <w:t xml:space="preserve">, including alteration of the substances tested and the use of a more reliable experimental method (the addition of a heat shield, conducting multiple trials). </w:t>
      </w:r>
      <w:r w:rsidR="61487FA7">
        <w:t>This modified</w:t>
      </w:r>
      <w:r w:rsidR="47910E2B">
        <w:t xml:space="preserve"> experiment investigates the enthalpy of combustion for a series of alcohols: </w:t>
      </w:r>
      <w:r w:rsidR="719159D6">
        <w:t>ethanol, pentanol, and methanol</w:t>
      </w:r>
      <w:r w:rsidR="58A7F4FF">
        <w:t xml:space="preserve">, using calorimetry measurements. The study is designed to show the effect of varying carbon </w:t>
      </w:r>
      <w:r w:rsidR="0CD18902">
        <w:t>amounts</w:t>
      </w:r>
      <w:r w:rsidR="58A7F4FF">
        <w:t xml:space="preserve"> on the energy released during </w:t>
      </w:r>
      <w:r w:rsidR="1211DBF2">
        <w:t>combustion.</w:t>
      </w:r>
      <w:r w:rsidR="60F8277F">
        <w:t xml:space="preserve"> These modifications enhance the effectiveness of the experiment in testing the new research question.</w:t>
      </w:r>
    </w:p>
    <w:p w14:paraId="52943B46" w14:textId="16751232" w:rsidR="5E465033" w:rsidRDefault="5E465033">
      <w:commentRangeStart w:id="3"/>
      <w:r>
        <w:t xml:space="preserve">Understanding how carbon </w:t>
      </w:r>
      <w:r w:rsidR="7FC8645A">
        <w:t xml:space="preserve">molecules </w:t>
      </w:r>
      <w:r>
        <w:t xml:space="preserve">affect </w:t>
      </w:r>
      <w:r w:rsidR="64E72F1A">
        <w:t>a chemical’s</w:t>
      </w:r>
      <w:r>
        <w:t xml:space="preserve"> enthalpy of combustion has implications for the formulation and optimization o</w:t>
      </w:r>
      <w:r w:rsidR="3CA4B778">
        <w:t>f fuels. Insights into combustion can help areas such as biofuel production and energy systems</w:t>
      </w:r>
      <w:r w:rsidR="7A25BA6E">
        <w:t>, where balancing energy density, cost, and emissions is important (</w:t>
      </w:r>
      <w:r w:rsidR="7A25BA6E" w:rsidRPr="319C3D83">
        <w:rPr>
          <w:i/>
          <w:iCs/>
        </w:rPr>
        <w:t>IEA</w:t>
      </w:r>
      <w:r w:rsidR="7A25BA6E">
        <w:t xml:space="preserve">, 2021). </w:t>
      </w:r>
      <w:r w:rsidR="47634AA6">
        <w:t xml:space="preserve">In addition, the experimental data will contribute to the broader field of thermochemistry by providing evidence that can help </w:t>
      </w:r>
      <w:r w:rsidR="538012ED">
        <w:t>with predictive models in combustion science.</w:t>
      </w:r>
      <w:commentRangeEnd w:id="3"/>
      <w:r w:rsidR="00196291">
        <w:rPr>
          <w:rStyle w:val="CommentReference"/>
        </w:rPr>
        <w:commentReference w:id="3"/>
      </w:r>
    </w:p>
    <w:p w14:paraId="2FA6E758" w14:textId="6E8373B1" w:rsidR="319C3D83" w:rsidRDefault="319C3D83">
      <w:r>
        <w:br w:type="page"/>
      </w:r>
    </w:p>
    <w:p w14:paraId="5C867F3F" w14:textId="3D67F159" w:rsidR="097DED6A" w:rsidRDefault="097DED6A" w:rsidP="4D37911B">
      <w:pPr>
        <w:pStyle w:val="Heading1"/>
      </w:pPr>
      <w:r>
        <w:lastRenderedPageBreak/>
        <w:t>Method:</w:t>
      </w:r>
    </w:p>
    <w:p w14:paraId="0C1DC6C0" w14:textId="247C9B44" w:rsidR="097DED6A" w:rsidRDefault="0E1DB024" w:rsidP="1B9ADFC8">
      <w:pPr>
        <w:spacing w:before="120"/>
        <w:rPr>
          <w:b/>
          <w:bCs/>
          <w:i/>
          <w:iCs/>
        </w:rPr>
      </w:pPr>
      <w:r w:rsidRPr="1B9ADFC8">
        <w:rPr>
          <w:b/>
          <w:bCs/>
          <w:i/>
          <w:iCs/>
        </w:rPr>
        <w:t>Original Experiment</w:t>
      </w:r>
    </w:p>
    <w:p w14:paraId="03126A7B" w14:textId="2A60E82D" w:rsidR="097DED6A" w:rsidRDefault="36BA5F5A" w:rsidP="72399ADB">
      <w:r w:rsidRPr="72399ADB">
        <w:t>The original experiment aimed to determine the enthalpy of combustion of solid food samples using a simple calorimetry setup. A test tube clamped above a food tray held 10 mL of water, measured via a glass thermometer and 10 mL measuring cylinder. The initial water temperature was recorded, and the pre-weighed food (e.g., nuts, crisps) was ignited using a Bunsen burner. Once aflame, the food was positioned 2 cm beneath the test tube, and the temperature change was monitored. After combustion ceased, the final water temperature was recorded, and the mass of the burned food was measured. Observations of flame color and soot deposition were noted. The heat absorbed by the water</w:t>
      </w:r>
      <w:r w:rsidR="11E65C04" w:rsidRPr="72399ADB">
        <w:t xml:space="preserve"> </w:t>
      </w:r>
      <w:r w:rsidR="097DED6A">
        <w:br/>
      </w:r>
      <w:r w:rsidRPr="72399ADB">
        <w:t>(</w:t>
      </w:r>
      <w:r w:rsidR="681E93C6">
        <w:rPr>
          <w:noProof/>
        </w:rPr>
        <w:drawing>
          <wp:inline distT="0" distB="0" distL="0" distR="0" wp14:anchorId="69AD1780" wp14:editId="19AC1B70">
            <wp:extent cx="916658" cy="182880"/>
            <wp:effectExtent l="0" t="0" r="0" b="0"/>
            <wp:docPr id="930071907" name="Picture 93007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6658" cy="182880"/>
                    </a:xfrm>
                    <a:prstGeom prst="rect">
                      <a:avLst/>
                    </a:prstGeom>
                  </pic:spPr>
                </pic:pic>
              </a:graphicData>
            </a:graphic>
          </wp:inline>
        </w:drawing>
      </w:r>
      <w:r w:rsidRPr="72399ADB">
        <w:t xml:space="preserve">) was calculated, and the enthalpy of combustion per gram of food was </w:t>
      </w:r>
      <w:commentRangeStart w:id="4"/>
      <w:r w:rsidRPr="72399ADB">
        <w:t>derived</w:t>
      </w:r>
      <w:commentRangeEnd w:id="4"/>
      <w:r w:rsidR="004F73D1">
        <w:rPr>
          <w:rStyle w:val="CommentReference"/>
        </w:rPr>
        <w:commentReference w:id="4"/>
      </w:r>
      <w:r w:rsidRPr="72399ADB">
        <w:t>. Only one trial per food type was conducted, and no heat shield was used, leading to potential heat loss.</w:t>
      </w:r>
    </w:p>
    <w:p w14:paraId="5FBD27F0" w14:textId="55A7EEB8" w:rsidR="3F9DF769" w:rsidRDefault="3F9DF769" w:rsidP="72399ADB">
      <w:pPr>
        <w:pStyle w:val="Heading2"/>
        <w:rPr>
          <w:b w:val="0"/>
          <w:bCs w:val="0"/>
          <w:i w:val="0"/>
          <w:iCs w:val="0"/>
        </w:rPr>
      </w:pPr>
      <w:r>
        <w:t>Modifications</w:t>
      </w:r>
    </w:p>
    <w:p w14:paraId="39C9F7EB" w14:textId="726256B8" w:rsidR="3F9DF769" w:rsidRDefault="3F9DF769" w:rsidP="72399ADB">
      <w:r w:rsidRPr="72399ADB">
        <w:t xml:space="preserve">The modified experiment replaced solid foods with liquid alcohols (ethanol, pentanol, methanol) and incorporated enhancements to improve accuracy. A heat shield surrounded the setup to minimize heat loss, a digital thermometer replaced the glass one for precise temperature readings, and each alcohol was tested in three trials to ensure </w:t>
      </w:r>
      <w:commentRangeStart w:id="5"/>
      <w:r w:rsidRPr="72399ADB">
        <w:t>reliability.</w:t>
      </w:r>
      <w:commentRangeEnd w:id="5"/>
      <w:r w:rsidR="004F73D1">
        <w:rPr>
          <w:rStyle w:val="CommentReference"/>
        </w:rPr>
        <w:commentReference w:id="5"/>
      </w:r>
    </w:p>
    <w:p w14:paraId="4F0B531C" w14:textId="60F2DADB" w:rsidR="097DED6A" w:rsidRDefault="121D6242" w:rsidP="1B9ADFC8">
      <w:pPr>
        <w:spacing w:before="120"/>
        <w:rPr>
          <w:b/>
          <w:bCs/>
          <w:i/>
          <w:iCs/>
        </w:rPr>
      </w:pPr>
      <w:r w:rsidRPr="1B9ADFC8">
        <w:rPr>
          <w:b/>
          <w:bCs/>
          <w:i/>
          <w:iCs/>
        </w:rPr>
        <w:t>Modified Experiment</w:t>
      </w:r>
    </w:p>
    <w:p w14:paraId="0DBD2260" w14:textId="19A898F8" w:rsidR="097DED6A" w:rsidRDefault="05072D18" w:rsidP="72399ADB">
      <w:r w:rsidRPr="72399ADB">
        <w:t xml:space="preserve">The </w:t>
      </w:r>
      <w:r w:rsidR="4E443873" w:rsidRPr="72399ADB">
        <w:t xml:space="preserve">experiment </w:t>
      </w:r>
      <w:r w:rsidRPr="72399ADB">
        <w:t>setup used a spirit burner containing the alcohol, with initial and final masses recorded to determine</w:t>
      </w:r>
      <w:r w:rsidR="25F6AC6A" w:rsidRPr="72399ADB">
        <w:t xml:space="preserve"> the amount of</w:t>
      </w:r>
      <w:r w:rsidRPr="72399ADB">
        <w:t xml:space="preserve"> fuel consumed. For each trial, </w:t>
      </w:r>
      <w:r w:rsidR="608F0494" w:rsidRPr="72399ADB">
        <w:t>approximately 200</w:t>
      </w:r>
      <w:r w:rsidRPr="72399ADB">
        <w:t xml:space="preserve"> </w:t>
      </w:r>
      <w:r w:rsidR="7921E10C" w:rsidRPr="72399ADB">
        <w:t>grams</w:t>
      </w:r>
      <w:r w:rsidRPr="72399ADB">
        <w:t xml:space="preserve"> of water was</w:t>
      </w:r>
      <w:r w:rsidR="02924439" w:rsidRPr="72399ADB">
        <w:t xml:space="preserve"> measured in a beaker and then</w:t>
      </w:r>
      <w:r w:rsidRPr="72399ADB">
        <w:t xml:space="preserve"> heated in a </w:t>
      </w:r>
      <w:r w:rsidR="6D4E3341" w:rsidRPr="72399ADB">
        <w:t>metal can</w:t>
      </w:r>
      <w:r w:rsidRPr="72399ADB">
        <w:t xml:space="preserve"> clamped above the burner. After ignition, the flame heated the water until </w:t>
      </w:r>
      <w:r w:rsidR="74E0967D" w:rsidRPr="72399ADB">
        <w:t xml:space="preserve">its temperature had risen by a certain amount (20 degrees for ethanol and pentanol, 10 degrees for </w:t>
      </w:r>
      <w:r w:rsidR="58ADD68F" w:rsidRPr="72399ADB">
        <w:t>methanol)</w:t>
      </w:r>
      <w:r w:rsidRPr="72399ADB">
        <w:t>. Temperature changes were recorded digitally, and the enthalpy of combustion (</w:t>
      </w:r>
      <m:oMath>
        <m:r>
          <w:rPr>
            <w:rFonts w:ascii="Cambria Math" w:hAnsi="Cambria Math"/>
          </w:rPr>
          <m:t>∆H°C </m:t>
        </m:r>
      </m:oMath>
      <w:r w:rsidRPr="72399ADB">
        <w:t xml:space="preserve">) was calculated per </w:t>
      </w:r>
      <w:r w:rsidR="0418C8E4" w:rsidRPr="72399ADB">
        <w:t xml:space="preserve">gram </w:t>
      </w:r>
      <w:r w:rsidRPr="72399ADB">
        <w:t>usin</w:t>
      </w:r>
      <w:r w:rsidR="28602E7F" w:rsidRPr="72399ADB">
        <w:t xml:space="preserve">g </w:t>
      </w:r>
      <w:r w:rsidR="662EA03A">
        <w:rPr>
          <w:noProof/>
        </w:rPr>
        <w:drawing>
          <wp:inline distT="0" distB="0" distL="0" distR="0" wp14:anchorId="5F9A3912" wp14:editId="52B3B17D">
            <wp:extent cx="916658" cy="182880"/>
            <wp:effectExtent l="0" t="0" r="0" b="0"/>
            <wp:docPr id="206561548" name="Picture 20656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6658" cy="182880"/>
                    </a:xfrm>
                    <a:prstGeom prst="rect">
                      <a:avLst/>
                    </a:prstGeom>
                  </pic:spPr>
                </pic:pic>
              </a:graphicData>
            </a:graphic>
          </wp:inline>
        </w:drawing>
      </w:r>
      <w:r w:rsidR="18E392C8" w:rsidRPr="72399ADB">
        <w:t>.</w:t>
      </w:r>
    </w:p>
    <w:p w14:paraId="2796CCB8" w14:textId="3A4915C4" w:rsidR="097DED6A" w:rsidRDefault="6A6092F3" w:rsidP="1B9ADFC8">
      <w:pPr>
        <w:pStyle w:val="Heading1"/>
        <w:spacing w:before="120"/>
      </w:pPr>
      <w:r>
        <w:t>Risk Management:</w:t>
      </w:r>
    </w:p>
    <w:p w14:paraId="54042ECE" w14:textId="710BE4DB" w:rsidR="097DED6A" w:rsidRDefault="69B7AF41" w:rsidP="1B9ADFC8">
      <w:r>
        <w:t xml:space="preserve">The experiment used highly flammable alcohols (methanol, ethanol, pentanol) and an open flame, posing fire and burn risks. Alcohol spills or burner malfunctions could ignite accidental </w:t>
      </w:r>
      <w:r w:rsidR="0A1631EC">
        <w:t>fires and</w:t>
      </w:r>
      <w:r>
        <w:t xml:space="preserve"> contact with the flame or heated apparatus could cause burns. To mitigate these hazards, flammable liquids were handled in a well-ventilated area away from ignition sources, and safety glasses were always worn. A heat shield contained the flame, and tongs were used to handle hot equipment. A fire extinguisher and fire blanket were kept nearby.</w:t>
      </w:r>
    </w:p>
    <w:p w14:paraId="472503A7" w14:textId="0EFF0475" w:rsidR="097DED6A" w:rsidRDefault="69B7AF41" w:rsidP="1B9ADFC8">
      <w:r>
        <w:lastRenderedPageBreak/>
        <w:t xml:space="preserve">Uncontrolled combustion might damage laboratory equipment and structures, so the experiment was conducted on a non-flammable surface, free of combustible materials. Spillage and glassware breakage were also risks, potentially causing fire or injury from broken glass. </w:t>
      </w:r>
      <w:bookmarkStart w:id="6" w:name="_Int_1BFJ4bhT"/>
      <w:r>
        <w:t>Alcohols were</w:t>
      </w:r>
      <w:bookmarkEnd w:id="6"/>
      <w:r>
        <w:t xml:space="preserve"> dispensed carefully, and </w:t>
      </w:r>
      <w:bookmarkStart w:id="7" w:name="_Int_uTwWDwA2"/>
      <w:r>
        <w:t>a metal</w:t>
      </w:r>
      <w:bookmarkEnd w:id="7"/>
      <w:r>
        <w:t xml:space="preserve"> can replaced fragile glass test tubes. Constant monitoring ensured quick intervention if hazards arose, minimizing the likelihood of fire spread or equipment damage.</w:t>
      </w:r>
    </w:p>
    <w:p w14:paraId="06EE69B3" w14:textId="2979AE80" w:rsidR="097DED6A" w:rsidRDefault="0E1DB024" w:rsidP="1B9ADFC8">
      <w:pPr>
        <w:pStyle w:val="Heading1"/>
        <w:spacing w:before="120"/>
      </w:pPr>
      <w:commentRangeStart w:id="8"/>
      <w:r>
        <w:t>Results:</w:t>
      </w:r>
      <w:commentRangeEnd w:id="8"/>
      <w:r w:rsidR="00CA041F">
        <w:rPr>
          <w:rStyle w:val="CommentReference"/>
          <w:b w:val="0"/>
          <w:bCs w:val="0"/>
          <w:u w:val="none"/>
        </w:rPr>
        <w:commentReference w:id="8"/>
      </w:r>
    </w:p>
    <w:p w14:paraId="7512B285" w14:textId="17925F64" w:rsidR="097DED6A" w:rsidRDefault="2666A7FC" w:rsidP="4D37911B">
      <w:pPr>
        <w:pStyle w:val="NoSpacing"/>
      </w:pPr>
      <w:r>
        <w:t>Figure 1 (Results Table):</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471"/>
        <w:gridCol w:w="1335"/>
        <w:gridCol w:w="1606"/>
        <w:gridCol w:w="1471"/>
        <w:gridCol w:w="1605"/>
        <w:gridCol w:w="1336"/>
      </w:tblGrid>
      <w:tr w:rsidR="4D37911B" w14:paraId="09AFA823" w14:textId="77777777" w:rsidTr="72399ADB">
        <w:trPr>
          <w:trHeight w:val="300"/>
          <w:jc w:val="center"/>
        </w:trPr>
        <w:tc>
          <w:tcPr>
            <w:tcW w:w="1471" w:type="dxa"/>
            <w:tcMar>
              <w:left w:w="105" w:type="dxa"/>
              <w:right w:w="105" w:type="dxa"/>
            </w:tcMar>
            <w:vAlign w:val="center"/>
          </w:tcPr>
          <w:p w14:paraId="0EF71BFF" w14:textId="6A1680B3" w:rsidR="4D37911B" w:rsidRDefault="4D37911B" w:rsidP="4D37911B">
            <w:pPr>
              <w:spacing w:after="0"/>
              <w:jc w:val="center"/>
              <w:rPr>
                <w:rFonts w:ascii="Aptos" w:eastAsia="Aptos" w:hAnsi="Aptos" w:cs="Aptos"/>
                <w:color w:val="000000" w:themeColor="text1"/>
              </w:rPr>
            </w:pPr>
            <w:r w:rsidRPr="4D37911B">
              <w:rPr>
                <w:rFonts w:ascii="Aptos" w:eastAsia="Aptos" w:hAnsi="Aptos" w:cs="Aptos"/>
                <w:b/>
                <w:bCs/>
                <w:color w:val="000000" w:themeColor="text1"/>
              </w:rPr>
              <w:t>Alcohol</w:t>
            </w:r>
          </w:p>
        </w:tc>
        <w:tc>
          <w:tcPr>
            <w:tcW w:w="1335" w:type="dxa"/>
            <w:tcMar>
              <w:left w:w="105" w:type="dxa"/>
              <w:right w:w="105" w:type="dxa"/>
            </w:tcMar>
            <w:vAlign w:val="center"/>
          </w:tcPr>
          <w:p w14:paraId="2C67DC45" w14:textId="6E8A4B20" w:rsidR="4D37911B" w:rsidRDefault="4D37911B" w:rsidP="4D37911B">
            <w:pPr>
              <w:spacing w:after="0"/>
              <w:jc w:val="center"/>
              <w:rPr>
                <w:rFonts w:ascii="Aptos" w:eastAsia="Aptos" w:hAnsi="Aptos" w:cs="Aptos"/>
                <w:color w:val="000000" w:themeColor="text1"/>
              </w:rPr>
            </w:pPr>
            <w:r w:rsidRPr="4D37911B">
              <w:rPr>
                <w:rFonts w:ascii="Aptos" w:eastAsia="Aptos" w:hAnsi="Aptos" w:cs="Aptos"/>
                <w:b/>
                <w:bCs/>
                <w:color w:val="000000" w:themeColor="text1"/>
              </w:rPr>
              <w:t>Carbon Atoms</w:t>
            </w:r>
          </w:p>
        </w:tc>
        <w:tc>
          <w:tcPr>
            <w:tcW w:w="1606" w:type="dxa"/>
            <w:tcMar>
              <w:left w:w="105" w:type="dxa"/>
              <w:right w:w="105" w:type="dxa"/>
            </w:tcMar>
            <w:vAlign w:val="center"/>
          </w:tcPr>
          <w:p w14:paraId="66027C84" w14:textId="028DB4D1" w:rsidR="4D37911B" w:rsidRDefault="4D37911B" w:rsidP="4D37911B">
            <w:pPr>
              <w:spacing w:after="0"/>
              <w:jc w:val="center"/>
              <w:rPr>
                <w:rFonts w:ascii="Aptos" w:eastAsia="Aptos" w:hAnsi="Aptos" w:cs="Aptos"/>
                <w:color w:val="000000" w:themeColor="text1"/>
              </w:rPr>
            </w:pPr>
            <w:r w:rsidRPr="4D37911B">
              <w:rPr>
                <w:rFonts w:ascii="Aptos" w:eastAsia="Aptos" w:hAnsi="Aptos" w:cs="Aptos"/>
                <w:b/>
                <w:bCs/>
                <w:color w:val="000000" w:themeColor="text1"/>
              </w:rPr>
              <w:t>Average Combustion Enthalpy (kJ/g)</w:t>
            </w:r>
          </w:p>
        </w:tc>
        <w:tc>
          <w:tcPr>
            <w:tcW w:w="1471" w:type="dxa"/>
            <w:tcMar>
              <w:left w:w="105" w:type="dxa"/>
              <w:right w:w="105" w:type="dxa"/>
            </w:tcMar>
            <w:vAlign w:val="center"/>
          </w:tcPr>
          <w:p w14:paraId="2C9EEB0F" w14:textId="28D76D9B" w:rsidR="4D37911B" w:rsidRDefault="4D37911B" w:rsidP="4D37911B">
            <w:pPr>
              <w:spacing w:after="0"/>
              <w:jc w:val="center"/>
              <w:rPr>
                <w:rFonts w:ascii="Aptos" w:eastAsia="Aptos" w:hAnsi="Aptos" w:cs="Aptos"/>
                <w:color w:val="000000" w:themeColor="text1"/>
              </w:rPr>
            </w:pPr>
            <w:r w:rsidRPr="4D37911B">
              <w:rPr>
                <w:rFonts w:ascii="Aptos" w:eastAsia="Aptos" w:hAnsi="Aptos" w:cs="Aptos"/>
                <w:b/>
                <w:bCs/>
                <w:color w:val="000000" w:themeColor="text1"/>
              </w:rPr>
              <w:t>Mol. Weight (g/mol)</w:t>
            </w:r>
          </w:p>
        </w:tc>
        <w:tc>
          <w:tcPr>
            <w:tcW w:w="1605" w:type="dxa"/>
            <w:tcMar>
              <w:left w:w="105" w:type="dxa"/>
              <w:right w:w="105" w:type="dxa"/>
            </w:tcMar>
            <w:vAlign w:val="center"/>
          </w:tcPr>
          <w:p w14:paraId="63B9158E" w14:textId="2D6342F7" w:rsidR="4D37911B" w:rsidRDefault="16AA9BC7" w:rsidP="72399ADB">
            <w:pPr>
              <w:spacing w:after="0"/>
              <w:jc w:val="center"/>
              <w:rPr>
                <w:rFonts w:ascii="Aptos" w:eastAsia="Aptos" w:hAnsi="Aptos" w:cs="Aptos"/>
                <w:color w:val="000000" w:themeColor="text1"/>
              </w:rPr>
            </w:pPr>
            <w:r w:rsidRPr="72399ADB">
              <w:rPr>
                <w:rFonts w:ascii="Aptos" w:eastAsia="Aptos" w:hAnsi="Aptos" w:cs="Aptos"/>
                <w:b/>
                <w:bCs/>
                <w:color w:val="000000" w:themeColor="text1"/>
              </w:rPr>
              <w:t>Theoretical Value (kJ/</w:t>
            </w:r>
            <w:r w:rsidR="105336F1" w:rsidRPr="72399ADB">
              <w:rPr>
                <w:rFonts w:ascii="Aptos" w:eastAsia="Aptos" w:hAnsi="Aptos" w:cs="Aptos"/>
                <w:b/>
                <w:bCs/>
                <w:color w:val="000000" w:themeColor="text1"/>
              </w:rPr>
              <w:t>g</w:t>
            </w:r>
            <w:r w:rsidRPr="72399ADB">
              <w:rPr>
                <w:rFonts w:ascii="Aptos" w:eastAsia="Aptos" w:hAnsi="Aptos" w:cs="Aptos"/>
                <w:b/>
                <w:bCs/>
                <w:color w:val="000000" w:themeColor="text1"/>
              </w:rPr>
              <w:t>)</w:t>
            </w:r>
          </w:p>
          <w:p w14:paraId="10C1D0F3" w14:textId="54F0B8E3" w:rsidR="4D37911B" w:rsidRDefault="4A6B0C90" w:rsidP="72399ADB">
            <w:pPr>
              <w:spacing w:after="0"/>
              <w:jc w:val="center"/>
              <w:rPr>
                <w:rFonts w:ascii="Aptos" w:eastAsia="Aptos" w:hAnsi="Aptos" w:cs="Aptos"/>
                <w:b/>
                <w:bCs/>
                <w:color w:val="000000" w:themeColor="text1"/>
              </w:rPr>
            </w:pPr>
            <w:r w:rsidRPr="72399ADB">
              <w:rPr>
                <w:rFonts w:ascii="Aptos" w:eastAsia="Aptos" w:hAnsi="Aptos" w:cs="Aptos"/>
                <w:b/>
                <w:bCs/>
                <w:color w:val="000000" w:themeColor="text1"/>
              </w:rPr>
              <w:t>(</w:t>
            </w:r>
            <w:r w:rsidRPr="72399ADB">
              <w:rPr>
                <w:rFonts w:ascii="Aptos" w:eastAsia="Aptos" w:hAnsi="Aptos" w:cs="Aptos"/>
                <w:b/>
                <w:bCs/>
                <w:i/>
                <w:iCs/>
                <w:color w:val="000000" w:themeColor="text1"/>
              </w:rPr>
              <w:t>NIST</w:t>
            </w:r>
            <w:r w:rsidRPr="72399ADB">
              <w:rPr>
                <w:rFonts w:ascii="Aptos" w:eastAsia="Aptos" w:hAnsi="Aptos" w:cs="Aptos"/>
                <w:b/>
                <w:bCs/>
                <w:color w:val="000000" w:themeColor="text1"/>
              </w:rPr>
              <w:t>, 2023)</w:t>
            </w:r>
          </w:p>
        </w:tc>
        <w:tc>
          <w:tcPr>
            <w:tcW w:w="1336" w:type="dxa"/>
            <w:tcMar>
              <w:left w:w="105" w:type="dxa"/>
              <w:right w:w="105" w:type="dxa"/>
            </w:tcMar>
            <w:vAlign w:val="center"/>
          </w:tcPr>
          <w:p w14:paraId="66837D58" w14:textId="2FB837A1" w:rsidR="4D37911B" w:rsidRDefault="4D37911B" w:rsidP="4D37911B">
            <w:pPr>
              <w:spacing w:after="0"/>
              <w:jc w:val="center"/>
              <w:rPr>
                <w:rFonts w:ascii="Aptos" w:eastAsia="Aptos" w:hAnsi="Aptos" w:cs="Aptos"/>
                <w:color w:val="000000" w:themeColor="text1"/>
              </w:rPr>
            </w:pPr>
            <w:r w:rsidRPr="4D37911B">
              <w:rPr>
                <w:rFonts w:ascii="Aptos" w:eastAsia="Aptos" w:hAnsi="Aptos" w:cs="Aptos"/>
                <w:b/>
                <w:bCs/>
                <w:color w:val="000000" w:themeColor="text1"/>
              </w:rPr>
              <w:t>% Error</w:t>
            </w:r>
          </w:p>
        </w:tc>
      </w:tr>
      <w:tr w:rsidR="4D37911B" w14:paraId="18E44B93" w14:textId="77777777" w:rsidTr="72399ADB">
        <w:trPr>
          <w:trHeight w:val="420"/>
          <w:jc w:val="center"/>
        </w:trPr>
        <w:tc>
          <w:tcPr>
            <w:tcW w:w="1471" w:type="dxa"/>
            <w:tcMar>
              <w:left w:w="105" w:type="dxa"/>
              <w:right w:w="105" w:type="dxa"/>
            </w:tcMar>
            <w:vAlign w:val="center"/>
          </w:tcPr>
          <w:p w14:paraId="517946A7" w14:textId="588FB2A5"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Methano</w:t>
            </w:r>
            <w:r w:rsidR="0892FD72" w:rsidRPr="4D37911B">
              <w:rPr>
                <w:rFonts w:ascii="Aptos" w:eastAsia="Aptos" w:hAnsi="Aptos" w:cs="Aptos"/>
                <w:color w:val="000000" w:themeColor="text1"/>
              </w:rPr>
              <w:t>l</w:t>
            </w:r>
          </w:p>
        </w:tc>
        <w:tc>
          <w:tcPr>
            <w:tcW w:w="1335" w:type="dxa"/>
            <w:tcMar>
              <w:left w:w="105" w:type="dxa"/>
              <w:right w:w="105" w:type="dxa"/>
            </w:tcMar>
            <w:vAlign w:val="center"/>
          </w:tcPr>
          <w:p w14:paraId="4897F303" w14:textId="39399374"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1</w:t>
            </w:r>
          </w:p>
        </w:tc>
        <w:tc>
          <w:tcPr>
            <w:tcW w:w="1606" w:type="dxa"/>
            <w:tcMar>
              <w:left w:w="105" w:type="dxa"/>
              <w:right w:w="105" w:type="dxa"/>
            </w:tcMar>
            <w:vAlign w:val="center"/>
          </w:tcPr>
          <w:p w14:paraId="3105D4B0" w14:textId="3C95472B" w:rsidR="4D37911B" w:rsidRDefault="3C30B187" w:rsidP="5F780E57">
            <w:pPr>
              <w:spacing w:after="0"/>
              <w:jc w:val="center"/>
              <w:rPr>
                <w:rFonts w:ascii="Aptos" w:eastAsia="Aptos" w:hAnsi="Aptos" w:cs="Aptos"/>
                <w:color w:val="000000" w:themeColor="text1"/>
              </w:rPr>
            </w:pPr>
            <w:r w:rsidRPr="5F780E57">
              <w:rPr>
                <w:rFonts w:ascii="Aptos" w:eastAsia="Aptos" w:hAnsi="Aptos" w:cs="Aptos"/>
                <w:color w:val="000000" w:themeColor="text1"/>
              </w:rPr>
              <w:t>-</w:t>
            </w:r>
            <w:commentRangeStart w:id="9"/>
            <w:r w:rsidRPr="5F780E57">
              <w:rPr>
                <w:rFonts w:ascii="Aptos" w:eastAsia="Aptos" w:hAnsi="Aptos" w:cs="Aptos"/>
                <w:color w:val="000000" w:themeColor="text1"/>
              </w:rPr>
              <w:t xml:space="preserve">6.29 ± </w:t>
            </w:r>
            <w:r w:rsidR="46B635FB" w:rsidRPr="5F780E57">
              <w:rPr>
                <w:rFonts w:ascii="Aptos" w:eastAsia="Aptos" w:hAnsi="Aptos" w:cs="Aptos"/>
                <w:color w:val="000000" w:themeColor="text1"/>
              </w:rPr>
              <w:t>0.34</w:t>
            </w:r>
            <w:commentRangeEnd w:id="9"/>
            <w:r w:rsidR="006F5ECE">
              <w:rPr>
                <w:rStyle w:val="CommentReference"/>
              </w:rPr>
              <w:commentReference w:id="9"/>
            </w:r>
          </w:p>
        </w:tc>
        <w:tc>
          <w:tcPr>
            <w:tcW w:w="1471" w:type="dxa"/>
            <w:tcMar>
              <w:left w:w="105" w:type="dxa"/>
              <w:right w:w="105" w:type="dxa"/>
            </w:tcMar>
            <w:vAlign w:val="center"/>
          </w:tcPr>
          <w:p w14:paraId="6F7EB1E0" w14:textId="28A09AB0"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32.04</w:t>
            </w:r>
          </w:p>
        </w:tc>
        <w:tc>
          <w:tcPr>
            <w:tcW w:w="1605" w:type="dxa"/>
            <w:tcMar>
              <w:left w:w="105" w:type="dxa"/>
              <w:right w:w="105" w:type="dxa"/>
            </w:tcMar>
            <w:vAlign w:val="center"/>
          </w:tcPr>
          <w:p w14:paraId="1E0D0CEA" w14:textId="75918B8B"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w:t>
            </w:r>
            <w:r w:rsidR="6208F7C8" w:rsidRPr="4D37911B">
              <w:rPr>
                <w:rFonts w:ascii="Aptos" w:eastAsia="Aptos" w:hAnsi="Aptos" w:cs="Aptos"/>
                <w:color w:val="000000" w:themeColor="text1"/>
              </w:rPr>
              <w:t>22.65</w:t>
            </w:r>
          </w:p>
        </w:tc>
        <w:tc>
          <w:tcPr>
            <w:tcW w:w="1336" w:type="dxa"/>
            <w:tcMar>
              <w:left w:w="105" w:type="dxa"/>
              <w:right w:w="105" w:type="dxa"/>
            </w:tcMar>
            <w:vAlign w:val="center"/>
          </w:tcPr>
          <w:p w14:paraId="553E779D" w14:textId="0EFDFF69"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72.2%</w:t>
            </w:r>
          </w:p>
        </w:tc>
      </w:tr>
      <w:tr w:rsidR="4D37911B" w14:paraId="7C833959" w14:textId="77777777" w:rsidTr="72399ADB">
        <w:trPr>
          <w:trHeight w:val="300"/>
          <w:jc w:val="center"/>
        </w:trPr>
        <w:tc>
          <w:tcPr>
            <w:tcW w:w="1471" w:type="dxa"/>
            <w:tcMar>
              <w:left w:w="105" w:type="dxa"/>
              <w:right w:w="105" w:type="dxa"/>
            </w:tcMar>
            <w:vAlign w:val="center"/>
          </w:tcPr>
          <w:p w14:paraId="46744B83" w14:textId="60A79248"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Ethano</w:t>
            </w:r>
            <w:r w:rsidR="0D3AD6F3" w:rsidRPr="4D37911B">
              <w:rPr>
                <w:rFonts w:ascii="Aptos" w:eastAsia="Aptos" w:hAnsi="Aptos" w:cs="Aptos"/>
                <w:color w:val="000000" w:themeColor="text1"/>
              </w:rPr>
              <w:t>l</w:t>
            </w:r>
          </w:p>
        </w:tc>
        <w:tc>
          <w:tcPr>
            <w:tcW w:w="1335" w:type="dxa"/>
            <w:tcMar>
              <w:left w:w="105" w:type="dxa"/>
              <w:right w:w="105" w:type="dxa"/>
            </w:tcMar>
            <w:vAlign w:val="center"/>
          </w:tcPr>
          <w:p w14:paraId="5728F6CF" w14:textId="0E29131D" w:rsidR="0D3AD6F3" w:rsidRDefault="0D3AD6F3"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2</w:t>
            </w:r>
          </w:p>
        </w:tc>
        <w:tc>
          <w:tcPr>
            <w:tcW w:w="1606" w:type="dxa"/>
            <w:tcMar>
              <w:left w:w="105" w:type="dxa"/>
              <w:right w:w="105" w:type="dxa"/>
            </w:tcMar>
            <w:vAlign w:val="center"/>
          </w:tcPr>
          <w:p w14:paraId="7CC60A67" w14:textId="451CAA9C" w:rsidR="4D37911B" w:rsidRDefault="3C30B187" w:rsidP="5F780E57">
            <w:pPr>
              <w:spacing w:after="0"/>
              <w:jc w:val="center"/>
              <w:rPr>
                <w:rFonts w:ascii="Aptos" w:eastAsia="Aptos" w:hAnsi="Aptos" w:cs="Aptos"/>
                <w:color w:val="000000" w:themeColor="text1"/>
              </w:rPr>
            </w:pPr>
            <w:r w:rsidRPr="5F780E57">
              <w:rPr>
                <w:rFonts w:ascii="Aptos" w:eastAsia="Aptos" w:hAnsi="Aptos" w:cs="Aptos"/>
                <w:color w:val="000000" w:themeColor="text1"/>
              </w:rPr>
              <w:t xml:space="preserve">-5.91 ± </w:t>
            </w:r>
            <w:r w:rsidR="6965EBB0" w:rsidRPr="5F780E57">
              <w:rPr>
                <w:rFonts w:ascii="Aptos" w:eastAsia="Aptos" w:hAnsi="Aptos" w:cs="Aptos"/>
                <w:color w:val="000000" w:themeColor="text1"/>
              </w:rPr>
              <w:t>0.20</w:t>
            </w:r>
          </w:p>
        </w:tc>
        <w:tc>
          <w:tcPr>
            <w:tcW w:w="1471" w:type="dxa"/>
            <w:tcMar>
              <w:left w:w="105" w:type="dxa"/>
              <w:right w:w="105" w:type="dxa"/>
            </w:tcMar>
            <w:vAlign w:val="center"/>
          </w:tcPr>
          <w:p w14:paraId="544B16F2" w14:textId="7B68633A"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46.07</w:t>
            </w:r>
          </w:p>
        </w:tc>
        <w:tc>
          <w:tcPr>
            <w:tcW w:w="1605" w:type="dxa"/>
            <w:tcMar>
              <w:left w:w="105" w:type="dxa"/>
              <w:right w:w="105" w:type="dxa"/>
            </w:tcMar>
            <w:vAlign w:val="center"/>
          </w:tcPr>
          <w:p w14:paraId="5BCC0D5E" w14:textId="563141EE" w:rsidR="4D37911B" w:rsidRDefault="4D37911B" w:rsidP="4D37911B">
            <w:pPr>
              <w:spacing w:before="240" w:after="240"/>
              <w:jc w:val="center"/>
              <w:rPr>
                <w:rFonts w:ascii="Aptos" w:eastAsia="Aptos" w:hAnsi="Aptos" w:cs="Aptos"/>
                <w:color w:val="000000" w:themeColor="text1"/>
              </w:rPr>
            </w:pPr>
            <w:r w:rsidRPr="4D37911B">
              <w:rPr>
                <w:rFonts w:ascii="Aptos" w:eastAsia="Aptos" w:hAnsi="Aptos" w:cs="Aptos"/>
                <w:color w:val="000000" w:themeColor="text1"/>
              </w:rPr>
              <w:t>-</w:t>
            </w:r>
            <w:r w:rsidR="603AD55D" w:rsidRPr="4D37911B">
              <w:rPr>
                <w:rFonts w:ascii="Aptos" w:eastAsia="Aptos" w:hAnsi="Aptos" w:cs="Aptos"/>
              </w:rPr>
              <w:t>29.69</w:t>
            </w:r>
          </w:p>
        </w:tc>
        <w:tc>
          <w:tcPr>
            <w:tcW w:w="1336" w:type="dxa"/>
            <w:tcMar>
              <w:left w:w="105" w:type="dxa"/>
              <w:right w:w="105" w:type="dxa"/>
            </w:tcMar>
            <w:vAlign w:val="center"/>
          </w:tcPr>
          <w:p w14:paraId="7303BF2B" w14:textId="0A161696"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80.1%</w:t>
            </w:r>
          </w:p>
        </w:tc>
      </w:tr>
      <w:tr w:rsidR="4D37911B" w14:paraId="7DED8D33" w14:textId="77777777" w:rsidTr="72399ADB">
        <w:trPr>
          <w:trHeight w:val="825"/>
          <w:jc w:val="center"/>
        </w:trPr>
        <w:tc>
          <w:tcPr>
            <w:tcW w:w="1471" w:type="dxa"/>
            <w:tcMar>
              <w:left w:w="105" w:type="dxa"/>
              <w:right w:w="105" w:type="dxa"/>
            </w:tcMar>
            <w:vAlign w:val="center"/>
          </w:tcPr>
          <w:p w14:paraId="0250F4E7" w14:textId="3A819236"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Pentanol</w:t>
            </w:r>
          </w:p>
        </w:tc>
        <w:tc>
          <w:tcPr>
            <w:tcW w:w="1335" w:type="dxa"/>
            <w:tcMar>
              <w:left w:w="105" w:type="dxa"/>
              <w:right w:w="105" w:type="dxa"/>
            </w:tcMar>
            <w:vAlign w:val="center"/>
          </w:tcPr>
          <w:p w14:paraId="4E6A727D" w14:textId="46D7BEA2"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5</w:t>
            </w:r>
          </w:p>
        </w:tc>
        <w:tc>
          <w:tcPr>
            <w:tcW w:w="1606" w:type="dxa"/>
            <w:tcMar>
              <w:left w:w="105" w:type="dxa"/>
              <w:right w:w="105" w:type="dxa"/>
            </w:tcMar>
            <w:vAlign w:val="center"/>
          </w:tcPr>
          <w:p w14:paraId="1A214B2F" w14:textId="4FA04893" w:rsidR="4D37911B" w:rsidRDefault="3C30B187" w:rsidP="5F780E57">
            <w:pPr>
              <w:spacing w:after="0"/>
              <w:jc w:val="center"/>
              <w:rPr>
                <w:rFonts w:ascii="Aptos" w:eastAsia="Aptos" w:hAnsi="Aptos" w:cs="Aptos"/>
                <w:color w:val="000000" w:themeColor="text1"/>
              </w:rPr>
            </w:pPr>
            <w:r w:rsidRPr="5F780E57">
              <w:rPr>
                <w:rFonts w:ascii="Aptos" w:eastAsia="Aptos" w:hAnsi="Aptos" w:cs="Aptos"/>
                <w:color w:val="000000" w:themeColor="text1"/>
              </w:rPr>
              <w:t>-11.70</w:t>
            </w:r>
            <w:r w:rsidR="39693E97" w:rsidRPr="5F780E57">
              <w:rPr>
                <w:rFonts w:ascii="Aptos" w:eastAsia="Aptos" w:hAnsi="Aptos" w:cs="Aptos"/>
                <w:color w:val="000000" w:themeColor="text1"/>
              </w:rPr>
              <w:t xml:space="preserve"> </w:t>
            </w:r>
            <w:r w:rsidRPr="5F780E57">
              <w:rPr>
                <w:rFonts w:ascii="Aptos" w:eastAsia="Aptos" w:hAnsi="Aptos" w:cs="Aptos"/>
                <w:color w:val="000000" w:themeColor="text1"/>
              </w:rPr>
              <w:t>±</w:t>
            </w:r>
            <w:r w:rsidR="46BB95D9" w:rsidRPr="5F780E57">
              <w:rPr>
                <w:rFonts w:ascii="Aptos" w:eastAsia="Aptos" w:hAnsi="Aptos" w:cs="Aptos"/>
                <w:color w:val="000000" w:themeColor="text1"/>
              </w:rPr>
              <w:t xml:space="preserve"> </w:t>
            </w:r>
            <w:r w:rsidR="51653C86" w:rsidRPr="5F780E57">
              <w:rPr>
                <w:rFonts w:ascii="Aptos" w:eastAsia="Aptos" w:hAnsi="Aptos" w:cs="Aptos"/>
                <w:color w:val="000000" w:themeColor="text1"/>
              </w:rPr>
              <w:t>0.64</w:t>
            </w:r>
          </w:p>
        </w:tc>
        <w:tc>
          <w:tcPr>
            <w:tcW w:w="1471" w:type="dxa"/>
            <w:tcMar>
              <w:left w:w="105" w:type="dxa"/>
              <w:right w:w="105" w:type="dxa"/>
            </w:tcMar>
            <w:vAlign w:val="center"/>
          </w:tcPr>
          <w:p w14:paraId="49C7ED89" w14:textId="53B525A0"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88.15</w:t>
            </w:r>
          </w:p>
        </w:tc>
        <w:tc>
          <w:tcPr>
            <w:tcW w:w="1605" w:type="dxa"/>
            <w:tcMar>
              <w:left w:w="105" w:type="dxa"/>
              <w:right w:w="105" w:type="dxa"/>
            </w:tcMar>
            <w:vAlign w:val="center"/>
          </w:tcPr>
          <w:p w14:paraId="441A4880" w14:textId="35159B0E"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-3</w:t>
            </w:r>
            <w:r w:rsidR="1753850E" w:rsidRPr="4D37911B">
              <w:rPr>
                <w:rFonts w:ascii="Aptos" w:eastAsia="Aptos" w:hAnsi="Aptos" w:cs="Aptos"/>
                <w:color w:val="000000" w:themeColor="text1"/>
              </w:rPr>
              <w:t>7.79</w:t>
            </w:r>
          </w:p>
        </w:tc>
        <w:tc>
          <w:tcPr>
            <w:tcW w:w="1336" w:type="dxa"/>
            <w:tcMar>
              <w:left w:w="105" w:type="dxa"/>
              <w:right w:w="105" w:type="dxa"/>
            </w:tcMar>
            <w:vAlign w:val="center"/>
          </w:tcPr>
          <w:p w14:paraId="2ADC8D2B" w14:textId="7D9C3F79" w:rsidR="4D37911B" w:rsidRDefault="4D37911B" w:rsidP="4D37911B">
            <w:pPr>
              <w:spacing w:after="0"/>
              <w:jc w:val="center"/>
              <w:rPr>
                <w:rFonts w:ascii="Aptos" w:eastAsia="Aptos" w:hAnsi="Aptos" w:cs="Aptos"/>
                <w:color w:val="000000" w:themeColor="text1"/>
              </w:rPr>
            </w:pPr>
            <w:r w:rsidRPr="4D37911B">
              <w:rPr>
                <w:rFonts w:ascii="Aptos" w:eastAsia="Aptos" w:hAnsi="Aptos" w:cs="Aptos"/>
                <w:color w:val="000000" w:themeColor="text1"/>
              </w:rPr>
              <w:t>69.0%</w:t>
            </w:r>
          </w:p>
        </w:tc>
      </w:tr>
    </w:tbl>
    <w:p w14:paraId="2C5B0BF4" w14:textId="07429BAD" w:rsidR="798FBA13" w:rsidRDefault="798FBA13" w:rsidP="72399ADB">
      <w:pPr>
        <w:pStyle w:val="NoSpacing"/>
        <w:spacing w:before="240"/>
      </w:pPr>
      <w:r>
        <w:t>Figure 2 (Num. Of Carbon Atoms vs Combustion Enthalpy):</w:t>
      </w:r>
      <w:r>
        <w:rPr>
          <w:noProof/>
        </w:rPr>
        <w:drawing>
          <wp:inline distT="0" distB="0" distL="0" distR="0" wp14:anchorId="529DD585" wp14:editId="0B9059AD">
            <wp:extent cx="3833973" cy="3108960"/>
            <wp:effectExtent l="0" t="0" r="0" b="0"/>
            <wp:docPr id="2053877429" name="Picture 205387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33973" cy="3108960"/>
                    </a:xfrm>
                    <a:prstGeom prst="rect">
                      <a:avLst/>
                    </a:prstGeom>
                  </pic:spPr>
                </pic:pic>
              </a:graphicData>
            </a:graphic>
          </wp:inline>
        </w:drawing>
      </w:r>
    </w:p>
    <w:p w14:paraId="4CFA9B4B" w14:textId="220E02E4" w:rsidR="1DEA2512" w:rsidRDefault="214AF3B1" w:rsidP="72399ADB">
      <w:r w:rsidRPr="72399ADB">
        <w:lastRenderedPageBreak/>
        <w:t>Fig</w:t>
      </w:r>
      <w:r w:rsidR="66809C1F" w:rsidRPr="72399ADB">
        <w:t>ure 1 contains</w:t>
      </w:r>
      <w:r w:rsidRPr="72399ADB">
        <w:t xml:space="preserve"> the</w:t>
      </w:r>
      <w:r w:rsidR="2ED3AA94" w:rsidRPr="72399ADB">
        <w:t xml:space="preserve"> average</w:t>
      </w:r>
      <w:r w:rsidRPr="72399ADB">
        <w:t xml:space="preserve"> experimental combustion enthalpies of </w:t>
      </w:r>
      <w:r w:rsidR="7949D0AC" w:rsidRPr="72399ADB">
        <w:t>the alcohols</w:t>
      </w:r>
      <w:r w:rsidR="2A254296" w:rsidRPr="72399ADB">
        <w:t>,</w:t>
      </w:r>
      <w:r w:rsidRPr="72399ADB">
        <w:t xml:space="preserve"> </w:t>
      </w:r>
      <w:r w:rsidR="22AEC3B3" w:rsidRPr="72399ADB">
        <w:t xml:space="preserve">along with </w:t>
      </w:r>
      <w:r w:rsidRPr="72399ADB">
        <w:t xml:space="preserve">the number of carbon atoms in their molecules. The </w:t>
      </w:r>
      <w:r w:rsidR="5FACFBE6" w:rsidRPr="72399ADB">
        <w:t>data displays</w:t>
      </w:r>
      <w:r w:rsidRPr="72399ADB">
        <w:t xml:space="preserve"> a clear trend: as the number of carbon atoms increases from one (methanol) to five (pentanol), the average experimental combustion enthalpy becomes more negative, indicating a larger amount of energy released per gram of alcohol.</w:t>
      </w:r>
      <w:r w:rsidR="220F0161" w:rsidRPr="72399ADB">
        <w:t xml:space="preserve"> M</w:t>
      </w:r>
      <w:r w:rsidRPr="72399ADB">
        <w:t xml:space="preserve">ethanol, with one carbon atom, exhibits </w:t>
      </w:r>
      <w:r w:rsidR="5EB9B75D" w:rsidRPr="72399ADB">
        <w:t>an</w:t>
      </w:r>
      <w:r w:rsidRPr="72399ADB">
        <w:t xml:space="preserve"> average</w:t>
      </w:r>
      <w:r w:rsidR="7FA98848" w:rsidRPr="72399ADB">
        <w:t xml:space="preserve"> </w:t>
      </w:r>
      <w:r w:rsidRPr="72399ADB">
        <w:t xml:space="preserve">combustion enthalpy </w:t>
      </w:r>
      <w:r w:rsidR="006C29C5" w:rsidRPr="72399ADB">
        <w:t>of</w:t>
      </w:r>
      <w:r w:rsidRPr="72399ADB">
        <w:t xml:space="preserve"> -6.29 kJ/g. Ethanol, containing two carbon atoms, shows a s</w:t>
      </w:r>
      <w:r w:rsidR="7EF65B36" w:rsidRPr="72399ADB">
        <w:t>imilar</w:t>
      </w:r>
      <w:r w:rsidRPr="72399ADB">
        <w:t xml:space="preserve"> value of -5.91 kJ/g. Pentanol, with five carbon atoms, demonstrates the most negative average combustion enthalpy of -11.70 kJ/g.</w:t>
      </w:r>
    </w:p>
    <w:p w14:paraId="40D17464" w14:textId="04D27D20" w:rsidR="1DEA2512" w:rsidRDefault="214AF3B1" w:rsidP="1B9ADFC8">
      <w:r w:rsidRPr="72399ADB">
        <w:t xml:space="preserve">The </w:t>
      </w:r>
      <w:r w:rsidR="3E1C5538" w:rsidRPr="72399ADB">
        <w:t>graphical representation</w:t>
      </w:r>
      <w:r w:rsidRPr="72399ADB">
        <w:t xml:space="preserve"> in Figure 2 visually confirms this observation, depicting a</w:t>
      </w:r>
      <w:r w:rsidR="798AE8DF" w:rsidRPr="72399ADB">
        <w:t xml:space="preserve"> trendline with a</w:t>
      </w:r>
      <w:r w:rsidRPr="72399ADB">
        <w:t xml:space="preserve"> downward slope as the number of carbon atoms increases. While there is a s</w:t>
      </w:r>
      <w:r w:rsidR="7437D2AD" w:rsidRPr="72399ADB">
        <w:t>imilarity</w:t>
      </w:r>
      <w:r w:rsidRPr="72399ADB">
        <w:t xml:space="preserve"> in the experimental values for methanol and ethanol, the combustion enthalpy of pentanol is notably more exothermic, approximately 1.98 times greater than that of ethanol and 1.86 times greater than methanol. This quantitative difference highlights the substantial impact of increasing carbon chain length on the energy released during combustion within this series of alcohols. The visual representation in Figure 2, alongside the numerical data in Figure 1, supports the hypothesis that increasing carbon atoms in alcohol molecules leads to a greater magnitude of combustion enthalpy.</w:t>
      </w:r>
    </w:p>
    <w:p w14:paraId="26106F07" w14:textId="313FD4CE" w:rsidR="0D44C83F" w:rsidRDefault="0D44C83F" w:rsidP="1B9ADFC8">
      <w:pPr>
        <w:pStyle w:val="Heading2"/>
        <w:spacing w:before="120"/>
      </w:pPr>
      <w:r>
        <w:t>Theoretical Explanation</w:t>
      </w:r>
    </w:p>
    <w:p w14:paraId="17587101" w14:textId="350BC86F" w:rsidR="0D44C83F" w:rsidRDefault="0D44C83F" w:rsidP="1B9ADFC8">
      <w:r w:rsidRPr="1B9ADFC8">
        <w:t>The combustion of alcohols involves breaking bonds (such as C–H and C–C) and forming new bonds in the products, notably in carbon dioxide and water. Theoretically, as the number of carbon atoms increases, the total energy released during these bond rearrangements should also increase, leading to a more exothermic reaction (</w:t>
      </w:r>
      <w:r w:rsidRPr="1B9ADFC8">
        <w:rPr>
          <w:i/>
          <w:iCs/>
        </w:rPr>
        <w:t xml:space="preserve">Glassman &amp; </w:t>
      </w:r>
      <w:proofErr w:type="spellStart"/>
      <w:r w:rsidRPr="1B9ADFC8">
        <w:rPr>
          <w:i/>
          <w:iCs/>
        </w:rPr>
        <w:t>Yetter</w:t>
      </w:r>
      <w:proofErr w:type="spellEnd"/>
      <w:r>
        <w:t xml:space="preserve">, 2008). The observation that pentanol shows a larger magnitude of combustion enthalpy is consistent with this theoretical expectation. </w:t>
      </w:r>
      <w:commentRangeStart w:id="10"/>
      <w:r>
        <w:t xml:space="preserve">However, the near-identical values for methanol and ethanol indicate that experimental </w:t>
      </w:r>
      <w:r w:rsidR="01BA0FAC">
        <w:t>data contains anomalies/outliers.</w:t>
      </w:r>
      <w:commentRangeEnd w:id="10"/>
      <w:r w:rsidR="008F0A6D">
        <w:rPr>
          <w:rStyle w:val="CommentReference"/>
        </w:rPr>
        <w:commentReference w:id="10"/>
      </w:r>
    </w:p>
    <w:p w14:paraId="616F4CAC" w14:textId="7F621C86" w:rsidR="1CC0B707" w:rsidRDefault="6932CDC5" w:rsidP="1B9ADFC8">
      <w:pPr>
        <w:pStyle w:val="Heading1"/>
        <w:spacing w:before="120"/>
      </w:pPr>
      <w:r>
        <w:t>Evaluation of Evidence:</w:t>
      </w:r>
    </w:p>
    <w:p w14:paraId="39A1A629" w14:textId="19117B56" w:rsidR="1CC0B707" w:rsidRDefault="6932CDC5" w:rsidP="72399ADB">
      <w:pPr>
        <w:spacing w:before="120"/>
      </w:pPr>
      <w:r w:rsidRPr="72399ADB">
        <w:t xml:space="preserve">The experimental </w:t>
      </w:r>
      <w:r w:rsidR="475EF115" w:rsidRPr="72399ADB">
        <w:t>results indicate</w:t>
      </w:r>
      <w:r w:rsidRPr="72399ADB">
        <w:t xml:space="preserve"> a trend of increasing combustion enthalpy with a higher number of carbon atoms in alcohol molecules. Pentanol (5 carbon atoms) demonstrated a significantly more exothermic combustion enthalpy compared to methanol (1 carbon) and ethanol (2 carbons), aligning with theoretical predictions based on bond enthalpies</w:t>
      </w:r>
      <w:r w:rsidR="4F80DE76" w:rsidRPr="72399ADB">
        <w:t xml:space="preserve"> taken from the NIST Chemistry Web</w:t>
      </w:r>
      <w:r w:rsidR="5202FEF5" w:rsidRPr="72399ADB">
        <w:t xml:space="preserve"> </w:t>
      </w:r>
      <w:r w:rsidR="4F80DE76" w:rsidRPr="72399ADB">
        <w:t>Book (</w:t>
      </w:r>
      <w:r w:rsidR="4F80DE76" w:rsidRPr="72399ADB">
        <w:rPr>
          <w:i/>
          <w:iCs/>
        </w:rPr>
        <w:t>NIST</w:t>
      </w:r>
      <w:r w:rsidR="4F80DE76" w:rsidRPr="72399ADB">
        <w:t>, 2023)</w:t>
      </w:r>
      <w:r w:rsidRPr="72399ADB">
        <w:rPr>
          <w:i/>
          <w:iCs/>
        </w:rPr>
        <w:t>.</w:t>
      </w:r>
      <w:r w:rsidRPr="72399ADB">
        <w:t xml:space="preserve"> However, the experimental values for methanol and ethanol were notably similar, failing to show the expected increase in combustion enthalpy with </w:t>
      </w:r>
      <w:r w:rsidR="37676C87" w:rsidRPr="72399ADB">
        <w:t>the</w:t>
      </w:r>
      <w:r w:rsidRPr="72399ADB">
        <w:t xml:space="preserve"> additional carbon atom. This discrepancy suggests that while the overall trend is observed, the relationship may not be linear within the experimental data, and that experimental limitations likely influenced the results.</w:t>
      </w:r>
    </w:p>
    <w:p w14:paraId="3FA9ECAA" w14:textId="2B83EAA1" w:rsidR="1CC0B707" w:rsidRDefault="6932CDC5" w:rsidP="1B9ADFC8">
      <w:pPr>
        <w:pStyle w:val="Heading2"/>
        <w:spacing w:before="120"/>
      </w:pPr>
      <w:commentRangeStart w:id="11"/>
      <w:r>
        <w:lastRenderedPageBreak/>
        <w:t>Limitations of Evidence:</w:t>
      </w:r>
      <w:commentRangeEnd w:id="11"/>
      <w:r w:rsidR="00743768">
        <w:rPr>
          <w:rStyle w:val="CommentReference"/>
          <w:b w:val="0"/>
          <w:bCs w:val="0"/>
          <w:i w:val="0"/>
          <w:iCs w:val="0"/>
        </w:rPr>
        <w:commentReference w:id="11"/>
      </w:r>
    </w:p>
    <w:p w14:paraId="496FD21E" w14:textId="51681D61" w:rsidR="1CC0B707" w:rsidRDefault="6932CDC5" w:rsidP="1B9ADFC8">
      <w:pPr>
        <w:pStyle w:val="ListParagraph"/>
        <w:numPr>
          <w:ilvl w:val="0"/>
          <w:numId w:val="3"/>
        </w:numPr>
      </w:pPr>
      <w:r w:rsidRPr="1B9ADFC8">
        <w:rPr>
          <w:b/>
          <w:bCs/>
        </w:rPr>
        <w:t xml:space="preserve">Small Sample Size: </w:t>
      </w:r>
      <w:r>
        <w:t>The experiment investigated only three alcohols (methanol, ethanol, and pentanol). This limited sample size restricts the generalizability of the observed trend and the robustness of conclusions about the relationship between carbon atom number and combustion enthalpy across a wider range of alcohols.</w:t>
      </w:r>
    </w:p>
    <w:p w14:paraId="3C10128B" w14:textId="28CD2460" w:rsidR="1CC0B707" w:rsidRDefault="6932CDC5" w:rsidP="1B9ADFC8">
      <w:pPr>
        <w:pStyle w:val="ListParagraph"/>
        <w:numPr>
          <w:ilvl w:val="0"/>
          <w:numId w:val="3"/>
        </w:numPr>
      </w:pPr>
      <w:r w:rsidRPr="1B9ADFC8">
        <w:rPr>
          <w:b/>
          <w:bCs/>
        </w:rPr>
        <w:t>Borrowed Pentanol Data:</w:t>
      </w:r>
      <w:r>
        <w:t xml:space="preserve"> The data for pentanol was obtained from another experimental group due to time constraints. This reliance on external data introduces potential inconsistencies from variations in experimental setup, </w:t>
      </w:r>
      <w:r w:rsidR="17B4CE2C">
        <w:t>methods</w:t>
      </w:r>
      <w:r>
        <w:t>, or measurement techniques employed by the other group, adding uncertainty to the comparison between pentanol and the other alcohols tested directly.</w:t>
      </w:r>
    </w:p>
    <w:p w14:paraId="5A1EC88F" w14:textId="632538EE" w:rsidR="1CC0B707" w:rsidRDefault="6932CDC5" w:rsidP="1B9ADFC8">
      <w:pPr>
        <w:pStyle w:val="Heading2"/>
      </w:pPr>
      <w:r>
        <w:t>Sources of Error:</w:t>
      </w:r>
    </w:p>
    <w:p w14:paraId="1C4E7DA6" w14:textId="7A9FFFBF" w:rsidR="1CC0B707" w:rsidRDefault="6932CDC5" w:rsidP="1B9ADFC8">
      <w:pPr>
        <w:pStyle w:val="ListParagraph"/>
        <w:numPr>
          <w:ilvl w:val="0"/>
          <w:numId w:val="2"/>
        </w:numPr>
      </w:pPr>
      <w:r w:rsidRPr="1B9ADFC8">
        <w:rPr>
          <w:b/>
          <w:bCs/>
        </w:rPr>
        <w:t>Instrument Precision:</w:t>
      </w:r>
      <w:r w:rsidRPr="1B9ADFC8">
        <w:t xml:space="preserve"> The use of instruments with readings limited to one decimal place for temperature and mass measurements introduced a degree of</w:t>
      </w:r>
      <w:r w:rsidR="33FD4D78" w:rsidRPr="1B9ADFC8">
        <w:t xml:space="preserve"> uncertainty</w:t>
      </w:r>
      <w:r w:rsidRPr="1B9ADFC8">
        <w:t xml:space="preserve">. This </w:t>
      </w:r>
      <w:r w:rsidR="0BB34DCC" w:rsidRPr="1B9ADFC8">
        <w:t>measurement uncertainty</w:t>
      </w:r>
      <w:r w:rsidRPr="1B9ADFC8">
        <w:t xml:space="preserve"> could contribute to errors in heat energy calculations.</w:t>
      </w:r>
    </w:p>
    <w:p w14:paraId="347E89CD" w14:textId="4DABB8F2" w:rsidR="1CC0B707" w:rsidRDefault="6932CDC5" w:rsidP="1B9ADFC8">
      <w:pPr>
        <w:pStyle w:val="ListParagraph"/>
        <w:numPr>
          <w:ilvl w:val="0"/>
          <w:numId w:val="2"/>
        </w:numPr>
      </w:pPr>
      <w:r w:rsidRPr="1B9ADFC8">
        <w:rPr>
          <w:b/>
          <w:bCs/>
        </w:rPr>
        <w:t>Variability in Experimental Conditions:</w:t>
      </w:r>
      <w:r w:rsidRPr="1B9ADFC8">
        <w:t xml:space="preserve"> Conducting trials on different days introduced variability in </w:t>
      </w:r>
      <w:r w:rsidR="426012A8" w:rsidRPr="1B9ADFC8">
        <w:t>experimental equipment</w:t>
      </w:r>
      <w:r w:rsidRPr="1B9ADFC8">
        <w:t>, such as t</w:t>
      </w:r>
      <w:r w:rsidR="1C0C3833" w:rsidRPr="1B9ADFC8">
        <w:t xml:space="preserve">he </w:t>
      </w:r>
      <w:r w:rsidRPr="1B9ADFC8">
        <w:t xml:space="preserve">use of a different spirit burner in ethanol trial 2, indicated by an anomalous alcohol mass measurement. This variability in burner type and usage could </w:t>
      </w:r>
      <w:r w:rsidR="398EE68F" w:rsidRPr="1B9ADFC8">
        <w:t>impact</w:t>
      </w:r>
      <w:r w:rsidRPr="1B9ADFC8">
        <w:t xml:space="preserve"> the reliability of individual trial results and the overall average values.</w:t>
      </w:r>
    </w:p>
    <w:p w14:paraId="5F7BDB51" w14:textId="7C63EA92" w:rsidR="1CC0B707" w:rsidRDefault="6932CDC5" w:rsidP="1B9ADFC8">
      <w:pPr>
        <w:pStyle w:val="Heading1"/>
      </w:pPr>
      <w:r>
        <w:t xml:space="preserve">Improvements </w:t>
      </w:r>
      <w:commentRangeStart w:id="12"/>
      <w:r>
        <w:t>and Extensions:</w:t>
      </w:r>
      <w:commentRangeEnd w:id="12"/>
      <w:r w:rsidR="00743768">
        <w:rPr>
          <w:rStyle w:val="CommentReference"/>
          <w:b w:val="0"/>
          <w:bCs w:val="0"/>
          <w:u w:val="none"/>
        </w:rPr>
        <w:commentReference w:id="12"/>
      </w:r>
    </w:p>
    <w:p w14:paraId="055B2449" w14:textId="626BAD71" w:rsidR="1CC0B707" w:rsidRDefault="6932CDC5" w:rsidP="1B9ADFC8">
      <w:pPr>
        <w:pStyle w:val="ListParagraph"/>
        <w:numPr>
          <w:ilvl w:val="0"/>
          <w:numId w:val="1"/>
        </w:numPr>
      </w:pPr>
      <w:r w:rsidRPr="1B9ADFC8">
        <w:rPr>
          <w:b/>
          <w:bCs/>
        </w:rPr>
        <w:t>Expand Alcohol Range:</w:t>
      </w:r>
      <w:r w:rsidRPr="1B9ADFC8">
        <w:t xml:space="preserve"> To strengthen the evidence and better characterize the relationship, future experiments should include a broader range of alcohols, such as propanol (3 carbon atoms) and butanol (4 carbon atoms). Testing a more comprehensive series</w:t>
      </w:r>
      <w:r w:rsidR="32D963CB" w:rsidRPr="1B9ADFC8">
        <w:t xml:space="preserve"> of fuels</w:t>
      </w:r>
      <w:r w:rsidRPr="1B9ADFC8">
        <w:t xml:space="preserve"> would help to determine if the observed trend is consistent and to identify any deviations or non-linearities more definitively.</w:t>
      </w:r>
    </w:p>
    <w:p w14:paraId="42D7879F" w14:textId="182F3733" w:rsidR="1CC0B707" w:rsidRDefault="6932CDC5" w:rsidP="1B9ADFC8">
      <w:pPr>
        <w:pStyle w:val="ListParagraph"/>
        <w:numPr>
          <w:ilvl w:val="0"/>
          <w:numId w:val="1"/>
        </w:numPr>
      </w:pPr>
      <w:r w:rsidRPr="1B9ADFC8">
        <w:rPr>
          <w:b/>
          <w:bCs/>
        </w:rPr>
        <w:t>Enhance Calorimetry Accuracy:</w:t>
      </w:r>
      <w:r w:rsidRPr="1B9ADFC8">
        <w:t xml:space="preserve"> To improve the precision of enthalpy measurements and minimize heat loss, employing a bomb calorimeter would be beneficial. </w:t>
      </w:r>
      <w:commentRangeStart w:id="13"/>
      <w:r w:rsidRPr="1B9ADFC8">
        <w:t>Bomb calorimetry is a more sophisticated technique that provides highly controlled and insulated combustion condition</w:t>
      </w:r>
      <w:commentRangeEnd w:id="13"/>
      <w:r w:rsidR="00743768">
        <w:rPr>
          <w:rStyle w:val="CommentReference"/>
        </w:rPr>
        <w:commentReference w:id="13"/>
      </w:r>
      <w:r w:rsidRPr="1B9ADFC8">
        <w:t>s, leading to more accurate and reliable enthalpy of combustion values compared to the simple calorimetry setup used in this experiment.</w:t>
      </w:r>
    </w:p>
    <w:p w14:paraId="77EAFC2E" w14:textId="47551B51" w:rsidR="1CC0B707" w:rsidRDefault="6932CDC5" w:rsidP="1B9ADFC8">
      <w:pPr>
        <w:pStyle w:val="ListParagraph"/>
        <w:numPr>
          <w:ilvl w:val="0"/>
          <w:numId w:val="1"/>
        </w:numPr>
      </w:pPr>
      <w:r w:rsidRPr="1B9ADFC8">
        <w:rPr>
          <w:b/>
          <w:bCs/>
        </w:rPr>
        <w:t>Increase Trial</w:t>
      </w:r>
      <w:r w:rsidR="58E7B71A" w:rsidRPr="1B9ADFC8">
        <w:rPr>
          <w:b/>
          <w:bCs/>
        </w:rPr>
        <w:t>s</w:t>
      </w:r>
      <w:r w:rsidRPr="1B9ADFC8">
        <w:rPr>
          <w:b/>
          <w:bCs/>
        </w:rPr>
        <w:t>:</w:t>
      </w:r>
      <w:r w:rsidRPr="1B9ADFC8">
        <w:t xml:space="preserve"> Increasing the number of trials for each alcohol and ensuring all trials are conducted under consistently controlled conditions would enhance the robustness and statistical significance of the results. More </w:t>
      </w:r>
      <w:r w:rsidR="5A193328" w:rsidRPr="1B9ADFC8">
        <w:t>trial</w:t>
      </w:r>
      <w:r w:rsidRPr="1B9ADFC8">
        <w:t>s would allow for a more precise determination of average combustion enthalpy values and a better assessment of experimental uncertainty.</w:t>
      </w:r>
    </w:p>
    <w:p w14:paraId="33F11FF8" w14:textId="56A4B09F" w:rsidR="1B9ADFC8" w:rsidRDefault="1B9ADFC8" w:rsidP="1B9ADFC8"/>
    <w:p w14:paraId="52E26259" w14:textId="2E142642" w:rsidR="6879FC0D" w:rsidRDefault="6879FC0D" w:rsidP="1B9ADFC8">
      <w:pPr>
        <w:pStyle w:val="Heading1"/>
      </w:pPr>
      <w:r>
        <w:t>Conclusion:</w:t>
      </w:r>
    </w:p>
    <w:p w14:paraId="5A584AC6" w14:textId="51A2B163" w:rsidR="38829A46" w:rsidRDefault="38829A46" w:rsidP="1B9ADFC8">
      <w:r>
        <w:t>Th</w:t>
      </w:r>
      <w:r w:rsidR="4727AF29">
        <w:t>e experimental</w:t>
      </w:r>
      <w:r>
        <w:t xml:space="preserve"> </w:t>
      </w:r>
      <w:r w:rsidR="4DA5B304" w:rsidRPr="72399ADB">
        <w:t xml:space="preserve">evidence provides partial support for the research </w:t>
      </w:r>
      <w:r w:rsidR="7D987C52" w:rsidRPr="72399ADB">
        <w:t xml:space="preserve">question, </w:t>
      </w:r>
      <w:r w:rsidR="017FE552" w:rsidRPr="72399ADB">
        <w:t>demonstrating</w:t>
      </w:r>
      <w:r w:rsidR="7D987C52" w:rsidRPr="72399ADB">
        <w:t xml:space="preserve"> that</w:t>
      </w:r>
      <w:r>
        <w:t xml:space="preserve"> increasing the number of carbon atoms in alcohols correlates with a greater magnitude of combustion enthalpy, as pentanol (5 carbons) released significantly more energy per gram (-11.70 kJ/g) compared to methanol (-6.29 kJ/g) and ethanol (-5.91 kJ/g). The trend aligns with theoretical predictions of higher bond enthalpy for molecules with more carbon atoms. However, the minimal difference between methanol and ethanol suggests non-linear behavior or experimental limitations, such as high percentage errors (72.2–80.1%) and reliance on borrowed pentanol data. A broader range of alcohols and improved calorimetry could clarify this relationship.</w:t>
      </w:r>
    </w:p>
    <w:p w14:paraId="6EBA53C0" w14:textId="05115991" w:rsidR="69624C91" w:rsidRDefault="69624C91">
      <w:r>
        <w:br w:type="page"/>
      </w:r>
    </w:p>
    <w:p w14:paraId="0BC2FF33" w14:textId="3DCBF032" w:rsidR="410716BF" w:rsidRDefault="410716BF" w:rsidP="4D37911B">
      <w:pPr>
        <w:pStyle w:val="Heading1"/>
      </w:pPr>
      <w:r>
        <w:lastRenderedPageBreak/>
        <w:t>References:</w:t>
      </w:r>
    </w:p>
    <w:p w14:paraId="4C51E493" w14:textId="072353A5" w:rsidR="0B3C06FB" w:rsidRDefault="0B3C06FB" w:rsidP="64F0A789">
      <w:pPr>
        <w:pStyle w:val="ListParagraph"/>
        <w:numPr>
          <w:ilvl w:val="0"/>
          <w:numId w:val="14"/>
        </w:numPr>
      </w:pPr>
      <w:r w:rsidRPr="00355189">
        <w:rPr>
          <w:rFonts w:ascii="Times New Roman" w:eastAsia="Times New Roman" w:hAnsi="Times New Roman" w:cs="Times New Roman"/>
          <w:lang w:val="fr-FR"/>
        </w:rPr>
        <w:t xml:space="preserve">Atkins, P. and De Paula, J. (2010). </w:t>
      </w:r>
      <w:r w:rsidRPr="64F0A789">
        <w:rPr>
          <w:rFonts w:ascii="Times New Roman" w:eastAsia="Times New Roman" w:hAnsi="Times New Roman" w:cs="Times New Roman"/>
          <w:i/>
          <w:iCs/>
        </w:rPr>
        <w:t>Physical Chemistry</w:t>
      </w:r>
      <w:r w:rsidRPr="64F0A789">
        <w:rPr>
          <w:rFonts w:ascii="Times New Roman" w:eastAsia="Times New Roman" w:hAnsi="Times New Roman" w:cs="Times New Roman"/>
        </w:rPr>
        <w:t xml:space="preserve">. 9th ed. [online] Oxford University Press. Available at: </w:t>
      </w:r>
      <w:hyperlink r:id="rId15">
        <w:r w:rsidRPr="64F0A789">
          <w:rPr>
            <w:rStyle w:val="Hyperlink"/>
            <w:rFonts w:ascii="Times New Roman" w:eastAsia="Times New Roman" w:hAnsi="Times New Roman" w:cs="Times New Roman"/>
          </w:rPr>
          <w:t>https://tech.chemistrydocs.com/Books/Physical/Atkins-Physical-Chemistry-9e-by-Peter-Atkins-and-Julio-de-Paula.pdf</w:t>
        </w:r>
      </w:hyperlink>
      <w:r w:rsidRPr="64F0A789">
        <w:rPr>
          <w:rFonts w:ascii="Times New Roman" w:eastAsia="Times New Roman" w:hAnsi="Times New Roman" w:cs="Times New Roman"/>
        </w:rPr>
        <w:t xml:space="preserve"> [Accessed 3 Mar. 2025].</w:t>
      </w:r>
    </w:p>
    <w:p w14:paraId="57BF297A" w14:textId="62725C9E" w:rsidR="19BF9BFE" w:rsidRDefault="19BF9BFE" w:rsidP="64F0A789">
      <w:pPr>
        <w:pStyle w:val="ListParagraph"/>
        <w:numPr>
          <w:ilvl w:val="0"/>
          <w:numId w:val="13"/>
        </w:numPr>
        <w:rPr>
          <w:rFonts w:ascii="Times New Roman" w:eastAsia="Times New Roman" w:hAnsi="Times New Roman" w:cs="Times New Roman"/>
        </w:rPr>
      </w:pPr>
      <w:r w:rsidRPr="64F0A789">
        <w:rPr>
          <w:rFonts w:ascii="Times New Roman" w:eastAsia="Times New Roman" w:hAnsi="Times New Roman" w:cs="Times New Roman"/>
        </w:rPr>
        <w:t xml:space="preserve">Glassman, I. and </w:t>
      </w:r>
      <w:proofErr w:type="spellStart"/>
      <w:r w:rsidRPr="64F0A789">
        <w:rPr>
          <w:rFonts w:ascii="Times New Roman" w:eastAsia="Times New Roman" w:hAnsi="Times New Roman" w:cs="Times New Roman"/>
        </w:rPr>
        <w:t>Yetter</w:t>
      </w:r>
      <w:proofErr w:type="spellEnd"/>
      <w:r w:rsidRPr="64F0A789">
        <w:rPr>
          <w:rFonts w:ascii="Times New Roman" w:eastAsia="Times New Roman" w:hAnsi="Times New Roman" w:cs="Times New Roman"/>
        </w:rPr>
        <w:t xml:space="preserve">, R.A. (2008). </w:t>
      </w:r>
      <w:r w:rsidRPr="64F0A789">
        <w:rPr>
          <w:rFonts w:ascii="Times New Roman" w:eastAsia="Times New Roman" w:hAnsi="Times New Roman" w:cs="Times New Roman"/>
          <w:i/>
          <w:iCs/>
        </w:rPr>
        <w:t>Combustion (Fourth Edition)</w:t>
      </w:r>
      <w:r w:rsidRPr="64F0A789">
        <w:rPr>
          <w:rFonts w:ascii="Times New Roman" w:eastAsia="Times New Roman" w:hAnsi="Times New Roman" w:cs="Times New Roman"/>
        </w:rPr>
        <w:t xml:space="preserve">. [online] Available at: </w:t>
      </w:r>
      <w:hyperlink r:id="rId16">
        <w:r w:rsidRPr="64F0A789">
          <w:rPr>
            <w:rStyle w:val="Hyperlink"/>
            <w:rFonts w:ascii="Times New Roman" w:eastAsia="Times New Roman" w:hAnsi="Times New Roman" w:cs="Times New Roman"/>
          </w:rPr>
          <w:t>https://research.iaun.ac.ir/pd/ekianpour/pdfs/UploadFile_8224.pdf</w:t>
        </w:r>
      </w:hyperlink>
      <w:r w:rsidRPr="64F0A789">
        <w:rPr>
          <w:rFonts w:ascii="Times New Roman" w:eastAsia="Times New Roman" w:hAnsi="Times New Roman" w:cs="Times New Roman"/>
        </w:rPr>
        <w:t xml:space="preserve"> [Accessed 3 Mar. 2025].</w:t>
      </w:r>
    </w:p>
    <w:p w14:paraId="7E653B4B" w14:textId="0CDA53FE" w:rsidR="57C246C7" w:rsidRDefault="57C246C7" w:rsidP="72399ADB">
      <w:pPr>
        <w:pStyle w:val="ListParagraph"/>
        <w:numPr>
          <w:ilvl w:val="0"/>
          <w:numId w:val="11"/>
        </w:numPr>
      </w:pPr>
      <w:r w:rsidRPr="72399ADB">
        <w:rPr>
          <w:rFonts w:ascii="Times New Roman" w:eastAsia="Times New Roman" w:hAnsi="Times New Roman" w:cs="Times New Roman"/>
        </w:rPr>
        <w:t xml:space="preserve">International Energy Agency (IEA) (2021). </w:t>
      </w:r>
      <w:r w:rsidRPr="72399ADB">
        <w:rPr>
          <w:rFonts w:ascii="Times New Roman" w:eastAsia="Times New Roman" w:hAnsi="Times New Roman" w:cs="Times New Roman"/>
          <w:i/>
          <w:iCs/>
        </w:rPr>
        <w:t>World Energy Outlook 2021 – Analysis</w:t>
      </w:r>
      <w:r w:rsidRPr="72399ADB">
        <w:rPr>
          <w:rFonts w:ascii="Times New Roman" w:eastAsia="Times New Roman" w:hAnsi="Times New Roman" w:cs="Times New Roman"/>
        </w:rPr>
        <w:t xml:space="preserve">. [online] IEA.org. Available at: </w:t>
      </w:r>
      <w:hyperlink r:id="rId17">
        <w:r w:rsidRPr="72399ADB">
          <w:rPr>
            <w:rStyle w:val="Hyperlink"/>
            <w:rFonts w:ascii="Times New Roman" w:eastAsia="Times New Roman" w:hAnsi="Times New Roman" w:cs="Times New Roman"/>
          </w:rPr>
          <w:t>https://www.iea.org/reports/world-energy-outlook-2021</w:t>
        </w:r>
      </w:hyperlink>
      <w:r w:rsidRPr="72399ADB">
        <w:rPr>
          <w:rFonts w:ascii="Times New Roman" w:eastAsia="Times New Roman" w:hAnsi="Times New Roman" w:cs="Times New Roman"/>
        </w:rPr>
        <w:t xml:space="preserve"> [Accessed 3 Mar. 2025].</w:t>
      </w:r>
    </w:p>
    <w:p w14:paraId="3C6D3D57" w14:textId="72B110B9" w:rsidR="4FF947FE" w:rsidRDefault="4FF947FE" w:rsidP="72399ADB">
      <w:pPr>
        <w:pStyle w:val="ListParagraph"/>
        <w:numPr>
          <w:ilvl w:val="0"/>
          <w:numId w:val="11"/>
        </w:numPr>
      </w:pPr>
      <w:r w:rsidRPr="72399ADB">
        <w:rPr>
          <w:rFonts w:ascii="Times New Roman" w:eastAsia="Times New Roman" w:hAnsi="Times New Roman" w:cs="Times New Roman"/>
        </w:rPr>
        <w:t xml:space="preserve">National Institute of Standards and Technology </w:t>
      </w:r>
      <w:r w:rsidR="12998570" w:rsidRPr="72399ADB">
        <w:rPr>
          <w:rFonts w:ascii="Times New Roman" w:eastAsia="Times New Roman" w:hAnsi="Times New Roman" w:cs="Times New Roman"/>
        </w:rPr>
        <w:t xml:space="preserve">(NIST) </w:t>
      </w:r>
      <w:r w:rsidRPr="72399ADB">
        <w:rPr>
          <w:rFonts w:ascii="Times New Roman" w:eastAsia="Times New Roman" w:hAnsi="Times New Roman" w:cs="Times New Roman"/>
        </w:rPr>
        <w:t xml:space="preserve">(2023). </w:t>
      </w:r>
      <w:r w:rsidRPr="72399ADB">
        <w:rPr>
          <w:rFonts w:ascii="Times New Roman" w:eastAsia="Times New Roman" w:hAnsi="Times New Roman" w:cs="Times New Roman"/>
          <w:i/>
          <w:iCs/>
        </w:rPr>
        <w:t xml:space="preserve">NIST Chemistry </w:t>
      </w:r>
      <w:proofErr w:type="spellStart"/>
      <w:r w:rsidRPr="72399ADB">
        <w:rPr>
          <w:rFonts w:ascii="Times New Roman" w:eastAsia="Times New Roman" w:hAnsi="Times New Roman" w:cs="Times New Roman"/>
          <w:i/>
          <w:iCs/>
        </w:rPr>
        <w:t>WebBook</w:t>
      </w:r>
      <w:proofErr w:type="spellEnd"/>
      <w:r w:rsidRPr="72399ADB">
        <w:rPr>
          <w:rFonts w:ascii="Times New Roman" w:eastAsia="Times New Roman" w:hAnsi="Times New Roman" w:cs="Times New Roman"/>
          <w:i/>
          <w:iCs/>
        </w:rPr>
        <w:t xml:space="preserve"> - SRD 69</w:t>
      </w:r>
      <w:r w:rsidRPr="72399ADB">
        <w:rPr>
          <w:rFonts w:ascii="Times New Roman" w:eastAsia="Times New Roman" w:hAnsi="Times New Roman" w:cs="Times New Roman"/>
        </w:rPr>
        <w:t xml:space="preserve">. [online] NIST. Available at: </w:t>
      </w:r>
      <w:hyperlink r:id="rId18">
        <w:r w:rsidRPr="72399ADB">
          <w:rPr>
            <w:rStyle w:val="Hyperlink"/>
            <w:rFonts w:ascii="Times New Roman" w:eastAsia="Times New Roman" w:hAnsi="Times New Roman" w:cs="Times New Roman"/>
          </w:rPr>
          <w:t>https://webbook.nist.gov/chemistry/</w:t>
        </w:r>
      </w:hyperlink>
      <w:r w:rsidRPr="72399ADB">
        <w:rPr>
          <w:rFonts w:ascii="Times New Roman" w:eastAsia="Times New Roman" w:hAnsi="Times New Roman" w:cs="Times New Roman"/>
        </w:rPr>
        <w:t xml:space="preserve"> [Accessed 10 Mar. 2025].</w:t>
      </w:r>
    </w:p>
    <w:p w14:paraId="673054B1" w14:textId="2D9B1B1D" w:rsidR="336BC162" w:rsidRDefault="336BC162" w:rsidP="336BC162"/>
    <w:p w14:paraId="06A1E624" w14:textId="4253AC49" w:rsidR="6E7BADA8" w:rsidRDefault="6E7BADA8" w:rsidP="336BC162">
      <w:pPr>
        <w:pStyle w:val="Heading1"/>
      </w:pPr>
      <w:commentRangeStart w:id="14"/>
      <w:r>
        <w:t>Appendix:</w:t>
      </w:r>
      <w:commentRangeEnd w:id="14"/>
      <w:r w:rsidR="00217CDA">
        <w:rPr>
          <w:rStyle w:val="CommentReference"/>
          <w:b w:val="0"/>
          <w:bCs w:val="0"/>
          <w:u w:val="none"/>
        </w:rPr>
        <w:commentReference w:id="14"/>
      </w:r>
    </w:p>
    <w:p w14:paraId="3A0B0DBA" w14:textId="538577D6" w:rsidR="6E7BADA8" w:rsidRDefault="6E7BADA8" w:rsidP="336BC162">
      <w:pPr>
        <w:pStyle w:val="Heading2"/>
      </w:pPr>
      <w:r>
        <w:t>Full results/calculation tables</w:t>
      </w:r>
    </w:p>
    <w:tbl>
      <w:tblPr>
        <w:tblW w:w="0" w:type="auto"/>
        <w:tblLayout w:type="fixed"/>
        <w:tblLook w:val="06A0" w:firstRow="1" w:lastRow="0" w:firstColumn="1" w:lastColumn="0" w:noHBand="1" w:noVBand="1"/>
      </w:tblPr>
      <w:tblGrid>
        <w:gridCol w:w="1140"/>
        <w:gridCol w:w="706"/>
        <w:gridCol w:w="695"/>
        <w:gridCol w:w="695"/>
        <w:gridCol w:w="1234"/>
        <w:gridCol w:w="1234"/>
        <w:gridCol w:w="1225"/>
        <w:gridCol w:w="1225"/>
        <w:gridCol w:w="1204"/>
      </w:tblGrid>
      <w:tr w:rsidR="336BC162" w14:paraId="5780A79D"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33E25C9" w14:textId="6DA00489" w:rsidR="336BC162" w:rsidRDefault="336BC162" w:rsidP="336BC162">
            <w:pPr>
              <w:spacing w:after="0"/>
              <w:jc w:val="center"/>
              <w:rPr>
                <w:rFonts w:ascii="Aptos Narrow" w:eastAsia="Aptos Narrow" w:hAnsi="Aptos Narrow" w:cs="Aptos Narrow"/>
                <w:b/>
                <w:bCs/>
                <w:color w:val="000000" w:themeColor="text1"/>
                <w:sz w:val="20"/>
                <w:szCs w:val="20"/>
                <w:u w:val="single"/>
              </w:rPr>
            </w:pPr>
            <w:r w:rsidRPr="336BC162">
              <w:rPr>
                <w:rFonts w:ascii="Aptos Narrow" w:eastAsia="Aptos Narrow" w:hAnsi="Aptos Narrow" w:cs="Aptos Narrow"/>
                <w:b/>
                <w:bCs/>
                <w:color w:val="000000" w:themeColor="text1"/>
                <w:sz w:val="20"/>
                <w:szCs w:val="20"/>
                <w:u w:val="single"/>
              </w:rPr>
              <w:t>Methanol</w:t>
            </w:r>
          </w:p>
        </w:tc>
        <w:tc>
          <w:tcPr>
            <w:tcW w:w="7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E5EA3C3" w14:textId="19E0608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Alcohol Mass (g)</w:t>
            </w:r>
          </w:p>
        </w:tc>
        <w:tc>
          <w:tcPr>
            <w:tcW w:w="6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270A0DD" w14:textId="55E8C66D"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Water Temp (°C)</w:t>
            </w:r>
          </w:p>
        </w:tc>
        <w:tc>
          <w:tcPr>
            <w:tcW w:w="6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C60C1A6" w14:textId="57F73CC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Water Mass (g)</w:t>
            </w:r>
          </w:p>
        </w:tc>
        <w:tc>
          <w:tcPr>
            <w:tcW w:w="12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D4D5E9D" w14:textId="634B4D3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Combustion Enthalpy (kJ/g)</w:t>
            </w:r>
          </w:p>
        </w:tc>
        <w:tc>
          <w:tcPr>
            <w:tcW w:w="123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ED64A51" w14:textId="587473F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Bond Enthalpy</w:t>
            </w:r>
          </w:p>
        </w:tc>
        <w:tc>
          <w:tcPr>
            <w:tcW w:w="12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82B576D" w14:textId="73191B5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Absolute Uncertainty</w:t>
            </w:r>
          </w:p>
        </w:tc>
        <w:tc>
          <w:tcPr>
            <w:tcW w:w="12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01CD34E" w14:textId="4D30DEC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Percentage / Relative Uncertainty</w:t>
            </w:r>
          </w:p>
        </w:tc>
        <w:tc>
          <w:tcPr>
            <w:tcW w:w="120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1534F14" w14:textId="6D18F67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Percentage Error</w:t>
            </w:r>
          </w:p>
        </w:tc>
      </w:tr>
      <w:tr w:rsidR="336BC162" w14:paraId="65C70652"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614454F8" w14:textId="19D38E2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1 Before</w:t>
            </w:r>
          </w:p>
        </w:tc>
        <w:tc>
          <w:tcPr>
            <w:tcW w:w="706" w:type="dxa"/>
            <w:tcBorders>
              <w:top w:val="single" w:sz="12" w:space="0" w:color="000000" w:themeColor="text1"/>
              <w:left w:val="single" w:sz="12" w:space="0" w:color="000000" w:themeColor="text1"/>
              <w:bottom w:val="nil"/>
              <w:right w:val="nil"/>
            </w:tcBorders>
            <w:tcMar>
              <w:top w:w="15" w:type="dxa"/>
              <w:left w:w="15" w:type="dxa"/>
              <w:right w:w="15" w:type="dxa"/>
            </w:tcMar>
            <w:vAlign w:val="center"/>
          </w:tcPr>
          <w:p w14:paraId="02099BD9" w14:textId="1634522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136.3</w:t>
            </w:r>
          </w:p>
        </w:tc>
        <w:tc>
          <w:tcPr>
            <w:tcW w:w="695" w:type="dxa"/>
            <w:tcBorders>
              <w:top w:val="single" w:sz="12" w:space="0" w:color="000000" w:themeColor="text1"/>
              <w:left w:val="nil"/>
              <w:bottom w:val="nil"/>
              <w:right w:val="nil"/>
            </w:tcBorders>
            <w:tcMar>
              <w:top w:w="15" w:type="dxa"/>
              <w:left w:w="15" w:type="dxa"/>
              <w:right w:w="15" w:type="dxa"/>
            </w:tcMar>
            <w:vAlign w:val="center"/>
          </w:tcPr>
          <w:p w14:paraId="50BF9A15" w14:textId="4BD5D4C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26.7</w:t>
            </w:r>
          </w:p>
        </w:tc>
        <w:tc>
          <w:tcPr>
            <w:tcW w:w="695" w:type="dxa"/>
            <w:tcBorders>
              <w:top w:val="single" w:sz="12" w:space="0" w:color="000000" w:themeColor="text1"/>
              <w:left w:val="nil"/>
              <w:bottom w:val="nil"/>
              <w:right w:val="nil"/>
            </w:tcBorders>
            <w:tcMar>
              <w:top w:w="15" w:type="dxa"/>
              <w:left w:w="15" w:type="dxa"/>
              <w:right w:w="15" w:type="dxa"/>
            </w:tcMar>
            <w:vAlign w:val="center"/>
          </w:tcPr>
          <w:p w14:paraId="7FF8FDE2" w14:textId="2D21FAD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199.8</w:t>
            </w:r>
          </w:p>
        </w:tc>
        <w:tc>
          <w:tcPr>
            <w:tcW w:w="1234" w:type="dxa"/>
            <w:tcBorders>
              <w:top w:val="single" w:sz="12" w:space="0" w:color="000000" w:themeColor="text1"/>
              <w:left w:val="nil"/>
              <w:bottom w:val="nil"/>
              <w:right w:val="nil"/>
            </w:tcBorders>
            <w:tcMar>
              <w:top w:w="15" w:type="dxa"/>
              <w:left w:w="15" w:type="dxa"/>
              <w:right w:w="15" w:type="dxa"/>
            </w:tcMar>
            <w:vAlign w:val="center"/>
          </w:tcPr>
          <w:p w14:paraId="0D44E1E8" w14:textId="7407A6A0" w:rsidR="336BC162" w:rsidRDefault="336BC162" w:rsidP="336BC162">
            <w:pPr>
              <w:rPr>
                <w:sz w:val="20"/>
                <w:szCs w:val="20"/>
              </w:rPr>
            </w:pPr>
          </w:p>
        </w:tc>
        <w:tc>
          <w:tcPr>
            <w:tcW w:w="1234" w:type="dxa"/>
            <w:tcBorders>
              <w:top w:val="single" w:sz="12" w:space="0" w:color="000000" w:themeColor="text1"/>
              <w:left w:val="nil"/>
              <w:bottom w:val="nil"/>
              <w:right w:val="nil"/>
            </w:tcBorders>
            <w:tcMar>
              <w:top w:w="15" w:type="dxa"/>
              <w:left w:w="15" w:type="dxa"/>
              <w:right w:w="15" w:type="dxa"/>
            </w:tcMar>
            <w:vAlign w:val="center"/>
          </w:tcPr>
          <w:p w14:paraId="41F6F986" w14:textId="62ED26AC" w:rsidR="336BC162" w:rsidRDefault="336BC162" w:rsidP="336BC162">
            <w:pPr>
              <w:rPr>
                <w:sz w:val="20"/>
                <w:szCs w:val="20"/>
              </w:rPr>
            </w:pPr>
          </w:p>
        </w:tc>
        <w:tc>
          <w:tcPr>
            <w:tcW w:w="1225" w:type="dxa"/>
            <w:tcBorders>
              <w:top w:val="single" w:sz="12" w:space="0" w:color="000000" w:themeColor="text1"/>
              <w:left w:val="nil"/>
              <w:bottom w:val="nil"/>
              <w:right w:val="nil"/>
            </w:tcBorders>
            <w:tcMar>
              <w:top w:w="15" w:type="dxa"/>
              <w:left w:w="15" w:type="dxa"/>
              <w:right w:w="15" w:type="dxa"/>
            </w:tcMar>
            <w:vAlign w:val="center"/>
          </w:tcPr>
          <w:p w14:paraId="696B9309" w14:textId="7F9ED8D7" w:rsidR="336BC162" w:rsidRDefault="336BC162" w:rsidP="336BC162">
            <w:pPr>
              <w:rPr>
                <w:sz w:val="20"/>
                <w:szCs w:val="20"/>
              </w:rPr>
            </w:pPr>
          </w:p>
        </w:tc>
        <w:tc>
          <w:tcPr>
            <w:tcW w:w="1225" w:type="dxa"/>
            <w:tcBorders>
              <w:top w:val="single" w:sz="12" w:space="0" w:color="000000" w:themeColor="text1"/>
              <w:left w:val="nil"/>
              <w:bottom w:val="nil"/>
              <w:right w:val="nil"/>
            </w:tcBorders>
            <w:tcMar>
              <w:top w:w="15" w:type="dxa"/>
              <w:left w:w="15" w:type="dxa"/>
              <w:right w:w="15" w:type="dxa"/>
            </w:tcMar>
            <w:vAlign w:val="center"/>
          </w:tcPr>
          <w:p w14:paraId="01397AD3" w14:textId="75761179" w:rsidR="336BC162" w:rsidRDefault="336BC162" w:rsidP="336BC162">
            <w:pPr>
              <w:rPr>
                <w:sz w:val="20"/>
                <w:szCs w:val="20"/>
              </w:rPr>
            </w:pPr>
          </w:p>
        </w:tc>
        <w:tc>
          <w:tcPr>
            <w:tcW w:w="1204" w:type="dxa"/>
            <w:tcBorders>
              <w:top w:val="single" w:sz="12" w:space="0" w:color="000000" w:themeColor="text1"/>
              <w:left w:val="nil"/>
              <w:bottom w:val="nil"/>
              <w:right w:val="single" w:sz="12" w:space="0" w:color="000000" w:themeColor="text1"/>
            </w:tcBorders>
            <w:tcMar>
              <w:top w:w="15" w:type="dxa"/>
              <w:left w:w="15" w:type="dxa"/>
              <w:right w:w="15" w:type="dxa"/>
            </w:tcMar>
            <w:vAlign w:val="center"/>
          </w:tcPr>
          <w:p w14:paraId="68FC6CFD" w14:textId="005BBC1C" w:rsidR="336BC162" w:rsidRDefault="336BC162" w:rsidP="336BC162">
            <w:pPr>
              <w:rPr>
                <w:sz w:val="20"/>
                <w:szCs w:val="20"/>
              </w:rPr>
            </w:pPr>
          </w:p>
        </w:tc>
      </w:tr>
      <w:tr w:rsidR="336BC162" w14:paraId="64DF9672"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57A92474" w14:textId="18EB50A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1 After</w:t>
            </w:r>
          </w:p>
        </w:tc>
        <w:tc>
          <w:tcPr>
            <w:tcW w:w="706" w:type="dxa"/>
            <w:tcBorders>
              <w:top w:val="nil"/>
              <w:left w:val="single" w:sz="12" w:space="0" w:color="000000" w:themeColor="text1"/>
              <w:bottom w:val="nil"/>
              <w:right w:val="nil"/>
            </w:tcBorders>
            <w:tcMar>
              <w:top w:w="15" w:type="dxa"/>
              <w:left w:w="15" w:type="dxa"/>
              <w:right w:w="15" w:type="dxa"/>
            </w:tcMar>
            <w:vAlign w:val="center"/>
          </w:tcPr>
          <w:p w14:paraId="5EB7BC42" w14:textId="30CB62C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134.9</w:t>
            </w:r>
          </w:p>
        </w:tc>
        <w:tc>
          <w:tcPr>
            <w:tcW w:w="695" w:type="dxa"/>
            <w:tcBorders>
              <w:top w:val="nil"/>
              <w:left w:val="nil"/>
              <w:bottom w:val="nil"/>
              <w:right w:val="nil"/>
            </w:tcBorders>
            <w:tcMar>
              <w:top w:w="15" w:type="dxa"/>
              <w:left w:w="15" w:type="dxa"/>
              <w:right w:w="15" w:type="dxa"/>
            </w:tcMar>
            <w:vAlign w:val="center"/>
          </w:tcPr>
          <w:p w14:paraId="46A0276B" w14:textId="1701DC8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36.7</w:t>
            </w:r>
          </w:p>
        </w:tc>
        <w:tc>
          <w:tcPr>
            <w:tcW w:w="695" w:type="dxa"/>
            <w:tcBorders>
              <w:top w:val="nil"/>
              <w:left w:val="nil"/>
              <w:bottom w:val="nil"/>
              <w:right w:val="nil"/>
            </w:tcBorders>
            <w:tcMar>
              <w:top w:w="15" w:type="dxa"/>
              <w:left w:w="15" w:type="dxa"/>
              <w:right w:w="15" w:type="dxa"/>
            </w:tcMar>
            <w:vAlign w:val="center"/>
          </w:tcPr>
          <w:p w14:paraId="2E32908B" w14:textId="167AA17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199.8</w:t>
            </w:r>
          </w:p>
        </w:tc>
        <w:tc>
          <w:tcPr>
            <w:tcW w:w="1234" w:type="dxa"/>
            <w:tcBorders>
              <w:top w:val="nil"/>
              <w:left w:val="nil"/>
              <w:bottom w:val="nil"/>
              <w:right w:val="nil"/>
            </w:tcBorders>
            <w:tcMar>
              <w:top w:w="15" w:type="dxa"/>
              <w:left w:w="15" w:type="dxa"/>
              <w:right w:w="15" w:type="dxa"/>
            </w:tcMar>
            <w:vAlign w:val="center"/>
          </w:tcPr>
          <w:p w14:paraId="2A4ED0BE" w14:textId="7083CC0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-5.971165714</w:t>
            </w:r>
          </w:p>
        </w:tc>
        <w:tc>
          <w:tcPr>
            <w:tcW w:w="1234" w:type="dxa"/>
            <w:tcBorders>
              <w:top w:val="nil"/>
              <w:left w:val="nil"/>
              <w:bottom w:val="nil"/>
              <w:right w:val="nil"/>
            </w:tcBorders>
            <w:tcMar>
              <w:top w:w="15" w:type="dxa"/>
              <w:left w:w="15" w:type="dxa"/>
              <w:right w:w="15" w:type="dxa"/>
            </w:tcMar>
            <w:vAlign w:val="center"/>
          </w:tcPr>
          <w:p w14:paraId="29B91C4C" w14:textId="6B96292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-22.64846966</w:t>
            </w:r>
          </w:p>
        </w:tc>
        <w:tc>
          <w:tcPr>
            <w:tcW w:w="1225" w:type="dxa"/>
            <w:tcBorders>
              <w:top w:val="nil"/>
              <w:left w:val="nil"/>
              <w:bottom w:val="nil"/>
              <w:right w:val="nil"/>
            </w:tcBorders>
            <w:tcMar>
              <w:top w:w="15" w:type="dxa"/>
              <w:left w:w="15" w:type="dxa"/>
              <w:right w:w="15" w:type="dxa"/>
            </w:tcMar>
            <w:vAlign w:val="center"/>
          </w:tcPr>
          <w:p w14:paraId="5E9E1EA2" w14:textId="213B0AE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0.304534312</w:t>
            </w:r>
          </w:p>
        </w:tc>
        <w:tc>
          <w:tcPr>
            <w:tcW w:w="1225" w:type="dxa"/>
            <w:tcBorders>
              <w:top w:val="nil"/>
              <w:left w:val="nil"/>
              <w:bottom w:val="nil"/>
              <w:right w:val="nil"/>
            </w:tcBorders>
            <w:tcMar>
              <w:top w:w="15" w:type="dxa"/>
              <w:left w:w="15" w:type="dxa"/>
              <w:right w:w="15" w:type="dxa"/>
            </w:tcMar>
            <w:vAlign w:val="center"/>
          </w:tcPr>
          <w:p w14:paraId="1CB3AE28" w14:textId="6A0824F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5.100081405</w:t>
            </w:r>
          </w:p>
        </w:tc>
        <w:tc>
          <w:tcPr>
            <w:tcW w:w="1204" w:type="dxa"/>
            <w:tcBorders>
              <w:top w:val="nil"/>
              <w:left w:val="nil"/>
              <w:bottom w:val="nil"/>
              <w:right w:val="single" w:sz="12" w:space="0" w:color="000000" w:themeColor="text1"/>
            </w:tcBorders>
            <w:tcMar>
              <w:top w:w="15" w:type="dxa"/>
              <w:left w:w="15" w:type="dxa"/>
              <w:right w:w="15" w:type="dxa"/>
            </w:tcMar>
            <w:vAlign w:val="center"/>
          </w:tcPr>
          <w:p w14:paraId="234739C8" w14:textId="14B8FF5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73.64%</w:t>
            </w:r>
          </w:p>
        </w:tc>
      </w:tr>
      <w:tr w:rsidR="336BC162" w14:paraId="30841E4F"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59F2D3FF" w14:textId="5F6A071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2 Before</w:t>
            </w:r>
          </w:p>
        </w:tc>
        <w:tc>
          <w:tcPr>
            <w:tcW w:w="706" w:type="dxa"/>
            <w:tcBorders>
              <w:top w:val="single" w:sz="8" w:space="0" w:color="000000" w:themeColor="text1"/>
              <w:left w:val="single" w:sz="12" w:space="0" w:color="000000" w:themeColor="text1"/>
              <w:bottom w:val="nil"/>
              <w:right w:val="nil"/>
            </w:tcBorders>
            <w:tcMar>
              <w:top w:w="15" w:type="dxa"/>
              <w:left w:w="15" w:type="dxa"/>
              <w:right w:w="15" w:type="dxa"/>
            </w:tcMar>
            <w:vAlign w:val="center"/>
          </w:tcPr>
          <w:p w14:paraId="19565898" w14:textId="1AB9362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134.9</w:t>
            </w:r>
          </w:p>
        </w:tc>
        <w:tc>
          <w:tcPr>
            <w:tcW w:w="695" w:type="dxa"/>
            <w:tcBorders>
              <w:top w:val="single" w:sz="8" w:space="0" w:color="000000" w:themeColor="text1"/>
              <w:left w:val="nil"/>
              <w:bottom w:val="nil"/>
              <w:right w:val="nil"/>
            </w:tcBorders>
            <w:tcMar>
              <w:top w:w="15" w:type="dxa"/>
              <w:left w:w="15" w:type="dxa"/>
              <w:right w:w="15" w:type="dxa"/>
            </w:tcMar>
            <w:vAlign w:val="center"/>
          </w:tcPr>
          <w:p w14:paraId="18482C26" w14:textId="05D42FB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26.8</w:t>
            </w:r>
          </w:p>
        </w:tc>
        <w:tc>
          <w:tcPr>
            <w:tcW w:w="695" w:type="dxa"/>
            <w:tcBorders>
              <w:top w:val="single" w:sz="8" w:space="0" w:color="000000" w:themeColor="text1"/>
              <w:left w:val="nil"/>
              <w:bottom w:val="nil"/>
              <w:right w:val="nil"/>
            </w:tcBorders>
            <w:tcMar>
              <w:top w:w="15" w:type="dxa"/>
              <w:left w:w="15" w:type="dxa"/>
              <w:right w:w="15" w:type="dxa"/>
            </w:tcMar>
            <w:vAlign w:val="center"/>
          </w:tcPr>
          <w:p w14:paraId="4313EBFE" w14:textId="118F3C2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200.2</w:t>
            </w:r>
          </w:p>
        </w:tc>
        <w:tc>
          <w:tcPr>
            <w:tcW w:w="1234" w:type="dxa"/>
            <w:tcBorders>
              <w:top w:val="single" w:sz="8" w:space="0" w:color="000000" w:themeColor="text1"/>
              <w:left w:val="nil"/>
              <w:bottom w:val="nil"/>
              <w:right w:val="nil"/>
            </w:tcBorders>
            <w:tcMar>
              <w:top w:w="15" w:type="dxa"/>
              <w:left w:w="15" w:type="dxa"/>
              <w:right w:w="15" w:type="dxa"/>
            </w:tcMar>
            <w:vAlign w:val="center"/>
          </w:tcPr>
          <w:p w14:paraId="792A0CE8" w14:textId="0DBC79B7" w:rsidR="336BC162" w:rsidRDefault="336BC162" w:rsidP="336BC162">
            <w:pPr>
              <w:rPr>
                <w:sz w:val="20"/>
                <w:szCs w:val="20"/>
              </w:rPr>
            </w:pPr>
          </w:p>
        </w:tc>
        <w:tc>
          <w:tcPr>
            <w:tcW w:w="1234" w:type="dxa"/>
            <w:tcBorders>
              <w:top w:val="single" w:sz="8" w:space="0" w:color="000000" w:themeColor="text1"/>
              <w:left w:val="nil"/>
              <w:bottom w:val="nil"/>
              <w:right w:val="nil"/>
            </w:tcBorders>
            <w:tcMar>
              <w:top w:w="15" w:type="dxa"/>
              <w:left w:w="15" w:type="dxa"/>
              <w:right w:w="15" w:type="dxa"/>
            </w:tcMar>
            <w:vAlign w:val="center"/>
          </w:tcPr>
          <w:p w14:paraId="4D2B2126" w14:textId="5F91B084" w:rsidR="336BC162" w:rsidRDefault="336BC162" w:rsidP="336BC162">
            <w:pPr>
              <w:rPr>
                <w:sz w:val="20"/>
                <w:szCs w:val="20"/>
              </w:rPr>
            </w:pPr>
          </w:p>
        </w:tc>
        <w:tc>
          <w:tcPr>
            <w:tcW w:w="1225" w:type="dxa"/>
            <w:tcBorders>
              <w:top w:val="single" w:sz="8" w:space="0" w:color="000000" w:themeColor="text1"/>
              <w:left w:val="nil"/>
              <w:bottom w:val="nil"/>
              <w:right w:val="nil"/>
            </w:tcBorders>
            <w:tcMar>
              <w:top w:w="15" w:type="dxa"/>
              <w:left w:w="15" w:type="dxa"/>
              <w:right w:w="15" w:type="dxa"/>
            </w:tcMar>
            <w:vAlign w:val="center"/>
          </w:tcPr>
          <w:p w14:paraId="11ED7C12" w14:textId="49DBABF4" w:rsidR="336BC162" w:rsidRDefault="336BC162" w:rsidP="336BC162">
            <w:pPr>
              <w:rPr>
                <w:sz w:val="20"/>
                <w:szCs w:val="20"/>
              </w:rPr>
            </w:pPr>
          </w:p>
        </w:tc>
        <w:tc>
          <w:tcPr>
            <w:tcW w:w="1225" w:type="dxa"/>
            <w:tcBorders>
              <w:top w:val="single" w:sz="8" w:space="0" w:color="000000" w:themeColor="text1"/>
              <w:left w:val="nil"/>
              <w:bottom w:val="nil"/>
              <w:right w:val="nil"/>
            </w:tcBorders>
            <w:tcMar>
              <w:top w:w="15" w:type="dxa"/>
              <w:left w:w="15" w:type="dxa"/>
              <w:right w:w="15" w:type="dxa"/>
            </w:tcMar>
            <w:vAlign w:val="center"/>
          </w:tcPr>
          <w:p w14:paraId="447425BD" w14:textId="238DFACE" w:rsidR="336BC162" w:rsidRDefault="336BC162" w:rsidP="336BC162">
            <w:pPr>
              <w:rPr>
                <w:sz w:val="20"/>
                <w:szCs w:val="20"/>
              </w:rPr>
            </w:pPr>
          </w:p>
        </w:tc>
        <w:tc>
          <w:tcPr>
            <w:tcW w:w="1204" w:type="dxa"/>
            <w:tcBorders>
              <w:top w:val="single" w:sz="8" w:space="0" w:color="000000" w:themeColor="text1"/>
              <w:left w:val="nil"/>
              <w:bottom w:val="nil"/>
              <w:right w:val="single" w:sz="12" w:space="0" w:color="000000" w:themeColor="text1"/>
            </w:tcBorders>
            <w:tcMar>
              <w:top w:w="15" w:type="dxa"/>
              <w:left w:w="15" w:type="dxa"/>
              <w:right w:w="15" w:type="dxa"/>
            </w:tcMar>
            <w:vAlign w:val="center"/>
          </w:tcPr>
          <w:p w14:paraId="27538414" w14:textId="415B494C" w:rsidR="336BC162" w:rsidRDefault="336BC162" w:rsidP="336BC162">
            <w:pPr>
              <w:rPr>
                <w:sz w:val="20"/>
                <w:szCs w:val="20"/>
              </w:rPr>
            </w:pPr>
          </w:p>
        </w:tc>
      </w:tr>
      <w:tr w:rsidR="336BC162" w14:paraId="4FD50DA1"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37FE56FB" w14:textId="114A959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2 After</w:t>
            </w:r>
          </w:p>
        </w:tc>
        <w:tc>
          <w:tcPr>
            <w:tcW w:w="706" w:type="dxa"/>
            <w:tcBorders>
              <w:top w:val="nil"/>
              <w:left w:val="single" w:sz="12" w:space="0" w:color="000000" w:themeColor="text1"/>
              <w:bottom w:val="nil"/>
              <w:right w:val="nil"/>
            </w:tcBorders>
            <w:tcMar>
              <w:top w:w="15" w:type="dxa"/>
              <w:left w:w="15" w:type="dxa"/>
              <w:right w:w="15" w:type="dxa"/>
            </w:tcMar>
            <w:vAlign w:val="center"/>
          </w:tcPr>
          <w:p w14:paraId="6A11BBDA" w14:textId="07E8A8A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133.6</w:t>
            </w:r>
          </w:p>
        </w:tc>
        <w:tc>
          <w:tcPr>
            <w:tcW w:w="695" w:type="dxa"/>
            <w:tcBorders>
              <w:top w:val="nil"/>
              <w:left w:val="nil"/>
              <w:bottom w:val="nil"/>
              <w:right w:val="nil"/>
            </w:tcBorders>
            <w:tcMar>
              <w:top w:w="15" w:type="dxa"/>
              <w:left w:w="15" w:type="dxa"/>
              <w:right w:w="15" w:type="dxa"/>
            </w:tcMar>
            <w:vAlign w:val="center"/>
          </w:tcPr>
          <w:p w14:paraId="7FC4FDEB" w14:textId="010D531D"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36.8</w:t>
            </w:r>
          </w:p>
        </w:tc>
        <w:tc>
          <w:tcPr>
            <w:tcW w:w="695" w:type="dxa"/>
            <w:tcBorders>
              <w:top w:val="nil"/>
              <w:left w:val="nil"/>
              <w:bottom w:val="nil"/>
              <w:right w:val="nil"/>
            </w:tcBorders>
            <w:tcMar>
              <w:top w:w="15" w:type="dxa"/>
              <w:left w:w="15" w:type="dxa"/>
              <w:right w:w="15" w:type="dxa"/>
            </w:tcMar>
            <w:vAlign w:val="center"/>
          </w:tcPr>
          <w:p w14:paraId="4303B59F" w14:textId="3C87ABF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200.2</w:t>
            </w:r>
          </w:p>
        </w:tc>
        <w:tc>
          <w:tcPr>
            <w:tcW w:w="1234" w:type="dxa"/>
            <w:tcBorders>
              <w:top w:val="nil"/>
              <w:left w:val="nil"/>
              <w:bottom w:val="nil"/>
              <w:right w:val="nil"/>
            </w:tcBorders>
            <w:tcMar>
              <w:top w:w="15" w:type="dxa"/>
              <w:left w:w="15" w:type="dxa"/>
              <w:right w:w="15" w:type="dxa"/>
            </w:tcMar>
            <w:vAlign w:val="center"/>
          </w:tcPr>
          <w:p w14:paraId="7261ABF4" w14:textId="1A07FE3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-6.44336</w:t>
            </w:r>
          </w:p>
        </w:tc>
        <w:tc>
          <w:tcPr>
            <w:tcW w:w="1234" w:type="dxa"/>
            <w:tcBorders>
              <w:top w:val="nil"/>
              <w:left w:val="nil"/>
              <w:bottom w:val="nil"/>
              <w:right w:val="nil"/>
            </w:tcBorders>
            <w:tcMar>
              <w:top w:w="15" w:type="dxa"/>
              <w:left w:w="15" w:type="dxa"/>
              <w:right w:w="15" w:type="dxa"/>
            </w:tcMar>
            <w:vAlign w:val="center"/>
          </w:tcPr>
          <w:p w14:paraId="6A221012" w14:textId="72E4829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-22.64846966</w:t>
            </w:r>
          </w:p>
        </w:tc>
        <w:tc>
          <w:tcPr>
            <w:tcW w:w="1225" w:type="dxa"/>
            <w:tcBorders>
              <w:top w:val="nil"/>
              <w:left w:val="nil"/>
              <w:bottom w:val="nil"/>
              <w:right w:val="nil"/>
            </w:tcBorders>
            <w:tcMar>
              <w:top w:w="15" w:type="dxa"/>
              <w:left w:w="15" w:type="dxa"/>
              <w:right w:w="15" w:type="dxa"/>
            </w:tcMar>
            <w:vAlign w:val="center"/>
          </w:tcPr>
          <w:p w14:paraId="597B9632" w14:textId="26D8934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0.35342533</w:t>
            </w:r>
          </w:p>
        </w:tc>
        <w:tc>
          <w:tcPr>
            <w:tcW w:w="1225" w:type="dxa"/>
            <w:tcBorders>
              <w:top w:val="nil"/>
              <w:left w:val="nil"/>
              <w:bottom w:val="nil"/>
              <w:right w:val="nil"/>
            </w:tcBorders>
            <w:tcMar>
              <w:top w:w="15" w:type="dxa"/>
              <w:left w:w="15" w:type="dxa"/>
              <w:right w:w="15" w:type="dxa"/>
            </w:tcMar>
            <w:vAlign w:val="center"/>
          </w:tcPr>
          <w:p w14:paraId="50AAB702" w14:textId="55C09027"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5.485109167</w:t>
            </w:r>
          </w:p>
        </w:tc>
        <w:tc>
          <w:tcPr>
            <w:tcW w:w="1204" w:type="dxa"/>
            <w:tcBorders>
              <w:top w:val="nil"/>
              <w:left w:val="nil"/>
              <w:bottom w:val="nil"/>
              <w:right w:val="single" w:sz="12" w:space="0" w:color="000000" w:themeColor="text1"/>
            </w:tcBorders>
            <w:tcMar>
              <w:top w:w="15" w:type="dxa"/>
              <w:left w:w="15" w:type="dxa"/>
              <w:right w:w="15" w:type="dxa"/>
            </w:tcMar>
            <w:vAlign w:val="center"/>
          </w:tcPr>
          <w:p w14:paraId="493B8674" w14:textId="17437BC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71.55%</w:t>
            </w:r>
          </w:p>
        </w:tc>
      </w:tr>
      <w:tr w:rsidR="336BC162" w14:paraId="10B14A4A"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3ADB48A0" w14:textId="6697446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3 Before</w:t>
            </w:r>
          </w:p>
        </w:tc>
        <w:tc>
          <w:tcPr>
            <w:tcW w:w="706" w:type="dxa"/>
            <w:tcBorders>
              <w:top w:val="single" w:sz="8" w:space="0" w:color="000000" w:themeColor="text1"/>
              <w:left w:val="single" w:sz="12" w:space="0" w:color="000000" w:themeColor="text1"/>
              <w:bottom w:val="nil"/>
              <w:right w:val="nil"/>
            </w:tcBorders>
            <w:tcMar>
              <w:top w:w="15" w:type="dxa"/>
              <w:left w:w="15" w:type="dxa"/>
              <w:right w:w="15" w:type="dxa"/>
            </w:tcMar>
            <w:vAlign w:val="center"/>
          </w:tcPr>
          <w:p w14:paraId="072A208D" w14:textId="51BC883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133.6</w:t>
            </w:r>
          </w:p>
        </w:tc>
        <w:tc>
          <w:tcPr>
            <w:tcW w:w="695" w:type="dxa"/>
            <w:tcBorders>
              <w:top w:val="single" w:sz="8" w:space="0" w:color="000000" w:themeColor="text1"/>
              <w:left w:val="nil"/>
              <w:bottom w:val="nil"/>
              <w:right w:val="nil"/>
            </w:tcBorders>
            <w:tcMar>
              <w:top w:w="15" w:type="dxa"/>
              <w:left w:w="15" w:type="dxa"/>
              <w:right w:w="15" w:type="dxa"/>
            </w:tcMar>
            <w:vAlign w:val="center"/>
          </w:tcPr>
          <w:p w14:paraId="06225D86" w14:textId="3309BFA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27.3</w:t>
            </w:r>
          </w:p>
        </w:tc>
        <w:tc>
          <w:tcPr>
            <w:tcW w:w="695" w:type="dxa"/>
            <w:tcBorders>
              <w:top w:val="single" w:sz="8" w:space="0" w:color="000000" w:themeColor="text1"/>
              <w:left w:val="nil"/>
              <w:bottom w:val="nil"/>
              <w:right w:val="nil"/>
            </w:tcBorders>
            <w:tcMar>
              <w:top w:w="15" w:type="dxa"/>
              <w:left w:w="15" w:type="dxa"/>
              <w:right w:w="15" w:type="dxa"/>
            </w:tcMar>
            <w:vAlign w:val="center"/>
          </w:tcPr>
          <w:p w14:paraId="02606EF1" w14:textId="04248EE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200.7</w:t>
            </w:r>
          </w:p>
        </w:tc>
        <w:tc>
          <w:tcPr>
            <w:tcW w:w="1234" w:type="dxa"/>
            <w:tcBorders>
              <w:top w:val="single" w:sz="8" w:space="0" w:color="000000" w:themeColor="text1"/>
              <w:left w:val="nil"/>
              <w:bottom w:val="nil"/>
              <w:right w:val="nil"/>
            </w:tcBorders>
            <w:tcMar>
              <w:top w:w="15" w:type="dxa"/>
              <w:left w:w="15" w:type="dxa"/>
              <w:right w:w="15" w:type="dxa"/>
            </w:tcMar>
            <w:vAlign w:val="center"/>
          </w:tcPr>
          <w:p w14:paraId="28FEC680" w14:textId="2F610DE4" w:rsidR="336BC162" w:rsidRDefault="336BC162" w:rsidP="336BC162">
            <w:pPr>
              <w:rPr>
                <w:sz w:val="20"/>
                <w:szCs w:val="20"/>
              </w:rPr>
            </w:pPr>
          </w:p>
        </w:tc>
        <w:tc>
          <w:tcPr>
            <w:tcW w:w="1234" w:type="dxa"/>
            <w:tcBorders>
              <w:top w:val="single" w:sz="8" w:space="0" w:color="000000" w:themeColor="text1"/>
              <w:left w:val="nil"/>
              <w:bottom w:val="nil"/>
              <w:right w:val="nil"/>
            </w:tcBorders>
            <w:tcMar>
              <w:top w:w="15" w:type="dxa"/>
              <w:left w:w="15" w:type="dxa"/>
              <w:right w:w="15" w:type="dxa"/>
            </w:tcMar>
            <w:vAlign w:val="center"/>
          </w:tcPr>
          <w:p w14:paraId="1E08581C" w14:textId="1112ABCC" w:rsidR="336BC162" w:rsidRDefault="336BC162" w:rsidP="336BC162">
            <w:pPr>
              <w:rPr>
                <w:sz w:val="20"/>
                <w:szCs w:val="20"/>
              </w:rPr>
            </w:pPr>
          </w:p>
        </w:tc>
        <w:tc>
          <w:tcPr>
            <w:tcW w:w="1225" w:type="dxa"/>
            <w:tcBorders>
              <w:top w:val="single" w:sz="8" w:space="0" w:color="000000" w:themeColor="text1"/>
              <w:left w:val="nil"/>
              <w:bottom w:val="nil"/>
              <w:right w:val="nil"/>
            </w:tcBorders>
            <w:tcMar>
              <w:top w:w="15" w:type="dxa"/>
              <w:left w:w="15" w:type="dxa"/>
              <w:right w:w="15" w:type="dxa"/>
            </w:tcMar>
            <w:vAlign w:val="center"/>
          </w:tcPr>
          <w:p w14:paraId="5D679BFA" w14:textId="3F0AE7D1" w:rsidR="336BC162" w:rsidRDefault="336BC162" w:rsidP="336BC162">
            <w:pPr>
              <w:rPr>
                <w:sz w:val="20"/>
                <w:szCs w:val="20"/>
              </w:rPr>
            </w:pPr>
          </w:p>
        </w:tc>
        <w:tc>
          <w:tcPr>
            <w:tcW w:w="1225" w:type="dxa"/>
            <w:tcBorders>
              <w:top w:val="single" w:sz="8" w:space="0" w:color="000000" w:themeColor="text1"/>
              <w:left w:val="nil"/>
              <w:bottom w:val="nil"/>
              <w:right w:val="nil"/>
            </w:tcBorders>
            <w:tcMar>
              <w:top w:w="15" w:type="dxa"/>
              <w:left w:w="15" w:type="dxa"/>
              <w:right w:w="15" w:type="dxa"/>
            </w:tcMar>
            <w:vAlign w:val="center"/>
          </w:tcPr>
          <w:p w14:paraId="2C441426" w14:textId="657F0AC2" w:rsidR="336BC162" w:rsidRDefault="336BC162" w:rsidP="336BC162">
            <w:pPr>
              <w:rPr>
                <w:sz w:val="20"/>
                <w:szCs w:val="20"/>
              </w:rPr>
            </w:pPr>
          </w:p>
        </w:tc>
        <w:tc>
          <w:tcPr>
            <w:tcW w:w="1204" w:type="dxa"/>
            <w:tcBorders>
              <w:top w:val="single" w:sz="8" w:space="0" w:color="000000" w:themeColor="text1"/>
              <w:left w:val="nil"/>
              <w:bottom w:val="nil"/>
              <w:right w:val="single" w:sz="12" w:space="0" w:color="000000" w:themeColor="text1"/>
            </w:tcBorders>
            <w:tcMar>
              <w:top w:w="15" w:type="dxa"/>
              <w:left w:w="15" w:type="dxa"/>
              <w:right w:w="15" w:type="dxa"/>
            </w:tcMar>
            <w:vAlign w:val="center"/>
          </w:tcPr>
          <w:p w14:paraId="17F14E68" w14:textId="4EC0C017" w:rsidR="336BC162" w:rsidRDefault="336BC162" w:rsidP="336BC162">
            <w:pPr>
              <w:rPr>
                <w:sz w:val="20"/>
                <w:szCs w:val="20"/>
              </w:rPr>
            </w:pPr>
          </w:p>
        </w:tc>
      </w:tr>
      <w:tr w:rsidR="336BC162" w14:paraId="0A51AEC2"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9968AA4" w14:textId="77729B9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3 After</w:t>
            </w:r>
          </w:p>
        </w:tc>
        <w:tc>
          <w:tcPr>
            <w:tcW w:w="706" w:type="dxa"/>
            <w:tcBorders>
              <w:top w:val="nil"/>
              <w:left w:val="single" w:sz="12" w:space="0" w:color="000000" w:themeColor="text1"/>
              <w:bottom w:val="single" w:sz="12" w:space="0" w:color="000000" w:themeColor="text1"/>
              <w:right w:val="nil"/>
            </w:tcBorders>
            <w:tcMar>
              <w:top w:w="15" w:type="dxa"/>
              <w:left w:w="15" w:type="dxa"/>
              <w:right w:w="15" w:type="dxa"/>
            </w:tcMar>
            <w:vAlign w:val="center"/>
          </w:tcPr>
          <w:p w14:paraId="229459C4" w14:textId="4C09B99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132.3</w:t>
            </w:r>
          </w:p>
        </w:tc>
        <w:tc>
          <w:tcPr>
            <w:tcW w:w="695" w:type="dxa"/>
            <w:tcBorders>
              <w:top w:val="nil"/>
              <w:left w:val="nil"/>
              <w:bottom w:val="single" w:sz="12" w:space="0" w:color="000000" w:themeColor="text1"/>
              <w:right w:val="nil"/>
            </w:tcBorders>
            <w:tcMar>
              <w:top w:w="15" w:type="dxa"/>
              <w:left w:w="15" w:type="dxa"/>
              <w:right w:w="15" w:type="dxa"/>
            </w:tcMar>
            <w:vAlign w:val="center"/>
          </w:tcPr>
          <w:p w14:paraId="5C83BD7A" w14:textId="570539D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37.3</w:t>
            </w:r>
          </w:p>
        </w:tc>
        <w:tc>
          <w:tcPr>
            <w:tcW w:w="695" w:type="dxa"/>
            <w:tcBorders>
              <w:top w:val="nil"/>
              <w:left w:val="nil"/>
              <w:bottom w:val="single" w:sz="12" w:space="0" w:color="000000" w:themeColor="text1"/>
              <w:right w:val="nil"/>
            </w:tcBorders>
            <w:tcMar>
              <w:top w:w="15" w:type="dxa"/>
              <w:left w:w="15" w:type="dxa"/>
              <w:right w:w="15" w:type="dxa"/>
            </w:tcMar>
            <w:vAlign w:val="center"/>
          </w:tcPr>
          <w:p w14:paraId="549646BE" w14:textId="6876F9F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200.7</w:t>
            </w:r>
          </w:p>
        </w:tc>
        <w:tc>
          <w:tcPr>
            <w:tcW w:w="1234" w:type="dxa"/>
            <w:tcBorders>
              <w:top w:val="nil"/>
              <w:left w:val="nil"/>
              <w:bottom w:val="single" w:sz="12" w:space="0" w:color="000000" w:themeColor="text1"/>
              <w:right w:val="nil"/>
            </w:tcBorders>
            <w:tcMar>
              <w:top w:w="15" w:type="dxa"/>
              <w:left w:w="15" w:type="dxa"/>
              <w:right w:w="15" w:type="dxa"/>
            </w:tcMar>
            <w:vAlign w:val="center"/>
          </w:tcPr>
          <w:p w14:paraId="70EE1BFD" w14:textId="16FC158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-6.459452308</w:t>
            </w:r>
          </w:p>
        </w:tc>
        <w:tc>
          <w:tcPr>
            <w:tcW w:w="1234" w:type="dxa"/>
            <w:tcBorders>
              <w:top w:val="nil"/>
              <w:left w:val="nil"/>
              <w:bottom w:val="single" w:sz="12" w:space="0" w:color="000000" w:themeColor="text1"/>
              <w:right w:val="nil"/>
            </w:tcBorders>
            <w:tcMar>
              <w:top w:w="15" w:type="dxa"/>
              <w:left w:w="15" w:type="dxa"/>
              <w:right w:w="15" w:type="dxa"/>
            </w:tcMar>
            <w:vAlign w:val="center"/>
          </w:tcPr>
          <w:p w14:paraId="580D35BA" w14:textId="022FEE9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-22.64846966</w:t>
            </w:r>
          </w:p>
        </w:tc>
        <w:tc>
          <w:tcPr>
            <w:tcW w:w="1225" w:type="dxa"/>
            <w:tcBorders>
              <w:top w:val="nil"/>
              <w:left w:val="nil"/>
              <w:bottom w:val="single" w:sz="12" w:space="0" w:color="000000" w:themeColor="text1"/>
              <w:right w:val="nil"/>
            </w:tcBorders>
            <w:tcMar>
              <w:top w:w="15" w:type="dxa"/>
              <w:left w:w="15" w:type="dxa"/>
              <w:right w:w="15" w:type="dxa"/>
            </w:tcMar>
            <w:vAlign w:val="center"/>
          </w:tcPr>
          <w:p w14:paraId="339A1440" w14:textId="5B9D1AE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0.354307992</w:t>
            </w:r>
          </w:p>
        </w:tc>
        <w:tc>
          <w:tcPr>
            <w:tcW w:w="1225" w:type="dxa"/>
            <w:tcBorders>
              <w:top w:val="nil"/>
              <w:left w:val="nil"/>
              <w:bottom w:val="single" w:sz="12" w:space="0" w:color="000000" w:themeColor="text1"/>
              <w:right w:val="nil"/>
            </w:tcBorders>
            <w:tcMar>
              <w:top w:w="15" w:type="dxa"/>
              <w:left w:w="15" w:type="dxa"/>
              <w:right w:w="15" w:type="dxa"/>
            </w:tcMar>
            <w:vAlign w:val="center"/>
          </w:tcPr>
          <w:p w14:paraId="1C8EC10A" w14:textId="3970CD4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5.485108884</w:t>
            </w:r>
          </w:p>
        </w:tc>
        <w:tc>
          <w:tcPr>
            <w:tcW w:w="1204" w:type="dxa"/>
            <w:tcBorders>
              <w:top w:val="nil"/>
              <w:left w:val="nil"/>
              <w:bottom w:val="single" w:sz="12" w:space="0" w:color="000000" w:themeColor="text1"/>
              <w:right w:val="single" w:sz="12" w:space="0" w:color="000000" w:themeColor="text1"/>
            </w:tcBorders>
            <w:tcMar>
              <w:top w:w="15" w:type="dxa"/>
              <w:left w:w="15" w:type="dxa"/>
              <w:right w:w="15" w:type="dxa"/>
            </w:tcMar>
            <w:vAlign w:val="center"/>
          </w:tcPr>
          <w:p w14:paraId="001376FD" w14:textId="18B8FF57"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71.48%</w:t>
            </w:r>
          </w:p>
        </w:tc>
      </w:tr>
      <w:tr w:rsidR="336BC162" w14:paraId="4AABBD50" w14:textId="77777777" w:rsidTr="336BC162">
        <w:trPr>
          <w:trHeight w:val="855"/>
        </w:trPr>
        <w:tc>
          <w:tcPr>
            <w:tcW w:w="11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0A70119" w14:textId="58B1FBB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lastRenderedPageBreak/>
              <w:t>Average:</w:t>
            </w:r>
          </w:p>
        </w:tc>
        <w:tc>
          <w:tcPr>
            <w:tcW w:w="706" w:type="dxa"/>
            <w:tcBorders>
              <w:top w:val="single" w:sz="12" w:space="0" w:color="000000" w:themeColor="text1"/>
              <w:left w:val="single" w:sz="12" w:space="0" w:color="000000" w:themeColor="text1"/>
              <w:bottom w:val="single" w:sz="12" w:space="0" w:color="000000" w:themeColor="text1"/>
              <w:right w:val="nil"/>
            </w:tcBorders>
            <w:tcMar>
              <w:top w:w="15" w:type="dxa"/>
              <w:left w:w="15" w:type="dxa"/>
              <w:right w:w="15" w:type="dxa"/>
            </w:tcMar>
            <w:vAlign w:val="center"/>
          </w:tcPr>
          <w:p w14:paraId="4642FFD2" w14:textId="2D9D1FF9" w:rsidR="336BC162" w:rsidRDefault="336BC162" w:rsidP="336BC162">
            <w:pPr>
              <w:rPr>
                <w:sz w:val="20"/>
                <w:szCs w:val="20"/>
              </w:rPr>
            </w:pPr>
          </w:p>
        </w:tc>
        <w:tc>
          <w:tcPr>
            <w:tcW w:w="695"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2B30144C" w14:textId="75D04FB6" w:rsidR="336BC162" w:rsidRDefault="336BC162" w:rsidP="336BC162">
            <w:pPr>
              <w:rPr>
                <w:sz w:val="20"/>
                <w:szCs w:val="20"/>
              </w:rPr>
            </w:pPr>
          </w:p>
        </w:tc>
        <w:tc>
          <w:tcPr>
            <w:tcW w:w="695"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047C6AE5" w14:textId="20494758" w:rsidR="336BC162" w:rsidRDefault="336BC162" w:rsidP="336BC162">
            <w:pPr>
              <w:rPr>
                <w:sz w:val="20"/>
                <w:szCs w:val="20"/>
              </w:rPr>
            </w:pPr>
          </w:p>
        </w:tc>
        <w:tc>
          <w:tcPr>
            <w:tcW w:w="1234"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5BB9B6F8" w14:textId="1E617B0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-6.291326007</w:t>
            </w:r>
          </w:p>
        </w:tc>
        <w:tc>
          <w:tcPr>
            <w:tcW w:w="1234"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140DDA51" w14:textId="3B3EBFC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-22.64846966</w:t>
            </w:r>
          </w:p>
        </w:tc>
        <w:tc>
          <w:tcPr>
            <w:tcW w:w="1225"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2E9BD762" w14:textId="3A3AD7B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0.337422545</w:t>
            </w:r>
          </w:p>
        </w:tc>
        <w:tc>
          <w:tcPr>
            <w:tcW w:w="1225"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30B0AD48" w14:textId="1C2CE89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5.356766485</w:t>
            </w:r>
          </w:p>
        </w:tc>
        <w:tc>
          <w:tcPr>
            <w:tcW w:w="1204" w:type="dxa"/>
            <w:tcBorders>
              <w:top w:val="single" w:sz="12" w:space="0" w:color="000000" w:themeColor="text1"/>
              <w:left w:val="nil"/>
              <w:bottom w:val="single" w:sz="12" w:space="0" w:color="000000" w:themeColor="text1"/>
              <w:right w:val="single" w:sz="12" w:space="0" w:color="000000" w:themeColor="text1"/>
            </w:tcBorders>
            <w:tcMar>
              <w:top w:w="15" w:type="dxa"/>
              <w:left w:w="15" w:type="dxa"/>
              <w:right w:w="15" w:type="dxa"/>
            </w:tcMar>
            <w:vAlign w:val="center"/>
          </w:tcPr>
          <w:p w14:paraId="66E80575" w14:textId="482D8FB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72.22%</w:t>
            </w:r>
          </w:p>
        </w:tc>
      </w:tr>
    </w:tbl>
    <w:p w14:paraId="13B3637E" w14:textId="6C977205" w:rsidR="336BC162" w:rsidRDefault="336BC162"/>
    <w:tbl>
      <w:tblPr>
        <w:tblW w:w="0" w:type="auto"/>
        <w:tblLayout w:type="fixed"/>
        <w:tblLook w:val="06A0" w:firstRow="1" w:lastRow="0" w:firstColumn="1" w:lastColumn="0" w:noHBand="1" w:noVBand="1"/>
      </w:tblPr>
      <w:tblGrid>
        <w:gridCol w:w="1116"/>
        <w:gridCol w:w="708"/>
        <w:gridCol w:w="698"/>
        <w:gridCol w:w="698"/>
        <w:gridCol w:w="1237"/>
        <w:gridCol w:w="1237"/>
        <w:gridCol w:w="1229"/>
        <w:gridCol w:w="1229"/>
        <w:gridCol w:w="1208"/>
      </w:tblGrid>
      <w:tr w:rsidR="336BC162" w14:paraId="790F20AD"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954FF4F" w14:textId="04E6250B" w:rsidR="336BC162" w:rsidRDefault="336BC162" w:rsidP="336BC162">
            <w:pPr>
              <w:spacing w:after="0"/>
              <w:jc w:val="center"/>
              <w:rPr>
                <w:rFonts w:ascii="Aptos Narrow" w:eastAsia="Aptos Narrow" w:hAnsi="Aptos Narrow" w:cs="Aptos Narrow"/>
                <w:b/>
                <w:bCs/>
                <w:color w:val="000000" w:themeColor="text1"/>
                <w:sz w:val="20"/>
                <w:szCs w:val="20"/>
                <w:u w:val="single"/>
              </w:rPr>
            </w:pPr>
            <w:r w:rsidRPr="336BC162">
              <w:rPr>
                <w:rFonts w:ascii="Aptos Narrow" w:eastAsia="Aptos Narrow" w:hAnsi="Aptos Narrow" w:cs="Aptos Narrow"/>
                <w:b/>
                <w:bCs/>
                <w:color w:val="000000" w:themeColor="text1"/>
                <w:sz w:val="20"/>
                <w:szCs w:val="20"/>
                <w:u w:val="single"/>
              </w:rPr>
              <w:t>Ethanol</w:t>
            </w:r>
          </w:p>
        </w:tc>
        <w:tc>
          <w:tcPr>
            <w:tcW w:w="7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8955683" w14:textId="4242D8D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Alcohol Mass (g)</w:t>
            </w:r>
          </w:p>
        </w:tc>
        <w:tc>
          <w:tcPr>
            <w:tcW w:w="6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9F31140" w14:textId="4FF569C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Water Temp (°C)</w:t>
            </w:r>
          </w:p>
        </w:tc>
        <w:tc>
          <w:tcPr>
            <w:tcW w:w="6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5E6D8FAB" w14:textId="5FC9F1E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Water Mass (g)</w:t>
            </w:r>
          </w:p>
        </w:tc>
        <w:tc>
          <w:tcPr>
            <w:tcW w:w="12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8D534C4" w14:textId="60249DE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Combustion Enthalpy (kJ/g)</w:t>
            </w:r>
          </w:p>
        </w:tc>
        <w:tc>
          <w:tcPr>
            <w:tcW w:w="12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4B66077" w14:textId="5F0002C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Bond Enthalpy</w:t>
            </w:r>
          </w:p>
        </w:tc>
        <w:tc>
          <w:tcPr>
            <w:tcW w:w="122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631E29DE" w14:textId="63D040F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Absolute Uncertainty</w:t>
            </w:r>
          </w:p>
        </w:tc>
        <w:tc>
          <w:tcPr>
            <w:tcW w:w="122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09F7B64" w14:textId="663A167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Percentage / Relative Uncertainty</w:t>
            </w:r>
          </w:p>
        </w:tc>
        <w:tc>
          <w:tcPr>
            <w:tcW w:w="12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0EE8503" w14:textId="38E7EEC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Percentage Error</w:t>
            </w:r>
          </w:p>
        </w:tc>
      </w:tr>
      <w:tr w:rsidR="336BC162" w14:paraId="16074BB5"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293CF51" w14:textId="56183AC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1 Before</w:t>
            </w:r>
          </w:p>
        </w:tc>
        <w:tc>
          <w:tcPr>
            <w:tcW w:w="708" w:type="dxa"/>
            <w:tcBorders>
              <w:top w:val="single" w:sz="12" w:space="0" w:color="000000" w:themeColor="text1"/>
              <w:left w:val="single" w:sz="12" w:space="0" w:color="000000" w:themeColor="text1"/>
              <w:bottom w:val="nil"/>
              <w:right w:val="nil"/>
            </w:tcBorders>
            <w:tcMar>
              <w:top w:w="15" w:type="dxa"/>
              <w:left w:w="15" w:type="dxa"/>
              <w:right w:w="15" w:type="dxa"/>
            </w:tcMar>
            <w:vAlign w:val="center"/>
          </w:tcPr>
          <w:p w14:paraId="38F4BFDA" w14:textId="3487BEE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162.1</w:t>
            </w:r>
          </w:p>
        </w:tc>
        <w:tc>
          <w:tcPr>
            <w:tcW w:w="698" w:type="dxa"/>
            <w:tcBorders>
              <w:top w:val="single" w:sz="12" w:space="0" w:color="000000" w:themeColor="text1"/>
              <w:left w:val="nil"/>
              <w:bottom w:val="nil"/>
              <w:right w:val="nil"/>
            </w:tcBorders>
            <w:tcMar>
              <w:top w:w="15" w:type="dxa"/>
              <w:left w:w="15" w:type="dxa"/>
              <w:right w:w="15" w:type="dxa"/>
            </w:tcMar>
            <w:vAlign w:val="center"/>
          </w:tcPr>
          <w:p w14:paraId="67CA2034" w14:textId="40114B7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25.5</w:t>
            </w:r>
          </w:p>
        </w:tc>
        <w:tc>
          <w:tcPr>
            <w:tcW w:w="698" w:type="dxa"/>
            <w:tcBorders>
              <w:top w:val="single" w:sz="12" w:space="0" w:color="000000" w:themeColor="text1"/>
              <w:left w:val="nil"/>
              <w:bottom w:val="nil"/>
              <w:right w:val="nil"/>
            </w:tcBorders>
            <w:tcMar>
              <w:top w:w="15" w:type="dxa"/>
              <w:left w:w="15" w:type="dxa"/>
              <w:right w:w="15" w:type="dxa"/>
            </w:tcMar>
            <w:vAlign w:val="center"/>
          </w:tcPr>
          <w:p w14:paraId="00923501" w14:textId="0C7C713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200</w:t>
            </w:r>
          </w:p>
        </w:tc>
        <w:tc>
          <w:tcPr>
            <w:tcW w:w="1237" w:type="dxa"/>
            <w:tcBorders>
              <w:top w:val="single" w:sz="12" w:space="0" w:color="000000" w:themeColor="text1"/>
              <w:left w:val="nil"/>
              <w:bottom w:val="nil"/>
              <w:right w:val="nil"/>
            </w:tcBorders>
            <w:tcMar>
              <w:top w:w="15" w:type="dxa"/>
              <w:left w:w="15" w:type="dxa"/>
              <w:right w:w="15" w:type="dxa"/>
            </w:tcMar>
            <w:vAlign w:val="center"/>
          </w:tcPr>
          <w:p w14:paraId="142F91CC" w14:textId="6A185A3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-8.009371429</w:t>
            </w:r>
          </w:p>
        </w:tc>
        <w:tc>
          <w:tcPr>
            <w:tcW w:w="1237" w:type="dxa"/>
            <w:tcBorders>
              <w:top w:val="single" w:sz="12" w:space="0" w:color="000000" w:themeColor="text1"/>
              <w:left w:val="nil"/>
              <w:bottom w:val="nil"/>
              <w:right w:val="nil"/>
            </w:tcBorders>
            <w:tcMar>
              <w:top w:w="15" w:type="dxa"/>
              <w:left w:w="15" w:type="dxa"/>
              <w:right w:w="15" w:type="dxa"/>
            </w:tcMar>
            <w:vAlign w:val="center"/>
          </w:tcPr>
          <w:p w14:paraId="29D096F4" w14:textId="3A56F43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-29.68655032</w:t>
            </w:r>
          </w:p>
        </w:tc>
        <w:tc>
          <w:tcPr>
            <w:tcW w:w="1229" w:type="dxa"/>
            <w:tcBorders>
              <w:top w:val="single" w:sz="12" w:space="0" w:color="000000" w:themeColor="text1"/>
              <w:left w:val="nil"/>
              <w:bottom w:val="nil"/>
              <w:right w:val="nil"/>
            </w:tcBorders>
            <w:tcMar>
              <w:top w:w="15" w:type="dxa"/>
              <w:left w:w="15" w:type="dxa"/>
              <w:right w:w="15" w:type="dxa"/>
            </w:tcMar>
            <w:vAlign w:val="center"/>
          </w:tcPr>
          <w:p w14:paraId="101E8291" w14:textId="1F56D390"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0.27116487</w:t>
            </w:r>
          </w:p>
        </w:tc>
        <w:tc>
          <w:tcPr>
            <w:tcW w:w="1229" w:type="dxa"/>
            <w:tcBorders>
              <w:top w:val="single" w:sz="12" w:space="0" w:color="000000" w:themeColor="text1"/>
              <w:left w:val="nil"/>
              <w:bottom w:val="nil"/>
              <w:right w:val="nil"/>
            </w:tcBorders>
            <w:tcMar>
              <w:top w:w="15" w:type="dxa"/>
              <w:left w:w="15" w:type="dxa"/>
              <w:right w:w="15" w:type="dxa"/>
            </w:tcMar>
            <w:vAlign w:val="center"/>
          </w:tcPr>
          <w:p w14:paraId="79029556" w14:textId="63BF499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3.385594895</w:t>
            </w:r>
          </w:p>
        </w:tc>
        <w:tc>
          <w:tcPr>
            <w:tcW w:w="1208" w:type="dxa"/>
            <w:tcBorders>
              <w:top w:val="single" w:sz="12" w:space="0" w:color="000000" w:themeColor="text1"/>
              <w:left w:val="nil"/>
              <w:bottom w:val="nil"/>
              <w:right w:val="single" w:sz="12" w:space="0" w:color="000000" w:themeColor="text1"/>
            </w:tcBorders>
            <w:tcMar>
              <w:top w:w="15" w:type="dxa"/>
              <w:left w:w="15" w:type="dxa"/>
              <w:right w:w="15" w:type="dxa"/>
            </w:tcMar>
            <w:vAlign w:val="center"/>
          </w:tcPr>
          <w:p w14:paraId="16B4E339" w14:textId="628CBC2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73.02%</w:t>
            </w:r>
          </w:p>
        </w:tc>
      </w:tr>
      <w:tr w:rsidR="336BC162" w14:paraId="08A91D6F"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DEBEC24" w14:textId="0163A24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1 After</w:t>
            </w:r>
          </w:p>
        </w:tc>
        <w:tc>
          <w:tcPr>
            <w:tcW w:w="708" w:type="dxa"/>
            <w:tcBorders>
              <w:top w:val="nil"/>
              <w:left w:val="single" w:sz="12" w:space="0" w:color="000000" w:themeColor="text1"/>
              <w:bottom w:val="nil"/>
              <w:right w:val="nil"/>
            </w:tcBorders>
            <w:tcMar>
              <w:top w:w="15" w:type="dxa"/>
              <w:left w:w="15" w:type="dxa"/>
              <w:right w:w="15" w:type="dxa"/>
            </w:tcMar>
            <w:vAlign w:val="center"/>
          </w:tcPr>
          <w:p w14:paraId="27BBFB26" w14:textId="5862FD1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160</w:t>
            </w:r>
          </w:p>
        </w:tc>
        <w:tc>
          <w:tcPr>
            <w:tcW w:w="698" w:type="dxa"/>
            <w:tcBorders>
              <w:top w:val="nil"/>
              <w:left w:val="nil"/>
              <w:bottom w:val="nil"/>
              <w:right w:val="nil"/>
            </w:tcBorders>
            <w:tcMar>
              <w:top w:w="15" w:type="dxa"/>
              <w:left w:w="15" w:type="dxa"/>
              <w:right w:w="15" w:type="dxa"/>
            </w:tcMar>
            <w:vAlign w:val="center"/>
          </w:tcPr>
          <w:p w14:paraId="7D59545E" w14:textId="23751EE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45.6</w:t>
            </w:r>
          </w:p>
        </w:tc>
        <w:tc>
          <w:tcPr>
            <w:tcW w:w="698" w:type="dxa"/>
            <w:tcBorders>
              <w:top w:val="nil"/>
              <w:left w:val="nil"/>
              <w:bottom w:val="nil"/>
              <w:right w:val="nil"/>
            </w:tcBorders>
            <w:tcMar>
              <w:top w:w="15" w:type="dxa"/>
              <w:left w:w="15" w:type="dxa"/>
              <w:right w:w="15" w:type="dxa"/>
            </w:tcMar>
            <w:vAlign w:val="center"/>
          </w:tcPr>
          <w:p w14:paraId="4CCA7BDC" w14:textId="6565964D"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200</w:t>
            </w:r>
          </w:p>
        </w:tc>
        <w:tc>
          <w:tcPr>
            <w:tcW w:w="1237" w:type="dxa"/>
            <w:tcBorders>
              <w:top w:val="nil"/>
              <w:left w:val="nil"/>
              <w:bottom w:val="single" w:sz="8" w:space="0" w:color="000000" w:themeColor="text1"/>
              <w:right w:val="nil"/>
            </w:tcBorders>
            <w:tcMar>
              <w:top w:w="15" w:type="dxa"/>
              <w:left w:w="15" w:type="dxa"/>
              <w:right w:w="15" w:type="dxa"/>
            </w:tcMar>
            <w:vAlign w:val="center"/>
          </w:tcPr>
          <w:p w14:paraId="21060C9D" w14:textId="0D3440DA" w:rsidR="336BC162" w:rsidRDefault="336BC162" w:rsidP="336BC162">
            <w:pPr>
              <w:rPr>
                <w:sz w:val="20"/>
                <w:szCs w:val="20"/>
              </w:rPr>
            </w:pPr>
          </w:p>
        </w:tc>
        <w:tc>
          <w:tcPr>
            <w:tcW w:w="1237" w:type="dxa"/>
            <w:tcBorders>
              <w:top w:val="nil"/>
              <w:left w:val="nil"/>
              <w:bottom w:val="single" w:sz="8" w:space="0" w:color="000000" w:themeColor="text1"/>
              <w:right w:val="nil"/>
            </w:tcBorders>
            <w:tcMar>
              <w:top w:w="15" w:type="dxa"/>
              <w:left w:w="15" w:type="dxa"/>
              <w:right w:w="15" w:type="dxa"/>
            </w:tcMar>
            <w:vAlign w:val="center"/>
          </w:tcPr>
          <w:p w14:paraId="4C3FFA33" w14:textId="29F485B3" w:rsidR="336BC162" w:rsidRDefault="336BC162" w:rsidP="336BC162">
            <w:pPr>
              <w:rPr>
                <w:sz w:val="20"/>
                <w:szCs w:val="20"/>
              </w:rPr>
            </w:pPr>
          </w:p>
        </w:tc>
        <w:tc>
          <w:tcPr>
            <w:tcW w:w="1229" w:type="dxa"/>
            <w:tcBorders>
              <w:top w:val="nil"/>
              <w:left w:val="nil"/>
              <w:bottom w:val="single" w:sz="8" w:space="0" w:color="000000" w:themeColor="text1"/>
              <w:right w:val="nil"/>
            </w:tcBorders>
            <w:tcMar>
              <w:top w:w="15" w:type="dxa"/>
              <w:left w:w="15" w:type="dxa"/>
              <w:right w:w="15" w:type="dxa"/>
            </w:tcMar>
            <w:vAlign w:val="center"/>
          </w:tcPr>
          <w:p w14:paraId="7FEBA298" w14:textId="696750A1" w:rsidR="336BC162" w:rsidRDefault="336BC162" w:rsidP="336BC162">
            <w:pPr>
              <w:rPr>
                <w:sz w:val="20"/>
                <w:szCs w:val="20"/>
              </w:rPr>
            </w:pPr>
          </w:p>
        </w:tc>
        <w:tc>
          <w:tcPr>
            <w:tcW w:w="1229" w:type="dxa"/>
            <w:tcBorders>
              <w:top w:val="nil"/>
              <w:left w:val="nil"/>
              <w:bottom w:val="single" w:sz="8" w:space="0" w:color="000000" w:themeColor="text1"/>
              <w:right w:val="nil"/>
            </w:tcBorders>
            <w:tcMar>
              <w:top w:w="15" w:type="dxa"/>
              <w:left w:w="15" w:type="dxa"/>
              <w:right w:w="15" w:type="dxa"/>
            </w:tcMar>
            <w:vAlign w:val="center"/>
          </w:tcPr>
          <w:p w14:paraId="2CE0E487" w14:textId="337DEC14" w:rsidR="336BC162" w:rsidRDefault="336BC162" w:rsidP="336BC162">
            <w:pPr>
              <w:rPr>
                <w:sz w:val="20"/>
                <w:szCs w:val="20"/>
              </w:rPr>
            </w:pPr>
          </w:p>
        </w:tc>
        <w:tc>
          <w:tcPr>
            <w:tcW w:w="1208" w:type="dxa"/>
            <w:tcBorders>
              <w:top w:val="nil"/>
              <w:left w:val="nil"/>
              <w:bottom w:val="single" w:sz="8" w:space="0" w:color="000000" w:themeColor="text1"/>
              <w:right w:val="single" w:sz="12" w:space="0" w:color="000000" w:themeColor="text1"/>
            </w:tcBorders>
            <w:tcMar>
              <w:top w:w="15" w:type="dxa"/>
              <w:left w:w="15" w:type="dxa"/>
              <w:right w:w="15" w:type="dxa"/>
            </w:tcMar>
            <w:vAlign w:val="center"/>
          </w:tcPr>
          <w:p w14:paraId="00D03B88" w14:textId="03D72440" w:rsidR="336BC162" w:rsidRDefault="336BC162" w:rsidP="336BC162">
            <w:pPr>
              <w:rPr>
                <w:sz w:val="20"/>
                <w:szCs w:val="20"/>
              </w:rPr>
            </w:pPr>
          </w:p>
        </w:tc>
      </w:tr>
      <w:tr w:rsidR="336BC162" w14:paraId="714A042B"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16E2C5A" w14:textId="653DB8A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2 Before</w:t>
            </w:r>
          </w:p>
        </w:tc>
        <w:tc>
          <w:tcPr>
            <w:tcW w:w="708" w:type="dxa"/>
            <w:tcBorders>
              <w:top w:val="single" w:sz="8" w:space="0" w:color="000000" w:themeColor="text1"/>
              <w:left w:val="single" w:sz="12" w:space="0" w:color="000000" w:themeColor="text1"/>
              <w:bottom w:val="nil"/>
              <w:right w:val="nil"/>
            </w:tcBorders>
            <w:tcMar>
              <w:top w:w="15" w:type="dxa"/>
              <w:left w:w="15" w:type="dxa"/>
              <w:right w:w="15" w:type="dxa"/>
            </w:tcMar>
            <w:vAlign w:val="center"/>
          </w:tcPr>
          <w:p w14:paraId="35DAB0D1" w14:textId="541DFC1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160</w:t>
            </w:r>
          </w:p>
        </w:tc>
        <w:tc>
          <w:tcPr>
            <w:tcW w:w="698" w:type="dxa"/>
            <w:tcBorders>
              <w:top w:val="single" w:sz="8" w:space="0" w:color="000000" w:themeColor="text1"/>
              <w:left w:val="nil"/>
              <w:bottom w:val="nil"/>
              <w:right w:val="nil"/>
            </w:tcBorders>
            <w:tcMar>
              <w:top w:w="15" w:type="dxa"/>
              <w:left w:w="15" w:type="dxa"/>
              <w:right w:w="15" w:type="dxa"/>
            </w:tcMar>
            <w:vAlign w:val="center"/>
          </w:tcPr>
          <w:p w14:paraId="65F3F07F" w14:textId="2DA0BC8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27.7</w:t>
            </w:r>
          </w:p>
        </w:tc>
        <w:tc>
          <w:tcPr>
            <w:tcW w:w="698" w:type="dxa"/>
            <w:tcBorders>
              <w:top w:val="single" w:sz="8" w:space="0" w:color="000000" w:themeColor="text1"/>
              <w:left w:val="nil"/>
              <w:bottom w:val="nil"/>
              <w:right w:val="nil"/>
            </w:tcBorders>
            <w:tcMar>
              <w:top w:w="15" w:type="dxa"/>
              <w:left w:w="15" w:type="dxa"/>
              <w:right w:w="15" w:type="dxa"/>
            </w:tcMar>
            <w:vAlign w:val="center"/>
          </w:tcPr>
          <w:p w14:paraId="0C86D865" w14:textId="1630722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202.9</w:t>
            </w:r>
          </w:p>
        </w:tc>
        <w:tc>
          <w:tcPr>
            <w:tcW w:w="1237" w:type="dxa"/>
            <w:tcBorders>
              <w:top w:val="single" w:sz="8" w:space="0" w:color="000000" w:themeColor="text1"/>
              <w:left w:val="nil"/>
              <w:bottom w:val="nil"/>
              <w:right w:val="nil"/>
            </w:tcBorders>
            <w:tcMar>
              <w:top w:w="15" w:type="dxa"/>
              <w:left w:w="15" w:type="dxa"/>
              <w:right w:w="15" w:type="dxa"/>
            </w:tcMar>
            <w:vAlign w:val="center"/>
          </w:tcPr>
          <w:p w14:paraId="28CE64AE" w14:textId="0F368C4A" w:rsidR="336BC162" w:rsidRDefault="336BC162" w:rsidP="336BC162">
            <w:pPr>
              <w:rPr>
                <w:sz w:val="20"/>
                <w:szCs w:val="20"/>
              </w:rPr>
            </w:pPr>
          </w:p>
        </w:tc>
        <w:tc>
          <w:tcPr>
            <w:tcW w:w="1237" w:type="dxa"/>
            <w:tcBorders>
              <w:top w:val="single" w:sz="8" w:space="0" w:color="000000" w:themeColor="text1"/>
              <w:left w:val="nil"/>
              <w:bottom w:val="nil"/>
              <w:right w:val="nil"/>
            </w:tcBorders>
            <w:tcMar>
              <w:top w:w="15" w:type="dxa"/>
              <w:left w:w="15" w:type="dxa"/>
              <w:right w:w="15" w:type="dxa"/>
            </w:tcMar>
            <w:vAlign w:val="center"/>
          </w:tcPr>
          <w:p w14:paraId="4A5D09F8" w14:textId="1DD3A8E6" w:rsidR="336BC162" w:rsidRDefault="336BC162" w:rsidP="336BC162">
            <w:pPr>
              <w:rPr>
                <w:sz w:val="20"/>
                <w:szCs w:val="20"/>
              </w:rPr>
            </w:pPr>
          </w:p>
        </w:tc>
        <w:tc>
          <w:tcPr>
            <w:tcW w:w="1229" w:type="dxa"/>
            <w:tcBorders>
              <w:top w:val="single" w:sz="8" w:space="0" w:color="000000" w:themeColor="text1"/>
              <w:left w:val="nil"/>
              <w:bottom w:val="nil"/>
              <w:right w:val="nil"/>
            </w:tcBorders>
            <w:tcMar>
              <w:top w:w="15" w:type="dxa"/>
              <w:left w:w="15" w:type="dxa"/>
              <w:right w:w="15" w:type="dxa"/>
            </w:tcMar>
            <w:vAlign w:val="center"/>
          </w:tcPr>
          <w:p w14:paraId="1F45A66D" w14:textId="1AEE6E2D" w:rsidR="336BC162" w:rsidRDefault="336BC162" w:rsidP="336BC162">
            <w:pPr>
              <w:rPr>
                <w:sz w:val="20"/>
                <w:szCs w:val="20"/>
              </w:rPr>
            </w:pPr>
          </w:p>
        </w:tc>
        <w:tc>
          <w:tcPr>
            <w:tcW w:w="1229" w:type="dxa"/>
            <w:tcBorders>
              <w:top w:val="single" w:sz="8" w:space="0" w:color="000000" w:themeColor="text1"/>
              <w:left w:val="nil"/>
              <w:bottom w:val="nil"/>
              <w:right w:val="nil"/>
            </w:tcBorders>
            <w:tcMar>
              <w:top w:w="15" w:type="dxa"/>
              <w:left w:w="15" w:type="dxa"/>
              <w:right w:w="15" w:type="dxa"/>
            </w:tcMar>
            <w:vAlign w:val="center"/>
          </w:tcPr>
          <w:p w14:paraId="3F57BADE" w14:textId="50A22308" w:rsidR="336BC162" w:rsidRDefault="336BC162" w:rsidP="336BC162">
            <w:pPr>
              <w:rPr>
                <w:sz w:val="20"/>
                <w:szCs w:val="20"/>
              </w:rPr>
            </w:pPr>
          </w:p>
        </w:tc>
        <w:tc>
          <w:tcPr>
            <w:tcW w:w="1208" w:type="dxa"/>
            <w:tcBorders>
              <w:top w:val="single" w:sz="8" w:space="0" w:color="000000" w:themeColor="text1"/>
              <w:left w:val="nil"/>
              <w:bottom w:val="nil"/>
              <w:right w:val="single" w:sz="12" w:space="0" w:color="000000" w:themeColor="text1"/>
            </w:tcBorders>
            <w:tcMar>
              <w:top w:w="15" w:type="dxa"/>
              <w:left w:w="15" w:type="dxa"/>
              <w:right w:w="15" w:type="dxa"/>
            </w:tcMar>
            <w:vAlign w:val="center"/>
          </w:tcPr>
          <w:p w14:paraId="0E655180" w14:textId="3FE1BC6B" w:rsidR="336BC162" w:rsidRDefault="336BC162" w:rsidP="336BC162">
            <w:pPr>
              <w:rPr>
                <w:sz w:val="20"/>
                <w:szCs w:val="20"/>
              </w:rPr>
            </w:pPr>
          </w:p>
        </w:tc>
      </w:tr>
      <w:tr w:rsidR="336BC162" w14:paraId="0A28306E"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CB9461F" w14:textId="70227D4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2 After</w:t>
            </w:r>
          </w:p>
        </w:tc>
        <w:tc>
          <w:tcPr>
            <w:tcW w:w="708" w:type="dxa"/>
            <w:tcBorders>
              <w:top w:val="nil"/>
              <w:left w:val="single" w:sz="12" w:space="0" w:color="000000" w:themeColor="text1"/>
              <w:bottom w:val="nil"/>
              <w:right w:val="nil"/>
            </w:tcBorders>
            <w:tcMar>
              <w:top w:w="15" w:type="dxa"/>
              <w:left w:w="15" w:type="dxa"/>
              <w:right w:w="15" w:type="dxa"/>
            </w:tcMar>
            <w:vAlign w:val="center"/>
          </w:tcPr>
          <w:p w14:paraId="2D3AFA08" w14:textId="098B606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141.8</w:t>
            </w:r>
          </w:p>
        </w:tc>
        <w:tc>
          <w:tcPr>
            <w:tcW w:w="698" w:type="dxa"/>
            <w:tcBorders>
              <w:top w:val="nil"/>
              <w:left w:val="nil"/>
              <w:bottom w:val="nil"/>
              <w:right w:val="nil"/>
            </w:tcBorders>
            <w:tcMar>
              <w:top w:w="15" w:type="dxa"/>
              <w:left w:w="15" w:type="dxa"/>
              <w:right w:w="15" w:type="dxa"/>
            </w:tcMar>
            <w:vAlign w:val="center"/>
          </w:tcPr>
          <w:p w14:paraId="045E576E" w14:textId="0F0335AD"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47.6</w:t>
            </w:r>
          </w:p>
        </w:tc>
        <w:tc>
          <w:tcPr>
            <w:tcW w:w="698" w:type="dxa"/>
            <w:tcBorders>
              <w:top w:val="nil"/>
              <w:left w:val="nil"/>
              <w:bottom w:val="nil"/>
              <w:right w:val="nil"/>
            </w:tcBorders>
            <w:tcMar>
              <w:top w:w="15" w:type="dxa"/>
              <w:left w:w="15" w:type="dxa"/>
              <w:right w:w="15" w:type="dxa"/>
            </w:tcMar>
            <w:vAlign w:val="center"/>
          </w:tcPr>
          <w:p w14:paraId="661D1DE0" w14:textId="1CD3E817"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202.9</w:t>
            </w:r>
          </w:p>
        </w:tc>
        <w:tc>
          <w:tcPr>
            <w:tcW w:w="1237" w:type="dxa"/>
            <w:tcBorders>
              <w:top w:val="nil"/>
              <w:left w:val="nil"/>
              <w:bottom w:val="nil"/>
              <w:right w:val="nil"/>
            </w:tcBorders>
            <w:tcMar>
              <w:top w:w="15" w:type="dxa"/>
              <w:left w:w="15" w:type="dxa"/>
              <w:right w:w="15" w:type="dxa"/>
            </w:tcMar>
            <w:vAlign w:val="center"/>
          </w:tcPr>
          <w:p w14:paraId="24C5E778" w14:textId="2B062A8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-0.928229596</w:t>
            </w:r>
          </w:p>
        </w:tc>
        <w:tc>
          <w:tcPr>
            <w:tcW w:w="1237" w:type="dxa"/>
            <w:tcBorders>
              <w:top w:val="nil"/>
              <w:left w:val="nil"/>
              <w:bottom w:val="nil"/>
              <w:right w:val="nil"/>
            </w:tcBorders>
            <w:tcMar>
              <w:top w:w="15" w:type="dxa"/>
              <w:left w:w="15" w:type="dxa"/>
              <w:right w:w="15" w:type="dxa"/>
            </w:tcMar>
            <w:vAlign w:val="center"/>
          </w:tcPr>
          <w:p w14:paraId="7C762B51" w14:textId="38BB0100"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-29.68655032</w:t>
            </w:r>
          </w:p>
        </w:tc>
        <w:tc>
          <w:tcPr>
            <w:tcW w:w="1229" w:type="dxa"/>
            <w:tcBorders>
              <w:top w:val="nil"/>
              <w:left w:val="nil"/>
              <w:bottom w:val="nil"/>
              <w:right w:val="nil"/>
            </w:tcBorders>
            <w:tcMar>
              <w:top w:w="15" w:type="dxa"/>
              <w:left w:w="15" w:type="dxa"/>
              <w:right w:w="15" w:type="dxa"/>
            </w:tcMar>
            <w:vAlign w:val="center"/>
          </w:tcPr>
          <w:p w14:paraId="04648CF2" w14:textId="4A056E0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0.004892524</w:t>
            </w:r>
          </w:p>
        </w:tc>
        <w:tc>
          <w:tcPr>
            <w:tcW w:w="1229" w:type="dxa"/>
            <w:tcBorders>
              <w:top w:val="nil"/>
              <w:left w:val="nil"/>
              <w:bottom w:val="nil"/>
              <w:right w:val="nil"/>
            </w:tcBorders>
            <w:tcMar>
              <w:top w:w="15" w:type="dxa"/>
              <w:left w:w="15" w:type="dxa"/>
              <w:right w:w="15" w:type="dxa"/>
            </w:tcMar>
            <w:vAlign w:val="center"/>
          </w:tcPr>
          <w:p w14:paraId="3ED19EDA" w14:textId="0AF259A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0.527081258</w:t>
            </w:r>
          </w:p>
        </w:tc>
        <w:tc>
          <w:tcPr>
            <w:tcW w:w="1208" w:type="dxa"/>
            <w:tcBorders>
              <w:top w:val="nil"/>
              <w:left w:val="nil"/>
              <w:bottom w:val="nil"/>
              <w:right w:val="single" w:sz="12" w:space="0" w:color="000000" w:themeColor="text1"/>
            </w:tcBorders>
            <w:tcMar>
              <w:top w:w="15" w:type="dxa"/>
              <w:left w:w="15" w:type="dxa"/>
              <w:right w:w="15" w:type="dxa"/>
            </w:tcMar>
            <w:vAlign w:val="center"/>
          </w:tcPr>
          <w:p w14:paraId="1E774AC0" w14:textId="13E3F2E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96.87%</w:t>
            </w:r>
          </w:p>
        </w:tc>
      </w:tr>
      <w:tr w:rsidR="336BC162" w14:paraId="298279DF"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E845EC0" w14:textId="05A05550"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3 Before</w:t>
            </w:r>
          </w:p>
        </w:tc>
        <w:tc>
          <w:tcPr>
            <w:tcW w:w="708" w:type="dxa"/>
            <w:tcBorders>
              <w:top w:val="single" w:sz="8" w:space="0" w:color="000000" w:themeColor="text1"/>
              <w:left w:val="single" w:sz="12" w:space="0" w:color="000000" w:themeColor="text1"/>
              <w:bottom w:val="nil"/>
              <w:right w:val="nil"/>
            </w:tcBorders>
            <w:tcMar>
              <w:top w:w="15" w:type="dxa"/>
              <w:left w:w="15" w:type="dxa"/>
              <w:right w:w="15" w:type="dxa"/>
            </w:tcMar>
            <w:vAlign w:val="center"/>
          </w:tcPr>
          <w:p w14:paraId="4070505A" w14:textId="0AEFB4D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141.8</w:t>
            </w:r>
          </w:p>
        </w:tc>
        <w:tc>
          <w:tcPr>
            <w:tcW w:w="698" w:type="dxa"/>
            <w:tcBorders>
              <w:top w:val="single" w:sz="8" w:space="0" w:color="000000" w:themeColor="text1"/>
              <w:left w:val="nil"/>
              <w:bottom w:val="nil"/>
              <w:right w:val="nil"/>
            </w:tcBorders>
            <w:tcMar>
              <w:top w:w="15" w:type="dxa"/>
              <w:left w:w="15" w:type="dxa"/>
              <w:right w:w="15" w:type="dxa"/>
            </w:tcMar>
            <w:vAlign w:val="center"/>
          </w:tcPr>
          <w:p w14:paraId="1FC448C6" w14:textId="16A32FD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26.6</w:t>
            </w:r>
          </w:p>
        </w:tc>
        <w:tc>
          <w:tcPr>
            <w:tcW w:w="698" w:type="dxa"/>
            <w:tcBorders>
              <w:top w:val="single" w:sz="8" w:space="0" w:color="000000" w:themeColor="text1"/>
              <w:left w:val="nil"/>
              <w:bottom w:val="nil"/>
              <w:right w:val="nil"/>
            </w:tcBorders>
            <w:tcMar>
              <w:top w:w="15" w:type="dxa"/>
              <w:left w:w="15" w:type="dxa"/>
              <w:right w:w="15" w:type="dxa"/>
            </w:tcMar>
            <w:vAlign w:val="center"/>
          </w:tcPr>
          <w:p w14:paraId="6C587A15" w14:textId="61B6F41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199.4</w:t>
            </w:r>
          </w:p>
        </w:tc>
        <w:tc>
          <w:tcPr>
            <w:tcW w:w="1237" w:type="dxa"/>
            <w:tcBorders>
              <w:top w:val="single" w:sz="8" w:space="0" w:color="000000" w:themeColor="text1"/>
              <w:left w:val="nil"/>
              <w:bottom w:val="nil"/>
              <w:right w:val="nil"/>
            </w:tcBorders>
            <w:tcMar>
              <w:top w:w="15" w:type="dxa"/>
              <w:left w:w="15" w:type="dxa"/>
              <w:right w:w="15" w:type="dxa"/>
            </w:tcMar>
            <w:vAlign w:val="center"/>
          </w:tcPr>
          <w:p w14:paraId="4147696F" w14:textId="37DD8810" w:rsidR="336BC162" w:rsidRDefault="336BC162" w:rsidP="336BC162">
            <w:pPr>
              <w:rPr>
                <w:sz w:val="20"/>
                <w:szCs w:val="20"/>
              </w:rPr>
            </w:pPr>
          </w:p>
        </w:tc>
        <w:tc>
          <w:tcPr>
            <w:tcW w:w="1237" w:type="dxa"/>
            <w:tcBorders>
              <w:top w:val="single" w:sz="8" w:space="0" w:color="000000" w:themeColor="text1"/>
              <w:left w:val="nil"/>
              <w:bottom w:val="nil"/>
              <w:right w:val="nil"/>
            </w:tcBorders>
            <w:tcMar>
              <w:top w:w="15" w:type="dxa"/>
              <w:left w:w="15" w:type="dxa"/>
              <w:right w:w="15" w:type="dxa"/>
            </w:tcMar>
            <w:vAlign w:val="center"/>
          </w:tcPr>
          <w:p w14:paraId="65AA509D" w14:textId="6A938B84" w:rsidR="336BC162" w:rsidRDefault="336BC162" w:rsidP="336BC162">
            <w:pPr>
              <w:rPr>
                <w:sz w:val="20"/>
                <w:szCs w:val="20"/>
              </w:rPr>
            </w:pPr>
          </w:p>
        </w:tc>
        <w:tc>
          <w:tcPr>
            <w:tcW w:w="1229" w:type="dxa"/>
            <w:tcBorders>
              <w:top w:val="single" w:sz="8" w:space="0" w:color="000000" w:themeColor="text1"/>
              <w:left w:val="nil"/>
              <w:bottom w:val="nil"/>
              <w:right w:val="nil"/>
            </w:tcBorders>
            <w:tcMar>
              <w:top w:w="15" w:type="dxa"/>
              <w:left w:w="15" w:type="dxa"/>
              <w:right w:w="15" w:type="dxa"/>
            </w:tcMar>
            <w:vAlign w:val="center"/>
          </w:tcPr>
          <w:p w14:paraId="28C8722F" w14:textId="67907891" w:rsidR="336BC162" w:rsidRDefault="336BC162" w:rsidP="336BC162">
            <w:pPr>
              <w:rPr>
                <w:sz w:val="20"/>
                <w:szCs w:val="20"/>
              </w:rPr>
            </w:pPr>
          </w:p>
        </w:tc>
        <w:tc>
          <w:tcPr>
            <w:tcW w:w="1229" w:type="dxa"/>
            <w:tcBorders>
              <w:top w:val="single" w:sz="8" w:space="0" w:color="000000" w:themeColor="text1"/>
              <w:left w:val="nil"/>
              <w:bottom w:val="nil"/>
              <w:right w:val="nil"/>
            </w:tcBorders>
            <w:tcMar>
              <w:top w:w="15" w:type="dxa"/>
              <w:left w:w="15" w:type="dxa"/>
              <w:right w:w="15" w:type="dxa"/>
            </w:tcMar>
            <w:vAlign w:val="center"/>
          </w:tcPr>
          <w:p w14:paraId="5D6C7E53" w14:textId="7075944E" w:rsidR="336BC162" w:rsidRDefault="336BC162" w:rsidP="336BC162">
            <w:pPr>
              <w:rPr>
                <w:sz w:val="20"/>
                <w:szCs w:val="20"/>
              </w:rPr>
            </w:pPr>
          </w:p>
        </w:tc>
        <w:tc>
          <w:tcPr>
            <w:tcW w:w="1208" w:type="dxa"/>
            <w:tcBorders>
              <w:top w:val="single" w:sz="8" w:space="0" w:color="000000" w:themeColor="text1"/>
              <w:left w:val="nil"/>
              <w:bottom w:val="nil"/>
              <w:right w:val="single" w:sz="12" w:space="0" w:color="000000" w:themeColor="text1"/>
            </w:tcBorders>
            <w:tcMar>
              <w:top w:w="15" w:type="dxa"/>
              <w:left w:w="15" w:type="dxa"/>
              <w:right w:w="15" w:type="dxa"/>
            </w:tcMar>
            <w:vAlign w:val="center"/>
          </w:tcPr>
          <w:p w14:paraId="65DC47B2" w14:textId="49647721" w:rsidR="336BC162" w:rsidRDefault="336BC162" w:rsidP="336BC162">
            <w:pPr>
              <w:rPr>
                <w:sz w:val="20"/>
                <w:szCs w:val="20"/>
              </w:rPr>
            </w:pPr>
          </w:p>
        </w:tc>
      </w:tr>
      <w:tr w:rsidR="336BC162" w14:paraId="750FAADB"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F82B5E3" w14:textId="13C82DC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3 After</w:t>
            </w:r>
          </w:p>
        </w:tc>
        <w:tc>
          <w:tcPr>
            <w:tcW w:w="708" w:type="dxa"/>
            <w:tcBorders>
              <w:top w:val="nil"/>
              <w:left w:val="single" w:sz="12" w:space="0" w:color="000000" w:themeColor="text1"/>
              <w:bottom w:val="single" w:sz="12" w:space="0" w:color="000000" w:themeColor="text1"/>
              <w:right w:val="nil"/>
            </w:tcBorders>
            <w:tcMar>
              <w:top w:w="15" w:type="dxa"/>
              <w:left w:w="15" w:type="dxa"/>
              <w:right w:w="15" w:type="dxa"/>
            </w:tcMar>
            <w:vAlign w:val="center"/>
          </w:tcPr>
          <w:p w14:paraId="1358FEDA" w14:textId="1A03302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139.9</w:t>
            </w:r>
          </w:p>
        </w:tc>
        <w:tc>
          <w:tcPr>
            <w:tcW w:w="698" w:type="dxa"/>
            <w:tcBorders>
              <w:top w:val="nil"/>
              <w:left w:val="nil"/>
              <w:bottom w:val="single" w:sz="12" w:space="0" w:color="000000" w:themeColor="text1"/>
              <w:right w:val="nil"/>
            </w:tcBorders>
            <w:tcMar>
              <w:top w:w="15" w:type="dxa"/>
              <w:left w:w="15" w:type="dxa"/>
              <w:right w:w="15" w:type="dxa"/>
            </w:tcMar>
            <w:vAlign w:val="center"/>
          </w:tcPr>
          <w:p w14:paraId="61695DF2" w14:textId="271DD4E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46.6</w:t>
            </w:r>
          </w:p>
        </w:tc>
        <w:tc>
          <w:tcPr>
            <w:tcW w:w="698" w:type="dxa"/>
            <w:tcBorders>
              <w:top w:val="nil"/>
              <w:left w:val="nil"/>
              <w:bottom w:val="single" w:sz="12" w:space="0" w:color="000000" w:themeColor="text1"/>
              <w:right w:val="nil"/>
            </w:tcBorders>
            <w:tcMar>
              <w:top w:w="15" w:type="dxa"/>
              <w:left w:w="15" w:type="dxa"/>
              <w:right w:w="15" w:type="dxa"/>
            </w:tcMar>
            <w:vAlign w:val="center"/>
          </w:tcPr>
          <w:p w14:paraId="66AD413D" w14:textId="55F479C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199.4</w:t>
            </w:r>
          </w:p>
        </w:tc>
        <w:tc>
          <w:tcPr>
            <w:tcW w:w="1237" w:type="dxa"/>
            <w:tcBorders>
              <w:top w:val="nil"/>
              <w:left w:val="nil"/>
              <w:bottom w:val="single" w:sz="12" w:space="0" w:color="000000" w:themeColor="text1"/>
              <w:right w:val="nil"/>
            </w:tcBorders>
            <w:tcMar>
              <w:top w:w="15" w:type="dxa"/>
              <w:left w:w="15" w:type="dxa"/>
              <w:right w:w="15" w:type="dxa"/>
            </w:tcMar>
            <w:vAlign w:val="center"/>
          </w:tcPr>
          <w:p w14:paraId="59F717EA" w14:textId="427263B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-8.781995789</w:t>
            </w:r>
          </w:p>
        </w:tc>
        <w:tc>
          <w:tcPr>
            <w:tcW w:w="1237" w:type="dxa"/>
            <w:tcBorders>
              <w:top w:val="nil"/>
              <w:left w:val="nil"/>
              <w:bottom w:val="single" w:sz="12" w:space="0" w:color="000000" w:themeColor="text1"/>
              <w:right w:val="nil"/>
            </w:tcBorders>
            <w:tcMar>
              <w:top w:w="15" w:type="dxa"/>
              <w:left w:w="15" w:type="dxa"/>
              <w:right w:w="15" w:type="dxa"/>
            </w:tcMar>
            <w:vAlign w:val="center"/>
          </w:tcPr>
          <w:p w14:paraId="4F7E19C1" w14:textId="6BA4BA2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-29.68655032</w:t>
            </w:r>
          </w:p>
        </w:tc>
        <w:tc>
          <w:tcPr>
            <w:tcW w:w="1229" w:type="dxa"/>
            <w:tcBorders>
              <w:top w:val="nil"/>
              <w:left w:val="nil"/>
              <w:bottom w:val="single" w:sz="12" w:space="0" w:color="000000" w:themeColor="text1"/>
              <w:right w:val="nil"/>
            </w:tcBorders>
            <w:tcMar>
              <w:top w:w="15" w:type="dxa"/>
              <w:left w:w="15" w:type="dxa"/>
              <w:right w:w="15" w:type="dxa"/>
            </w:tcMar>
            <w:vAlign w:val="center"/>
          </w:tcPr>
          <w:p w14:paraId="4E79BC21" w14:textId="253C344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0.328310943</w:t>
            </w:r>
          </w:p>
        </w:tc>
        <w:tc>
          <w:tcPr>
            <w:tcW w:w="1229" w:type="dxa"/>
            <w:tcBorders>
              <w:top w:val="nil"/>
              <w:left w:val="nil"/>
              <w:bottom w:val="single" w:sz="12" w:space="0" w:color="000000" w:themeColor="text1"/>
              <w:right w:val="nil"/>
            </w:tcBorders>
            <w:tcMar>
              <w:top w:w="15" w:type="dxa"/>
              <w:left w:w="15" w:type="dxa"/>
              <w:right w:w="15" w:type="dxa"/>
            </w:tcMar>
            <w:vAlign w:val="center"/>
          </w:tcPr>
          <w:p w14:paraId="4382A7BC" w14:textId="5DFA22C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3.738454798</w:t>
            </w:r>
          </w:p>
        </w:tc>
        <w:tc>
          <w:tcPr>
            <w:tcW w:w="1208" w:type="dxa"/>
            <w:tcBorders>
              <w:top w:val="nil"/>
              <w:left w:val="nil"/>
              <w:bottom w:val="single" w:sz="12" w:space="0" w:color="000000" w:themeColor="text1"/>
              <w:right w:val="single" w:sz="12" w:space="0" w:color="000000" w:themeColor="text1"/>
            </w:tcBorders>
            <w:tcMar>
              <w:top w:w="15" w:type="dxa"/>
              <w:left w:w="15" w:type="dxa"/>
              <w:right w:w="15" w:type="dxa"/>
            </w:tcMar>
            <w:vAlign w:val="center"/>
          </w:tcPr>
          <w:p w14:paraId="7B833E30" w14:textId="01B3527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70.42%</w:t>
            </w:r>
          </w:p>
        </w:tc>
      </w:tr>
      <w:tr w:rsidR="336BC162" w14:paraId="36D3E478" w14:textId="77777777" w:rsidTr="336BC162">
        <w:trPr>
          <w:trHeight w:val="855"/>
        </w:trPr>
        <w:tc>
          <w:tcPr>
            <w:tcW w:w="11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1F1C488" w14:textId="47B109F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Average:</w:t>
            </w:r>
          </w:p>
        </w:tc>
        <w:tc>
          <w:tcPr>
            <w:tcW w:w="708" w:type="dxa"/>
            <w:tcBorders>
              <w:top w:val="single" w:sz="12" w:space="0" w:color="000000" w:themeColor="text1"/>
              <w:left w:val="single" w:sz="12" w:space="0" w:color="000000" w:themeColor="text1"/>
              <w:bottom w:val="single" w:sz="12" w:space="0" w:color="000000" w:themeColor="text1"/>
              <w:right w:val="nil"/>
            </w:tcBorders>
            <w:tcMar>
              <w:top w:w="15" w:type="dxa"/>
              <w:left w:w="15" w:type="dxa"/>
              <w:right w:w="15" w:type="dxa"/>
            </w:tcMar>
            <w:vAlign w:val="center"/>
          </w:tcPr>
          <w:p w14:paraId="19E57931" w14:textId="48A7B951" w:rsidR="336BC162" w:rsidRDefault="336BC162" w:rsidP="336BC162">
            <w:pPr>
              <w:rPr>
                <w:sz w:val="20"/>
                <w:szCs w:val="20"/>
              </w:rPr>
            </w:pPr>
          </w:p>
        </w:tc>
        <w:tc>
          <w:tcPr>
            <w:tcW w:w="698"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5DB09288" w14:textId="18E0CA14" w:rsidR="336BC162" w:rsidRDefault="336BC162" w:rsidP="336BC162">
            <w:pPr>
              <w:rPr>
                <w:sz w:val="20"/>
                <w:szCs w:val="20"/>
              </w:rPr>
            </w:pPr>
          </w:p>
        </w:tc>
        <w:tc>
          <w:tcPr>
            <w:tcW w:w="698"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73EFF970" w14:textId="691F09D6" w:rsidR="336BC162" w:rsidRDefault="336BC162" w:rsidP="336BC162">
            <w:pPr>
              <w:rPr>
                <w:sz w:val="20"/>
                <w:szCs w:val="20"/>
              </w:rPr>
            </w:pPr>
          </w:p>
        </w:tc>
        <w:tc>
          <w:tcPr>
            <w:tcW w:w="1237"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528670D8" w14:textId="14BAA6A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-5.906532271</w:t>
            </w:r>
          </w:p>
        </w:tc>
        <w:tc>
          <w:tcPr>
            <w:tcW w:w="1237"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79AD23F6" w14:textId="426A17B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-29.68655032</w:t>
            </w:r>
          </w:p>
        </w:tc>
        <w:tc>
          <w:tcPr>
            <w:tcW w:w="1229"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353EEC90" w14:textId="5C1494CD"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0.201456112</w:t>
            </w:r>
          </w:p>
        </w:tc>
        <w:tc>
          <w:tcPr>
            <w:tcW w:w="1229"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1571D97F" w14:textId="3E7CDBD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2.550376984</w:t>
            </w:r>
          </w:p>
        </w:tc>
        <w:tc>
          <w:tcPr>
            <w:tcW w:w="1208" w:type="dxa"/>
            <w:tcBorders>
              <w:top w:val="single" w:sz="12" w:space="0" w:color="000000" w:themeColor="text1"/>
              <w:left w:val="nil"/>
              <w:bottom w:val="single" w:sz="12" w:space="0" w:color="000000" w:themeColor="text1"/>
              <w:right w:val="single" w:sz="12" w:space="0" w:color="000000" w:themeColor="text1"/>
            </w:tcBorders>
            <w:tcMar>
              <w:top w:w="15" w:type="dxa"/>
              <w:left w:w="15" w:type="dxa"/>
              <w:right w:w="15" w:type="dxa"/>
            </w:tcMar>
            <w:vAlign w:val="center"/>
          </w:tcPr>
          <w:p w14:paraId="0B108356" w14:textId="26AAB9C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80.10%</w:t>
            </w:r>
          </w:p>
        </w:tc>
      </w:tr>
    </w:tbl>
    <w:p w14:paraId="135FE675" w14:textId="10772560" w:rsidR="336BC162" w:rsidRDefault="336BC162"/>
    <w:p w14:paraId="561C353E" w14:textId="06DCA74B" w:rsidR="336BC162" w:rsidRDefault="336BC162"/>
    <w:tbl>
      <w:tblPr>
        <w:tblW w:w="0" w:type="auto"/>
        <w:tblLayout w:type="fixed"/>
        <w:tblLook w:val="06A0" w:firstRow="1" w:lastRow="0" w:firstColumn="1" w:lastColumn="0" w:noHBand="1" w:noVBand="1"/>
      </w:tblPr>
      <w:tblGrid>
        <w:gridCol w:w="1135"/>
        <w:gridCol w:w="707"/>
        <w:gridCol w:w="696"/>
        <w:gridCol w:w="696"/>
        <w:gridCol w:w="1235"/>
        <w:gridCol w:w="1235"/>
        <w:gridCol w:w="1226"/>
        <w:gridCol w:w="1226"/>
        <w:gridCol w:w="1204"/>
      </w:tblGrid>
      <w:tr w:rsidR="336BC162" w14:paraId="60BEA587"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6CBA8CA4" w14:textId="2715EC37" w:rsidR="336BC162" w:rsidRDefault="336BC162" w:rsidP="336BC162">
            <w:pPr>
              <w:spacing w:after="0"/>
              <w:jc w:val="center"/>
              <w:rPr>
                <w:rFonts w:ascii="Aptos Narrow" w:eastAsia="Aptos Narrow" w:hAnsi="Aptos Narrow" w:cs="Aptos Narrow"/>
                <w:b/>
                <w:bCs/>
                <w:color w:val="000000" w:themeColor="text1"/>
                <w:sz w:val="20"/>
                <w:szCs w:val="20"/>
                <w:u w:val="single"/>
              </w:rPr>
            </w:pPr>
            <w:r w:rsidRPr="336BC162">
              <w:rPr>
                <w:rFonts w:ascii="Aptos Narrow" w:eastAsia="Aptos Narrow" w:hAnsi="Aptos Narrow" w:cs="Aptos Narrow"/>
                <w:b/>
                <w:bCs/>
                <w:color w:val="000000" w:themeColor="text1"/>
                <w:sz w:val="20"/>
                <w:szCs w:val="20"/>
                <w:u w:val="single"/>
              </w:rPr>
              <w:t>Pentanol</w:t>
            </w:r>
          </w:p>
        </w:tc>
        <w:tc>
          <w:tcPr>
            <w:tcW w:w="70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72374CE" w14:textId="1A6EB4D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Alcohol Mass (g)</w:t>
            </w:r>
          </w:p>
        </w:tc>
        <w:tc>
          <w:tcPr>
            <w:tcW w:w="6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130CF02" w14:textId="2C38F09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Water Temp (°C)</w:t>
            </w:r>
          </w:p>
        </w:tc>
        <w:tc>
          <w:tcPr>
            <w:tcW w:w="69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7AC3CE3" w14:textId="3D71D9F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Water Mass (g)</w:t>
            </w:r>
          </w:p>
        </w:tc>
        <w:tc>
          <w:tcPr>
            <w:tcW w:w="12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572F296" w14:textId="009E671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Combustion Enthalpy (kJ/g)</w:t>
            </w:r>
          </w:p>
        </w:tc>
        <w:tc>
          <w:tcPr>
            <w:tcW w:w="12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30A602E6" w14:textId="515CDD8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Bond Enthalpy</w:t>
            </w:r>
          </w:p>
        </w:tc>
        <w:tc>
          <w:tcPr>
            <w:tcW w:w="12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2341E82D" w14:textId="36614B3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Absolute Uncertainty</w:t>
            </w:r>
          </w:p>
        </w:tc>
        <w:tc>
          <w:tcPr>
            <w:tcW w:w="12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99EFB6D" w14:textId="4AAB442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Percentage / Relative Uncertainty</w:t>
            </w:r>
          </w:p>
        </w:tc>
        <w:tc>
          <w:tcPr>
            <w:tcW w:w="120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4D40BDF" w14:textId="26219D27"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Percentage Error</w:t>
            </w:r>
          </w:p>
        </w:tc>
      </w:tr>
      <w:tr w:rsidR="336BC162" w14:paraId="4FCD0F65"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D8414FB" w14:textId="1D48738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1 Before</w:t>
            </w:r>
          </w:p>
        </w:tc>
        <w:tc>
          <w:tcPr>
            <w:tcW w:w="707" w:type="dxa"/>
            <w:tcBorders>
              <w:top w:val="single" w:sz="12" w:space="0" w:color="000000" w:themeColor="text1"/>
              <w:left w:val="single" w:sz="12" w:space="0" w:color="000000" w:themeColor="text1"/>
              <w:bottom w:val="nil"/>
              <w:right w:val="nil"/>
            </w:tcBorders>
            <w:tcMar>
              <w:top w:w="15" w:type="dxa"/>
              <w:left w:w="15" w:type="dxa"/>
              <w:right w:w="15" w:type="dxa"/>
            </w:tcMar>
            <w:vAlign w:val="center"/>
          </w:tcPr>
          <w:p w14:paraId="4E6E2F2A" w14:textId="7076A26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165</w:t>
            </w:r>
          </w:p>
        </w:tc>
        <w:tc>
          <w:tcPr>
            <w:tcW w:w="696" w:type="dxa"/>
            <w:tcBorders>
              <w:top w:val="single" w:sz="12" w:space="0" w:color="000000" w:themeColor="text1"/>
              <w:left w:val="nil"/>
              <w:bottom w:val="nil"/>
              <w:right w:val="nil"/>
            </w:tcBorders>
            <w:tcMar>
              <w:top w:w="15" w:type="dxa"/>
              <w:left w:w="15" w:type="dxa"/>
              <w:right w:w="15" w:type="dxa"/>
            </w:tcMar>
            <w:vAlign w:val="center"/>
          </w:tcPr>
          <w:p w14:paraId="68415FAE" w14:textId="0E4E40D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27.5</w:t>
            </w:r>
          </w:p>
        </w:tc>
        <w:tc>
          <w:tcPr>
            <w:tcW w:w="696" w:type="dxa"/>
            <w:tcBorders>
              <w:top w:val="single" w:sz="12" w:space="0" w:color="000000" w:themeColor="text1"/>
              <w:left w:val="nil"/>
              <w:bottom w:val="nil"/>
              <w:right w:val="nil"/>
            </w:tcBorders>
            <w:tcMar>
              <w:top w:w="15" w:type="dxa"/>
              <w:left w:w="15" w:type="dxa"/>
              <w:right w:w="15" w:type="dxa"/>
            </w:tcMar>
            <w:vAlign w:val="center"/>
          </w:tcPr>
          <w:p w14:paraId="10FF65A7" w14:textId="0835A01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203.1</w:t>
            </w:r>
          </w:p>
        </w:tc>
        <w:tc>
          <w:tcPr>
            <w:tcW w:w="1235" w:type="dxa"/>
            <w:tcBorders>
              <w:top w:val="single" w:sz="12" w:space="0" w:color="000000" w:themeColor="text1"/>
              <w:left w:val="nil"/>
              <w:bottom w:val="nil"/>
              <w:right w:val="nil"/>
            </w:tcBorders>
            <w:tcMar>
              <w:top w:w="15" w:type="dxa"/>
              <w:left w:w="15" w:type="dxa"/>
              <w:right w:w="15" w:type="dxa"/>
            </w:tcMar>
            <w:vAlign w:val="center"/>
          </w:tcPr>
          <w:p w14:paraId="5577EEA2" w14:textId="75D3DB97" w:rsidR="336BC162" w:rsidRDefault="336BC162" w:rsidP="336BC162">
            <w:pPr>
              <w:rPr>
                <w:sz w:val="20"/>
                <w:szCs w:val="20"/>
              </w:rPr>
            </w:pPr>
          </w:p>
        </w:tc>
        <w:tc>
          <w:tcPr>
            <w:tcW w:w="1235" w:type="dxa"/>
            <w:tcBorders>
              <w:top w:val="single" w:sz="12" w:space="0" w:color="000000" w:themeColor="text1"/>
              <w:left w:val="nil"/>
              <w:bottom w:val="nil"/>
              <w:right w:val="nil"/>
            </w:tcBorders>
            <w:tcMar>
              <w:top w:w="15" w:type="dxa"/>
              <w:left w:w="15" w:type="dxa"/>
              <w:right w:w="15" w:type="dxa"/>
            </w:tcMar>
            <w:vAlign w:val="center"/>
          </w:tcPr>
          <w:p w14:paraId="66AEC20E" w14:textId="1BCACD11" w:rsidR="336BC162" w:rsidRDefault="336BC162" w:rsidP="336BC162">
            <w:pPr>
              <w:rPr>
                <w:sz w:val="20"/>
                <w:szCs w:val="20"/>
              </w:rPr>
            </w:pPr>
          </w:p>
        </w:tc>
        <w:tc>
          <w:tcPr>
            <w:tcW w:w="1226" w:type="dxa"/>
            <w:tcBorders>
              <w:top w:val="single" w:sz="12" w:space="0" w:color="000000" w:themeColor="text1"/>
              <w:left w:val="nil"/>
              <w:bottom w:val="nil"/>
              <w:right w:val="nil"/>
            </w:tcBorders>
            <w:tcMar>
              <w:top w:w="15" w:type="dxa"/>
              <w:left w:w="15" w:type="dxa"/>
              <w:right w:w="15" w:type="dxa"/>
            </w:tcMar>
            <w:vAlign w:val="center"/>
          </w:tcPr>
          <w:p w14:paraId="5DB9A593" w14:textId="6C7556B4" w:rsidR="336BC162" w:rsidRDefault="336BC162" w:rsidP="336BC162">
            <w:pPr>
              <w:rPr>
                <w:sz w:val="20"/>
                <w:szCs w:val="20"/>
              </w:rPr>
            </w:pPr>
          </w:p>
        </w:tc>
        <w:tc>
          <w:tcPr>
            <w:tcW w:w="1226" w:type="dxa"/>
            <w:tcBorders>
              <w:top w:val="single" w:sz="12" w:space="0" w:color="000000" w:themeColor="text1"/>
              <w:left w:val="nil"/>
              <w:bottom w:val="nil"/>
              <w:right w:val="nil"/>
            </w:tcBorders>
            <w:tcMar>
              <w:top w:w="15" w:type="dxa"/>
              <w:left w:w="15" w:type="dxa"/>
              <w:right w:w="15" w:type="dxa"/>
            </w:tcMar>
            <w:vAlign w:val="center"/>
          </w:tcPr>
          <w:p w14:paraId="7B376112" w14:textId="5B74EE1C" w:rsidR="336BC162" w:rsidRDefault="336BC162" w:rsidP="336BC162">
            <w:pPr>
              <w:rPr>
                <w:sz w:val="20"/>
                <w:szCs w:val="20"/>
              </w:rPr>
            </w:pPr>
          </w:p>
        </w:tc>
        <w:tc>
          <w:tcPr>
            <w:tcW w:w="1204" w:type="dxa"/>
            <w:tcBorders>
              <w:top w:val="single" w:sz="12" w:space="0" w:color="000000" w:themeColor="text1"/>
              <w:left w:val="nil"/>
              <w:bottom w:val="nil"/>
              <w:right w:val="single" w:sz="12" w:space="0" w:color="000000" w:themeColor="text1"/>
            </w:tcBorders>
            <w:tcMar>
              <w:top w:w="15" w:type="dxa"/>
              <w:left w:w="15" w:type="dxa"/>
              <w:right w:w="15" w:type="dxa"/>
            </w:tcMar>
            <w:vAlign w:val="center"/>
          </w:tcPr>
          <w:p w14:paraId="55028877" w14:textId="0CDE5404" w:rsidR="336BC162" w:rsidRDefault="336BC162" w:rsidP="336BC162">
            <w:pPr>
              <w:rPr>
                <w:sz w:val="20"/>
                <w:szCs w:val="20"/>
              </w:rPr>
            </w:pPr>
          </w:p>
        </w:tc>
      </w:tr>
      <w:tr w:rsidR="336BC162" w14:paraId="3B59FA52"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6629060" w14:textId="73551C3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1 After</w:t>
            </w:r>
          </w:p>
        </w:tc>
        <w:tc>
          <w:tcPr>
            <w:tcW w:w="707" w:type="dxa"/>
            <w:tcBorders>
              <w:top w:val="nil"/>
              <w:left w:val="single" w:sz="12" w:space="0" w:color="000000" w:themeColor="text1"/>
              <w:bottom w:val="nil"/>
              <w:right w:val="nil"/>
            </w:tcBorders>
            <w:tcMar>
              <w:top w:w="15" w:type="dxa"/>
              <w:left w:w="15" w:type="dxa"/>
              <w:right w:w="15" w:type="dxa"/>
            </w:tcMar>
            <w:vAlign w:val="center"/>
          </w:tcPr>
          <w:p w14:paraId="4B7D36E5" w14:textId="762DAC0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164</w:t>
            </w:r>
          </w:p>
        </w:tc>
        <w:tc>
          <w:tcPr>
            <w:tcW w:w="696" w:type="dxa"/>
            <w:tcBorders>
              <w:top w:val="nil"/>
              <w:left w:val="nil"/>
              <w:bottom w:val="nil"/>
              <w:right w:val="nil"/>
            </w:tcBorders>
            <w:tcMar>
              <w:top w:w="15" w:type="dxa"/>
              <w:left w:w="15" w:type="dxa"/>
              <w:right w:w="15" w:type="dxa"/>
            </w:tcMar>
            <w:vAlign w:val="center"/>
          </w:tcPr>
          <w:p w14:paraId="7D8F43E1" w14:textId="282C096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47.6</w:t>
            </w:r>
          </w:p>
        </w:tc>
        <w:tc>
          <w:tcPr>
            <w:tcW w:w="696" w:type="dxa"/>
            <w:tcBorders>
              <w:top w:val="nil"/>
              <w:left w:val="nil"/>
              <w:bottom w:val="nil"/>
              <w:right w:val="nil"/>
            </w:tcBorders>
            <w:tcMar>
              <w:top w:w="15" w:type="dxa"/>
              <w:left w:w="15" w:type="dxa"/>
              <w:right w:w="15" w:type="dxa"/>
            </w:tcMar>
            <w:vAlign w:val="center"/>
          </w:tcPr>
          <w:p w14:paraId="63E05052" w14:textId="6E9840C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203.1</w:t>
            </w:r>
          </w:p>
        </w:tc>
        <w:tc>
          <w:tcPr>
            <w:tcW w:w="1235" w:type="dxa"/>
            <w:tcBorders>
              <w:top w:val="nil"/>
              <w:left w:val="nil"/>
              <w:bottom w:val="nil"/>
              <w:right w:val="nil"/>
            </w:tcBorders>
            <w:tcMar>
              <w:top w:w="15" w:type="dxa"/>
              <w:left w:w="15" w:type="dxa"/>
              <w:right w:w="15" w:type="dxa"/>
            </w:tcMar>
            <w:vAlign w:val="center"/>
          </w:tcPr>
          <w:p w14:paraId="070E8D0B" w14:textId="51E0F2C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-17.08038504</w:t>
            </w:r>
          </w:p>
        </w:tc>
        <w:tc>
          <w:tcPr>
            <w:tcW w:w="1235" w:type="dxa"/>
            <w:tcBorders>
              <w:top w:val="nil"/>
              <w:left w:val="nil"/>
              <w:bottom w:val="nil"/>
              <w:right w:val="nil"/>
            </w:tcBorders>
            <w:tcMar>
              <w:top w:w="15" w:type="dxa"/>
              <w:left w:w="15" w:type="dxa"/>
              <w:right w:w="15" w:type="dxa"/>
            </w:tcMar>
            <w:vAlign w:val="center"/>
          </w:tcPr>
          <w:p w14:paraId="0F1263F8" w14:textId="6F45AEA5"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-37.78761223</w:t>
            </w:r>
          </w:p>
        </w:tc>
        <w:tc>
          <w:tcPr>
            <w:tcW w:w="1226" w:type="dxa"/>
            <w:tcBorders>
              <w:top w:val="nil"/>
              <w:left w:val="nil"/>
              <w:bottom w:val="nil"/>
              <w:right w:val="nil"/>
            </w:tcBorders>
            <w:tcMar>
              <w:top w:w="15" w:type="dxa"/>
              <w:left w:w="15" w:type="dxa"/>
              <w:right w:w="15" w:type="dxa"/>
            </w:tcMar>
            <w:vAlign w:val="center"/>
          </w:tcPr>
          <w:p w14:paraId="40A12800" w14:textId="2E30EBC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1.209266718</w:t>
            </w:r>
          </w:p>
        </w:tc>
        <w:tc>
          <w:tcPr>
            <w:tcW w:w="1226" w:type="dxa"/>
            <w:tcBorders>
              <w:top w:val="nil"/>
              <w:left w:val="nil"/>
              <w:bottom w:val="nil"/>
              <w:right w:val="nil"/>
            </w:tcBorders>
            <w:tcMar>
              <w:top w:w="15" w:type="dxa"/>
              <w:left w:w="15" w:type="dxa"/>
              <w:right w:w="15" w:type="dxa"/>
            </w:tcMar>
            <w:vAlign w:val="center"/>
          </w:tcPr>
          <w:p w14:paraId="39BA3086" w14:textId="1D1ECF9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7.079856311</w:t>
            </w:r>
          </w:p>
        </w:tc>
        <w:tc>
          <w:tcPr>
            <w:tcW w:w="1204" w:type="dxa"/>
            <w:tcBorders>
              <w:top w:val="nil"/>
              <w:left w:val="nil"/>
              <w:bottom w:val="nil"/>
              <w:right w:val="single" w:sz="12" w:space="0" w:color="000000" w:themeColor="text1"/>
            </w:tcBorders>
            <w:tcMar>
              <w:top w:w="15" w:type="dxa"/>
              <w:left w:w="15" w:type="dxa"/>
              <w:right w:w="15" w:type="dxa"/>
            </w:tcMar>
            <w:vAlign w:val="center"/>
          </w:tcPr>
          <w:p w14:paraId="6D6A881F" w14:textId="2C6645D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54.80%</w:t>
            </w:r>
          </w:p>
        </w:tc>
      </w:tr>
      <w:tr w:rsidR="336BC162" w14:paraId="18595AE0"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06D3E9C7" w14:textId="020764D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lastRenderedPageBreak/>
              <w:t>Trial 2 Before</w:t>
            </w:r>
          </w:p>
        </w:tc>
        <w:tc>
          <w:tcPr>
            <w:tcW w:w="707" w:type="dxa"/>
            <w:tcBorders>
              <w:top w:val="single" w:sz="8" w:space="0" w:color="000000" w:themeColor="text1"/>
              <w:left w:val="single" w:sz="12" w:space="0" w:color="000000" w:themeColor="text1"/>
              <w:bottom w:val="nil"/>
              <w:right w:val="nil"/>
            </w:tcBorders>
            <w:tcMar>
              <w:top w:w="15" w:type="dxa"/>
              <w:left w:w="15" w:type="dxa"/>
              <w:right w:w="15" w:type="dxa"/>
            </w:tcMar>
            <w:vAlign w:val="center"/>
          </w:tcPr>
          <w:p w14:paraId="4CDE12AA" w14:textId="4772702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164</w:t>
            </w:r>
          </w:p>
        </w:tc>
        <w:tc>
          <w:tcPr>
            <w:tcW w:w="696" w:type="dxa"/>
            <w:tcBorders>
              <w:top w:val="single" w:sz="8" w:space="0" w:color="000000" w:themeColor="text1"/>
              <w:left w:val="nil"/>
              <w:bottom w:val="nil"/>
              <w:right w:val="nil"/>
            </w:tcBorders>
            <w:tcMar>
              <w:top w:w="15" w:type="dxa"/>
              <w:left w:w="15" w:type="dxa"/>
              <w:right w:w="15" w:type="dxa"/>
            </w:tcMar>
            <w:vAlign w:val="center"/>
          </w:tcPr>
          <w:p w14:paraId="6BAFAC40" w14:textId="4753506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28.1</w:t>
            </w:r>
          </w:p>
        </w:tc>
        <w:tc>
          <w:tcPr>
            <w:tcW w:w="696" w:type="dxa"/>
            <w:tcBorders>
              <w:top w:val="single" w:sz="8" w:space="0" w:color="000000" w:themeColor="text1"/>
              <w:left w:val="nil"/>
              <w:bottom w:val="nil"/>
              <w:right w:val="nil"/>
            </w:tcBorders>
            <w:tcMar>
              <w:top w:w="15" w:type="dxa"/>
              <w:left w:w="15" w:type="dxa"/>
              <w:right w:w="15" w:type="dxa"/>
            </w:tcMar>
            <w:vAlign w:val="center"/>
          </w:tcPr>
          <w:p w14:paraId="15CBE5B8" w14:textId="135D341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205.6</w:t>
            </w:r>
          </w:p>
        </w:tc>
        <w:tc>
          <w:tcPr>
            <w:tcW w:w="1235" w:type="dxa"/>
            <w:tcBorders>
              <w:top w:val="single" w:sz="8" w:space="0" w:color="000000" w:themeColor="text1"/>
              <w:left w:val="nil"/>
              <w:bottom w:val="nil"/>
              <w:right w:val="nil"/>
            </w:tcBorders>
            <w:tcMar>
              <w:top w:w="15" w:type="dxa"/>
              <w:left w:w="15" w:type="dxa"/>
              <w:right w:w="15" w:type="dxa"/>
            </w:tcMar>
            <w:vAlign w:val="center"/>
          </w:tcPr>
          <w:p w14:paraId="71553CCF" w14:textId="3B0728DC" w:rsidR="336BC162" w:rsidRDefault="336BC162" w:rsidP="336BC162">
            <w:pPr>
              <w:rPr>
                <w:sz w:val="20"/>
                <w:szCs w:val="20"/>
              </w:rPr>
            </w:pPr>
          </w:p>
        </w:tc>
        <w:tc>
          <w:tcPr>
            <w:tcW w:w="1235" w:type="dxa"/>
            <w:tcBorders>
              <w:top w:val="single" w:sz="8" w:space="0" w:color="000000" w:themeColor="text1"/>
              <w:left w:val="nil"/>
              <w:bottom w:val="nil"/>
              <w:right w:val="nil"/>
            </w:tcBorders>
            <w:tcMar>
              <w:top w:w="15" w:type="dxa"/>
              <w:left w:w="15" w:type="dxa"/>
              <w:right w:w="15" w:type="dxa"/>
            </w:tcMar>
            <w:vAlign w:val="center"/>
          </w:tcPr>
          <w:p w14:paraId="20AA69B7" w14:textId="4FB1DEBA" w:rsidR="336BC162" w:rsidRDefault="336BC162" w:rsidP="336BC162">
            <w:pPr>
              <w:rPr>
                <w:sz w:val="20"/>
                <w:szCs w:val="20"/>
              </w:rPr>
            </w:pPr>
          </w:p>
        </w:tc>
        <w:tc>
          <w:tcPr>
            <w:tcW w:w="1226" w:type="dxa"/>
            <w:tcBorders>
              <w:top w:val="single" w:sz="8" w:space="0" w:color="000000" w:themeColor="text1"/>
              <w:left w:val="nil"/>
              <w:bottom w:val="nil"/>
              <w:right w:val="nil"/>
            </w:tcBorders>
            <w:tcMar>
              <w:top w:w="15" w:type="dxa"/>
              <w:left w:w="15" w:type="dxa"/>
              <w:right w:w="15" w:type="dxa"/>
            </w:tcMar>
            <w:vAlign w:val="center"/>
          </w:tcPr>
          <w:p w14:paraId="45DB07EF" w14:textId="16EEC2A7" w:rsidR="336BC162" w:rsidRDefault="336BC162" w:rsidP="336BC162">
            <w:pPr>
              <w:rPr>
                <w:sz w:val="20"/>
                <w:szCs w:val="20"/>
              </w:rPr>
            </w:pPr>
          </w:p>
        </w:tc>
        <w:tc>
          <w:tcPr>
            <w:tcW w:w="1226" w:type="dxa"/>
            <w:tcBorders>
              <w:top w:val="single" w:sz="8" w:space="0" w:color="000000" w:themeColor="text1"/>
              <w:left w:val="nil"/>
              <w:bottom w:val="nil"/>
              <w:right w:val="nil"/>
            </w:tcBorders>
            <w:tcMar>
              <w:top w:w="15" w:type="dxa"/>
              <w:left w:w="15" w:type="dxa"/>
              <w:right w:w="15" w:type="dxa"/>
            </w:tcMar>
            <w:vAlign w:val="center"/>
          </w:tcPr>
          <w:p w14:paraId="622D0BA3" w14:textId="7B66842C" w:rsidR="336BC162" w:rsidRDefault="336BC162" w:rsidP="336BC162">
            <w:pPr>
              <w:rPr>
                <w:sz w:val="20"/>
                <w:szCs w:val="20"/>
              </w:rPr>
            </w:pPr>
          </w:p>
        </w:tc>
        <w:tc>
          <w:tcPr>
            <w:tcW w:w="1204" w:type="dxa"/>
            <w:tcBorders>
              <w:top w:val="single" w:sz="8" w:space="0" w:color="000000" w:themeColor="text1"/>
              <w:left w:val="nil"/>
              <w:bottom w:val="nil"/>
              <w:right w:val="single" w:sz="12" w:space="0" w:color="000000" w:themeColor="text1"/>
            </w:tcBorders>
            <w:tcMar>
              <w:top w:w="15" w:type="dxa"/>
              <w:left w:w="15" w:type="dxa"/>
              <w:right w:w="15" w:type="dxa"/>
            </w:tcMar>
            <w:vAlign w:val="center"/>
          </w:tcPr>
          <w:p w14:paraId="7801EFE8" w14:textId="54C581AE" w:rsidR="336BC162" w:rsidRDefault="336BC162" w:rsidP="336BC162">
            <w:pPr>
              <w:rPr>
                <w:sz w:val="20"/>
                <w:szCs w:val="20"/>
              </w:rPr>
            </w:pPr>
          </w:p>
        </w:tc>
      </w:tr>
      <w:tr w:rsidR="336BC162" w14:paraId="4FBFC6B5"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4CAA5CD0" w14:textId="09C4E7F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2 After</w:t>
            </w:r>
          </w:p>
        </w:tc>
        <w:tc>
          <w:tcPr>
            <w:tcW w:w="707" w:type="dxa"/>
            <w:tcBorders>
              <w:top w:val="nil"/>
              <w:left w:val="single" w:sz="12" w:space="0" w:color="000000" w:themeColor="text1"/>
              <w:bottom w:val="nil"/>
              <w:right w:val="nil"/>
            </w:tcBorders>
            <w:tcMar>
              <w:top w:w="15" w:type="dxa"/>
              <w:left w:w="15" w:type="dxa"/>
              <w:right w:w="15" w:type="dxa"/>
            </w:tcMar>
            <w:vAlign w:val="center"/>
          </w:tcPr>
          <w:p w14:paraId="14221AD9" w14:textId="3A7D8AD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162.4</w:t>
            </w:r>
          </w:p>
        </w:tc>
        <w:tc>
          <w:tcPr>
            <w:tcW w:w="696" w:type="dxa"/>
            <w:tcBorders>
              <w:top w:val="nil"/>
              <w:left w:val="nil"/>
              <w:bottom w:val="nil"/>
              <w:right w:val="nil"/>
            </w:tcBorders>
            <w:tcMar>
              <w:top w:w="15" w:type="dxa"/>
              <w:left w:w="15" w:type="dxa"/>
              <w:right w:w="15" w:type="dxa"/>
            </w:tcMar>
            <w:vAlign w:val="center"/>
          </w:tcPr>
          <w:p w14:paraId="628155FB" w14:textId="04E97EAC"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48.2</w:t>
            </w:r>
          </w:p>
        </w:tc>
        <w:tc>
          <w:tcPr>
            <w:tcW w:w="696" w:type="dxa"/>
            <w:tcBorders>
              <w:top w:val="nil"/>
              <w:left w:val="nil"/>
              <w:bottom w:val="nil"/>
              <w:right w:val="nil"/>
            </w:tcBorders>
            <w:tcMar>
              <w:top w:w="15" w:type="dxa"/>
              <w:left w:w="15" w:type="dxa"/>
              <w:right w:w="15" w:type="dxa"/>
            </w:tcMar>
            <w:vAlign w:val="center"/>
          </w:tcPr>
          <w:p w14:paraId="1081A798" w14:textId="4121B9B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205.6</w:t>
            </w:r>
          </w:p>
        </w:tc>
        <w:tc>
          <w:tcPr>
            <w:tcW w:w="1235" w:type="dxa"/>
            <w:tcBorders>
              <w:top w:val="nil"/>
              <w:left w:val="nil"/>
              <w:bottom w:val="nil"/>
              <w:right w:val="nil"/>
            </w:tcBorders>
            <w:tcMar>
              <w:top w:w="15" w:type="dxa"/>
              <w:left w:w="15" w:type="dxa"/>
              <w:right w:w="15" w:type="dxa"/>
            </w:tcMar>
            <w:vAlign w:val="center"/>
          </w:tcPr>
          <w:p w14:paraId="793E2755" w14:textId="079C42E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-10.8066444</w:t>
            </w:r>
          </w:p>
        </w:tc>
        <w:tc>
          <w:tcPr>
            <w:tcW w:w="1235" w:type="dxa"/>
            <w:tcBorders>
              <w:top w:val="nil"/>
              <w:left w:val="nil"/>
              <w:bottom w:val="nil"/>
              <w:right w:val="nil"/>
            </w:tcBorders>
            <w:tcMar>
              <w:top w:w="15" w:type="dxa"/>
              <w:left w:w="15" w:type="dxa"/>
              <w:right w:w="15" w:type="dxa"/>
            </w:tcMar>
            <w:vAlign w:val="center"/>
          </w:tcPr>
          <w:p w14:paraId="5ECCBC92" w14:textId="3BD9B552"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-37.78761223</w:t>
            </w:r>
          </w:p>
        </w:tc>
        <w:tc>
          <w:tcPr>
            <w:tcW w:w="1226" w:type="dxa"/>
            <w:tcBorders>
              <w:top w:val="nil"/>
              <w:left w:val="nil"/>
              <w:bottom w:val="nil"/>
              <w:right w:val="nil"/>
            </w:tcBorders>
            <w:tcMar>
              <w:top w:w="15" w:type="dxa"/>
              <w:left w:w="15" w:type="dxa"/>
              <w:right w:w="15" w:type="dxa"/>
            </w:tcMar>
            <w:vAlign w:val="center"/>
          </w:tcPr>
          <w:p w14:paraId="699EA37C" w14:textId="091C196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0.479108661</w:t>
            </w:r>
          </w:p>
        </w:tc>
        <w:tc>
          <w:tcPr>
            <w:tcW w:w="1226" w:type="dxa"/>
            <w:tcBorders>
              <w:top w:val="nil"/>
              <w:left w:val="nil"/>
              <w:bottom w:val="nil"/>
              <w:right w:val="nil"/>
            </w:tcBorders>
            <w:tcMar>
              <w:top w:w="15" w:type="dxa"/>
              <w:left w:w="15" w:type="dxa"/>
              <w:right w:w="15" w:type="dxa"/>
            </w:tcMar>
            <w:vAlign w:val="center"/>
          </w:tcPr>
          <w:p w14:paraId="5294E40B" w14:textId="6E67DA4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4.43346374</w:t>
            </w:r>
          </w:p>
        </w:tc>
        <w:tc>
          <w:tcPr>
            <w:tcW w:w="1204" w:type="dxa"/>
            <w:tcBorders>
              <w:top w:val="nil"/>
              <w:left w:val="nil"/>
              <w:bottom w:val="nil"/>
              <w:right w:val="single" w:sz="12" w:space="0" w:color="000000" w:themeColor="text1"/>
            </w:tcBorders>
            <w:tcMar>
              <w:top w:w="15" w:type="dxa"/>
              <w:left w:w="15" w:type="dxa"/>
              <w:right w:w="15" w:type="dxa"/>
            </w:tcMar>
            <w:vAlign w:val="center"/>
          </w:tcPr>
          <w:p w14:paraId="4A9D5113" w14:textId="41A61C7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71.40%</w:t>
            </w:r>
          </w:p>
        </w:tc>
      </w:tr>
      <w:tr w:rsidR="336BC162" w14:paraId="7A47B9D9"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1DF143E2" w14:textId="0D151FA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3 Before</w:t>
            </w:r>
          </w:p>
        </w:tc>
        <w:tc>
          <w:tcPr>
            <w:tcW w:w="707" w:type="dxa"/>
            <w:tcBorders>
              <w:top w:val="single" w:sz="8" w:space="0" w:color="000000" w:themeColor="text1"/>
              <w:left w:val="single" w:sz="12" w:space="0" w:color="000000" w:themeColor="text1"/>
              <w:bottom w:val="nil"/>
              <w:right w:val="nil"/>
            </w:tcBorders>
            <w:tcMar>
              <w:top w:w="15" w:type="dxa"/>
              <w:left w:w="15" w:type="dxa"/>
              <w:right w:w="15" w:type="dxa"/>
            </w:tcMar>
            <w:vAlign w:val="center"/>
          </w:tcPr>
          <w:p w14:paraId="7CEEA58A" w14:textId="2AAC99E3"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161.9</w:t>
            </w:r>
          </w:p>
        </w:tc>
        <w:tc>
          <w:tcPr>
            <w:tcW w:w="696" w:type="dxa"/>
            <w:tcBorders>
              <w:top w:val="single" w:sz="8" w:space="0" w:color="000000" w:themeColor="text1"/>
              <w:left w:val="nil"/>
              <w:bottom w:val="nil"/>
              <w:right w:val="nil"/>
            </w:tcBorders>
            <w:tcMar>
              <w:top w:w="15" w:type="dxa"/>
              <w:left w:w="15" w:type="dxa"/>
              <w:right w:w="15" w:type="dxa"/>
            </w:tcMar>
            <w:vAlign w:val="center"/>
          </w:tcPr>
          <w:p w14:paraId="72E59188" w14:textId="52396B24"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23.8</w:t>
            </w:r>
          </w:p>
        </w:tc>
        <w:tc>
          <w:tcPr>
            <w:tcW w:w="696" w:type="dxa"/>
            <w:tcBorders>
              <w:top w:val="single" w:sz="8" w:space="0" w:color="000000" w:themeColor="text1"/>
              <w:left w:val="nil"/>
              <w:bottom w:val="nil"/>
              <w:right w:val="nil"/>
            </w:tcBorders>
            <w:tcMar>
              <w:top w:w="15" w:type="dxa"/>
              <w:left w:w="15" w:type="dxa"/>
              <w:right w:w="15" w:type="dxa"/>
            </w:tcMar>
            <w:vAlign w:val="center"/>
          </w:tcPr>
          <w:p w14:paraId="62DF716E" w14:textId="616649A1"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198.5</w:t>
            </w:r>
          </w:p>
        </w:tc>
        <w:tc>
          <w:tcPr>
            <w:tcW w:w="1235" w:type="dxa"/>
            <w:tcBorders>
              <w:top w:val="single" w:sz="8" w:space="0" w:color="000000" w:themeColor="text1"/>
              <w:left w:val="nil"/>
              <w:bottom w:val="nil"/>
              <w:right w:val="nil"/>
            </w:tcBorders>
            <w:tcMar>
              <w:top w:w="15" w:type="dxa"/>
              <w:left w:w="15" w:type="dxa"/>
              <w:right w:w="15" w:type="dxa"/>
            </w:tcMar>
            <w:vAlign w:val="center"/>
          </w:tcPr>
          <w:p w14:paraId="24546E69" w14:textId="517C8ADA" w:rsidR="336BC162" w:rsidRDefault="336BC162" w:rsidP="336BC162">
            <w:pPr>
              <w:rPr>
                <w:sz w:val="20"/>
                <w:szCs w:val="20"/>
              </w:rPr>
            </w:pPr>
          </w:p>
        </w:tc>
        <w:tc>
          <w:tcPr>
            <w:tcW w:w="1235" w:type="dxa"/>
            <w:tcBorders>
              <w:top w:val="single" w:sz="8" w:space="0" w:color="000000" w:themeColor="text1"/>
              <w:left w:val="nil"/>
              <w:bottom w:val="nil"/>
              <w:right w:val="nil"/>
            </w:tcBorders>
            <w:tcMar>
              <w:top w:w="15" w:type="dxa"/>
              <w:left w:w="15" w:type="dxa"/>
              <w:right w:w="15" w:type="dxa"/>
            </w:tcMar>
            <w:vAlign w:val="center"/>
          </w:tcPr>
          <w:p w14:paraId="24865355" w14:textId="4D7D3784" w:rsidR="336BC162" w:rsidRDefault="336BC162" w:rsidP="336BC162">
            <w:pPr>
              <w:rPr>
                <w:sz w:val="20"/>
                <w:szCs w:val="20"/>
              </w:rPr>
            </w:pPr>
          </w:p>
        </w:tc>
        <w:tc>
          <w:tcPr>
            <w:tcW w:w="1226" w:type="dxa"/>
            <w:tcBorders>
              <w:top w:val="single" w:sz="8" w:space="0" w:color="000000" w:themeColor="text1"/>
              <w:left w:val="nil"/>
              <w:bottom w:val="nil"/>
              <w:right w:val="nil"/>
            </w:tcBorders>
            <w:tcMar>
              <w:top w:w="15" w:type="dxa"/>
              <w:left w:w="15" w:type="dxa"/>
              <w:right w:w="15" w:type="dxa"/>
            </w:tcMar>
            <w:vAlign w:val="center"/>
          </w:tcPr>
          <w:p w14:paraId="47F3E9B8" w14:textId="47404CA7" w:rsidR="336BC162" w:rsidRDefault="336BC162" w:rsidP="336BC162">
            <w:pPr>
              <w:rPr>
                <w:sz w:val="20"/>
                <w:szCs w:val="20"/>
              </w:rPr>
            </w:pPr>
          </w:p>
        </w:tc>
        <w:tc>
          <w:tcPr>
            <w:tcW w:w="1226" w:type="dxa"/>
            <w:tcBorders>
              <w:top w:val="single" w:sz="8" w:space="0" w:color="000000" w:themeColor="text1"/>
              <w:left w:val="nil"/>
              <w:bottom w:val="nil"/>
              <w:right w:val="nil"/>
            </w:tcBorders>
            <w:tcMar>
              <w:top w:w="15" w:type="dxa"/>
              <w:left w:w="15" w:type="dxa"/>
              <w:right w:w="15" w:type="dxa"/>
            </w:tcMar>
            <w:vAlign w:val="center"/>
          </w:tcPr>
          <w:p w14:paraId="34B37F23" w14:textId="5ADD4C4B" w:rsidR="336BC162" w:rsidRDefault="336BC162" w:rsidP="336BC162">
            <w:pPr>
              <w:rPr>
                <w:sz w:val="20"/>
                <w:szCs w:val="20"/>
              </w:rPr>
            </w:pPr>
          </w:p>
        </w:tc>
        <w:tc>
          <w:tcPr>
            <w:tcW w:w="1204" w:type="dxa"/>
            <w:tcBorders>
              <w:top w:val="single" w:sz="8" w:space="0" w:color="000000" w:themeColor="text1"/>
              <w:left w:val="nil"/>
              <w:bottom w:val="nil"/>
              <w:right w:val="single" w:sz="12" w:space="0" w:color="000000" w:themeColor="text1"/>
            </w:tcBorders>
            <w:tcMar>
              <w:top w:w="15" w:type="dxa"/>
              <w:left w:w="15" w:type="dxa"/>
              <w:right w:w="15" w:type="dxa"/>
            </w:tcMar>
            <w:vAlign w:val="center"/>
          </w:tcPr>
          <w:p w14:paraId="0A7B6FED" w14:textId="60439D64" w:rsidR="336BC162" w:rsidRDefault="336BC162" w:rsidP="336BC162">
            <w:pPr>
              <w:rPr>
                <w:sz w:val="20"/>
                <w:szCs w:val="20"/>
              </w:rPr>
            </w:pPr>
          </w:p>
        </w:tc>
      </w:tr>
      <w:tr w:rsidR="336BC162" w14:paraId="55A9C732"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3359C985" w14:textId="3BD7E440"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Trial 3 After</w:t>
            </w:r>
          </w:p>
        </w:tc>
        <w:tc>
          <w:tcPr>
            <w:tcW w:w="707" w:type="dxa"/>
            <w:tcBorders>
              <w:top w:val="nil"/>
              <w:left w:val="single" w:sz="12" w:space="0" w:color="000000" w:themeColor="text1"/>
              <w:bottom w:val="single" w:sz="12" w:space="0" w:color="000000" w:themeColor="text1"/>
              <w:right w:val="nil"/>
            </w:tcBorders>
            <w:tcMar>
              <w:top w:w="15" w:type="dxa"/>
              <w:left w:w="15" w:type="dxa"/>
              <w:right w:w="15" w:type="dxa"/>
            </w:tcMar>
            <w:vAlign w:val="center"/>
          </w:tcPr>
          <w:p w14:paraId="66DC9028" w14:textId="0E4A40D7"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159.6</w:t>
            </w:r>
          </w:p>
        </w:tc>
        <w:tc>
          <w:tcPr>
            <w:tcW w:w="696" w:type="dxa"/>
            <w:tcBorders>
              <w:top w:val="nil"/>
              <w:left w:val="nil"/>
              <w:bottom w:val="single" w:sz="12" w:space="0" w:color="000000" w:themeColor="text1"/>
              <w:right w:val="nil"/>
            </w:tcBorders>
            <w:tcMar>
              <w:top w:w="15" w:type="dxa"/>
              <w:left w:w="15" w:type="dxa"/>
              <w:right w:w="15" w:type="dxa"/>
            </w:tcMar>
            <w:vAlign w:val="center"/>
          </w:tcPr>
          <w:p w14:paraId="54262569" w14:textId="47371D5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43.8</w:t>
            </w:r>
          </w:p>
        </w:tc>
        <w:tc>
          <w:tcPr>
            <w:tcW w:w="696" w:type="dxa"/>
            <w:tcBorders>
              <w:top w:val="nil"/>
              <w:left w:val="nil"/>
              <w:bottom w:val="single" w:sz="12" w:space="0" w:color="000000" w:themeColor="text1"/>
              <w:right w:val="nil"/>
            </w:tcBorders>
            <w:tcMar>
              <w:top w:w="15" w:type="dxa"/>
              <w:left w:w="15" w:type="dxa"/>
              <w:right w:w="15" w:type="dxa"/>
            </w:tcMar>
            <w:vAlign w:val="center"/>
          </w:tcPr>
          <w:p w14:paraId="76834002" w14:textId="14C389CE"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198.5</w:t>
            </w:r>
          </w:p>
        </w:tc>
        <w:tc>
          <w:tcPr>
            <w:tcW w:w="1235" w:type="dxa"/>
            <w:tcBorders>
              <w:top w:val="nil"/>
              <w:left w:val="nil"/>
              <w:bottom w:val="single" w:sz="12" w:space="0" w:color="000000" w:themeColor="text1"/>
              <w:right w:val="nil"/>
            </w:tcBorders>
            <w:tcMar>
              <w:top w:w="15" w:type="dxa"/>
              <w:left w:w="15" w:type="dxa"/>
              <w:right w:w="15" w:type="dxa"/>
            </w:tcMar>
            <w:vAlign w:val="center"/>
          </w:tcPr>
          <w:p w14:paraId="4FADA94B" w14:textId="6B994E2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-7.221947826</w:t>
            </w:r>
          </w:p>
        </w:tc>
        <w:tc>
          <w:tcPr>
            <w:tcW w:w="1235" w:type="dxa"/>
            <w:tcBorders>
              <w:top w:val="nil"/>
              <w:left w:val="nil"/>
              <w:bottom w:val="single" w:sz="12" w:space="0" w:color="000000" w:themeColor="text1"/>
              <w:right w:val="nil"/>
            </w:tcBorders>
            <w:tcMar>
              <w:top w:w="15" w:type="dxa"/>
              <w:left w:w="15" w:type="dxa"/>
              <w:right w:w="15" w:type="dxa"/>
            </w:tcMar>
            <w:vAlign w:val="center"/>
          </w:tcPr>
          <w:p w14:paraId="75493226" w14:textId="3162932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-37.78761223</w:t>
            </w:r>
          </w:p>
        </w:tc>
        <w:tc>
          <w:tcPr>
            <w:tcW w:w="1226" w:type="dxa"/>
            <w:tcBorders>
              <w:top w:val="nil"/>
              <w:left w:val="nil"/>
              <w:bottom w:val="single" w:sz="12" w:space="0" w:color="000000" w:themeColor="text1"/>
              <w:right w:val="nil"/>
            </w:tcBorders>
            <w:tcMar>
              <w:top w:w="15" w:type="dxa"/>
              <w:left w:w="15" w:type="dxa"/>
              <w:right w:w="15" w:type="dxa"/>
            </w:tcMar>
            <w:vAlign w:val="center"/>
          </w:tcPr>
          <w:p w14:paraId="5B1550E5" w14:textId="4D55F336"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0.223500679</w:t>
            </w:r>
          </w:p>
        </w:tc>
        <w:tc>
          <w:tcPr>
            <w:tcW w:w="1226" w:type="dxa"/>
            <w:tcBorders>
              <w:top w:val="nil"/>
              <w:left w:val="nil"/>
              <w:bottom w:val="single" w:sz="12" w:space="0" w:color="000000" w:themeColor="text1"/>
              <w:right w:val="nil"/>
            </w:tcBorders>
            <w:tcMar>
              <w:top w:w="15" w:type="dxa"/>
              <w:left w:w="15" w:type="dxa"/>
              <w:right w:w="15" w:type="dxa"/>
            </w:tcMar>
            <w:vAlign w:val="center"/>
          </w:tcPr>
          <w:p w14:paraId="4D20FE28" w14:textId="01AFD2A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3.094742368</w:t>
            </w:r>
          </w:p>
        </w:tc>
        <w:tc>
          <w:tcPr>
            <w:tcW w:w="1204" w:type="dxa"/>
            <w:tcBorders>
              <w:top w:val="nil"/>
              <w:left w:val="nil"/>
              <w:bottom w:val="single" w:sz="12" w:space="0" w:color="000000" w:themeColor="text1"/>
              <w:right w:val="single" w:sz="12" w:space="0" w:color="000000" w:themeColor="text1"/>
            </w:tcBorders>
            <w:tcMar>
              <w:top w:w="15" w:type="dxa"/>
              <w:left w:w="15" w:type="dxa"/>
              <w:right w:w="15" w:type="dxa"/>
            </w:tcMar>
            <w:vAlign w:val="center"/>
          </w:tcPr>
          <w:p w14:paraId="2507DCA8" w14:textId="7DD75528"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80.89%</w:t>
            </w:r>
          </w:p>
        </w:tc>
      </w:tr>
      <w:tr w:rsidR="336BC162" w14:paraId="49A5CB62" w14:textId="77777777" w:rsidTr="336BC162">
        <w:trPr>
          <w:trHeight w:val="855"/>
        </w:trPr>
        <w:tc>
          <w:tcPr>
            <w:tcW w:w="11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15" w:type="dxa"/>
              <w:left w:w="15" w:type="dxa"/>
              <w:right w:w="15" w:type="dxa"/>
            </w:tcMar>
            <w:vAlign w:val="center"/>
          </w:tcPr>
          <w:p w14:paraId="7C4629E2" w14:textId="6775369A"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Average:</w:t>
            </w:r>
          </w:p>
        </w:tc>
        <w:tc>
          <w:tcPr>
            <w:tcW w:w="707" w:type="dxa"/>
            <w:tcBorders>
              <w:top w:val="single" w:sz="12" w:space="0" w:color="000000" w:themeColor="text1"/>
              <w:left w:val="single" w:sz="12" w:space="0" w:color="000000" w:themeColor="text1"/>
              <w:bottom w:val="single" w:sz="12" w:space="0" w:color="000000" w:themeColor="text1"/>
              <w:right w:val="nil"/>
            </w:tcBorders>
            <w:tcMar>
              <w:top w:w="15" w:type="dxa"/>
              <w:left w:w="15" w:type="dxa"/>
              <w:right w:w="15" w:type="dxa"/>
            </w:tcMar>
            <w:vAlign w:val="center"/>
          </w:tcPr>
          <w:p w14:paraId="64E779E9" w14:textId="54955A6C" w:rsidR="336BC162" w:rsidRDefault="336BC162" w:rsidP="336BC162">
            <w:pPr>
              <w:rPr>
                <w:sz w:val="20"/>
                <w:szCs w:val="20"/>
              </w:rPr>
            </w:pPr>
          </w:p>
        </w:tc>
        <w:tc>
          <w:tcPr>
            <w:tcW w:w="696"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5E09ECE7" w14:textId="74C9C761" w:rsidR="336BC162" w:rsidRDefault="336BC162" w:rsidP="336BC162">
            <w:pPr>
              <w:rPr>
                <w:sz w:val="20"/>
                <w:szCs w:val="20"/>
              </w:rPr>
            </w:pPr>
          </w:p>
        </w:tc>
        <w:tc>
          <w:tcPr>
            <w:tcW w:w="696"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2BD54196" w14:textId="7BB61FF5" w:rsidR="336BC162" w:rsidRDefault="336BC162" w:rsidP="336BC162">
            <w:pPr>
              <w:rPr>
                <w:sz w:val="20"/>
                <w:szCs w:val="20"/>
              </w:rPr>
            </w:pPr>
          </w:p>
        </w:tc>
        <w:tc>
          <w:tcPr>
            <w:tcW w:w="1235"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2BEAF609" w14:textId="75A3B25D"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-11.70299242</w:t>
            </w:r>
          </w:p>
        </w:tc>
        <w:tc>
          <w:tcPr>
            <w:tcW w:w="1235"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1A2A63CF" w14:textId="57F6B4AF"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-37.78761223</w:t>
            </w:r>
          </w:p>
        </w:tc>
        <w:tc>
          <w:tcPr>
            <w:tcW w:w="1226"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665835B9" w14:textId="642C07F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0.637292019</w:t>
            </w:r>
          </w:p>
        </w:tc>
        <w:tc>
          <w:tcPr>
            <w:tcW w:w="1226" w:type="dxa"/>
            <w:tcBorders>
              <w:top w:val="single" w:sz="12" w:space="0" w:color="000000" w:themeColor="text1"/>
              <w:left w:val="nil"/>
              <w:bottom w:val="single" w:sz="12" w:space="0" w:color="000000" w:themeColor="text1"/>
              <w:right w:val="nil"/>
            </w:tcBorders>
            <w:tcMar>
              <w:top w:w="15" w:type="dxa"/>
              <w:left w:w="15" w:type="dxa"/>
              <w:right w:w="15" w:type="dxa"/>
            </w:tcMar>
            <w:vAlign w:val="center"/>
          </w:tcPr>
          <w:p w14:paraId="376037B0" w14:textId="4C8ACD59"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4.869354139</w:t>
            </w:r>
          </w:p>
        </w:tc>
        <w:tc>
          <w:tcPr>
            <w:tcW w:w="1204" w:type="dxa"/>
            <w:tcBorders>
              <w:top w:val="single" w:sz="12" w:space="0" w:color="000000" w:themeColor="text1"/>
              <w:left w:val="nil"/>
              <w:bottom w:val="single" w:sz="12" w:space="0" w:color="000000" w:themeColor="text1"/>
              <w:right w:val="single" w:sz="12" w:space="0" w:color="000000" w:themeColor="text1"/>
            </w:tcBorders>
            <w:tcMar>
              <w:top w:w="15" w:type="dxa"/>
              <w:left w:w="15" w:type="dxa"/>
              <w:right w:w="15" w:type="dxa"/>
            </w:tcMar>
            <w:vAlign w:val="center"/>
          </w:tcPr>
          <w:p w14:paraId="7A877BB9" w14:textId="6D11B3AB" w:rsidR="336BC162" w:rsidRDefault="336BC162" w:rsidP="336BC162">
            <w:pPr>
              <w:spacing w:after="0"/>
              <w:jc w:val="center"/>
              <w:rPr>
                <w:rFonts w:ascii="Aptos Narrow" w:eastAsia="Aptos Narrow" w:hAnsi="Aptos Narrow" w:cs="Aptos Narrow"/>
                <w:color w:val="000000" w:themeColor="text1"/>
                <w:sz w:val="20"/>
                <w:szCs w:val="20"/>
              </w:rPr>
            </w:pPr>
            <w:r w:rsidRPr="336BC162">
              <w:rPr>
                <w:rFonts w:ascii="Aptos Narrow" w:eastAsia="Aptos Narrow" w:hAnsi="Aptos Narrow" w:cs="Aptos Narrow"/>
                <w:color w:val="000000" w:themeColor="text1"/>
                <w:sz w:val="20"/>
                <w:szCs w:val="20"/>
              </w:rPr>
              <w:t>69.03%</w:t>
            </w:r>
          </w:p>
        </w:tc>
      </w:tr>
    </w:tbl>
    <w:p w14:paraId="7C1197C3" w14:textId="58611A5C" w:rsidR="336BC162" w:rsidRDefault="336BC162" w:rsidP="336BC162"/>
    <w:sectPr w:rsidR="336BC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PHERD, Cara (cjmck3)" w:date="2025-04-18T11:45:00Z" w:initials="SC(">
    <w:p w14:paraId="4A935E35" w14:textId="6506E01E" w:rsidR="00D91A46" w:rsidRDefault="00D91A46">
      <w:pPr>
        <w:pStyle w:val="CommentText"/>
      </w:pPr>
      <w:r>
        <w:rPr>
          <w:rStyle w:val="CommentReference"/>
        </w:rPr>
        <w:annotationRef/>
      </w:r>
      <w:r>
        <w:t>Be more specific – what compounds? Parameters of experiment.</w:t>
      </w:r>
    </w:p>
  </w:comment>
  <w:comment w:id="1" w:author="SHEPHERD, Cara (cjmck3)" w:date="2025-04-18T11:44:00Z" w:initials="SC(">
    <w:p w14:paraId="709B344E" w14:textId="47208CB7" w:rsidR="00196291" w:rsidRDefault="00196291">
      <w:pPr>
        <w:pStyle w:val="CommentText"/>
      </w:pPr>
      <w:r>
        <w:rPr>
          <w:rStyle w:val="CommentReference"/>
        </w:rPr>
        <w:annotationRef/>
      </w:r>
      <w:r w:rsidR="006C2E43">
        <w:t>Include relevant chemical equations, how enthalpy is calculated theoretically and experimentally.</w:t>
      </w:r>
    </w:p>
  </w:comment>
  <w:comment w:id="2" w:author="SHEPHERD, Cara (cjmck3)" w:date="2025-04-18T11:42:00Z" w:initials="SC(">
    <w:p w14:paraId="26CC5052" w14:textId="658957E0" w:rsidR="00355189" w:rsidRDefault="00355189">
      <w:pPr>
        <w:pStyle w:val="CommentText"/>
      </w:pPr>
      <w:r>
        <w:rPr>
          <w:rStyle w:val="CommentReference"/>
        </w:rPr>
        <w:annotationRef/>
      </w:r>
      <w:r>
        <w:t>There is no gap. See if you can come up with a good reason to investigate enthalpy of combustion of fuels.</w:t>
      </w:r>
    </w:p>
  </w:comment>
  <w:comment w:id="3" w:author="SHEPHERD, Cara (cjmck3)" w:date="2025-04-18T11:43:00Z" w:initials="SC(">
    <w:p w14:paraId="1799F5EA" w14:textId="53C967AD" w:rsidR="00196291" w:rsidRDefault="00196291">
      <w:pPr>
        <w:pStyle w:val="CommentText"/>
      </w:pPr>
      <w:r>
        <w:rPr>
          <w:rStyle w:val="CommentReference"/>
        </w:rPr>
        <w:annotationRef/>
      </w:r>
      <w:r>
        <w:t>Start paragraph with context. Keep context focused on specific RQ – look at applications for the fuels that were actually investigated.</w:t>
      </w:r>
    </w:p>
  </w:comment>
  <w:comment w:id="4" w:author="SHEPHERD, Cara (cjmck3)" w:date="2025-04-18T11:46:00Z" w:initials="SC(">
    <w:p w14:paraId="01BEDA3C" w14:textId="2B6F6E11" w:rsidR="004F73D1" w:rsidRDefault="004F73D1">
      <w:pPr>
        <w:pStyle w:val="CommentText"/>
      </w:pPr>
      <w:r>
        <w:rPr>
          <w:rStyle w:val="CommentReference"/>
        </w:rPr>
        <w:annotationRef/>
      </w:r>
      <w:r>
        <w:t>Word choice</w:t>
      </w:r>
    </w:p>
  </w:comment>
  <w:comment w:id="5" w:author="SHEPHERD, Cara (cjmck3)" w:date="2025-04-18T11:46:00Z" w:initials="SC(">
    <w:p w14:paraId="6CDE5113" w14:textId="488F22D1" w:rsidR="004F73D1" w:rsidRDefault="004F73D1">
      <w:pPr>
        <w:pStyle w:val="CommentText"/>
      </w:pPr>
      <w:r>
        <w:rPr>
          <w:rStyle w:val="CommentReference"/>
        </w:rPr>
        <w:annotationRef/>
      </w:r>
      <w:r>
        <w:t xml:space="preserve">For each modification, identify if it is a refinement, redirection, or extension. </w:t>
      </w:r>
      <w:r w:rsidR="00F807C8">
        <w:t>Justify each modification by referring to reliability / validity where possible.</w:t>
      </w:r>
    </w:p>
  </w:comment>
  <w:comment w:id="8" w:author="SHEPHERD, Cara (cjmck3)" w:date="2025-04-18T11:48:00Z" w:initials="SC(">
    <w:p w14:paraId="5347564C" w14:textId="19D4AFEF" w:rsidR="00CA041F" w:rsidRDefault="00CA041F">
      <w:pPr>
        <w:pStyle w:val="CommentText"/>
      </w:pPr>
      <w:r>
        <w:rPr>
          <w:rStyle w:val="CommentReference"/>
        </w:rPr>
        <w:annotationRef/>
      </w:r>
      <w:r>
        <w:t>Need to include sample calculations.</w:t>
      </w:r>
    </w:p>
  </w:comment>
  <w:comment w:id="9" w:author="SHEPHERD, Cara (cjmck3)" w:date="2025-04-18T11:48:00Z" w:initials="SC(">
    <w:p w14:paraId="0E629A91" w14:textId="5196EA15" w:rsidR="006F5ECE" w:rsidRDefault="006F5ECE">
      <w:pPr>
        <w:pStyle w:val="CommentText"/>
      </w:pPr>
      <w:r>
        <w:rPr>
          <w:rStyle w:val="CommentReference"/>
        </w:rPr>
        <w:annotationRef/>
      </w:r>
      <w:r>
        <w:t>Significant figures – check throughout.</w:t>
      </w:r>
    </w:p>
  </w:comment>
  <w:comment w:id="10" w:author="SHEPHERD, Cara (cjmck3)" w:date="2025-04-18T11:49:00Z" w:initials="SC(">
    <w:p w14:paraId="3824AE46" w14:textId="00E0619C" w:rsidR="008F0A6D" w:rsidRDefault="008F0A6D">
      <w:pPr>
        <w:pStyle w:val="CommentText"/>
      </w:pPr>
      <w:r>
        <w:rPr>
          <w:rStyle w:val="CommentReference"/>
        </w:rPr>
        <w:annotationRef/>
      </w:r>
      <w:r>
        <w:t>Discuss sources of error</w:t>
      </w:r>
      <w:r w:rsidR="009E508D">
        <w:t>. Justify using measurement uncertainty values and/or % error.</w:t>
      </w:r>
    </w:p>
  </w:comment>
  <w:comment w:id="11" w:author="SHEPHERD, Cara (cjmck3)" w:date="2025-04-18T11:50:00Z" w:initials="SC(">
    <w:p w14:paraId="57466975" w14:textId="1F1F5509" w:rsidR="00743768" w:rsidRDefault="00743768">
      <w:pPr>
        <w:pStyle w:val="CommentText"/>
      </w:pPr>
      <w:r>
        <w:rPr>
          <w:rStyle w:val="CommentReference"/>
        </w:rPr>
        <w:annotationRef/>
      </w:r>
      <w:r>
        <w:t>Write into paragraphs – one for reliability and one for validity.</w:t>
      </w:r>
    </w:p>
  </w:comment>
  <w:comment w:id="12" w:author="SHEPHERD, Cara (cjmck3)" w:date="2025-04-18T11:51:00Z" w:initials="SC(">
    <w:p w14:paraId="37101AA5" w14:textId="60E03C78" w:rsidR="00743768" w:rsidRDefault="00743768">
      <w:pPr>
        <w:pStyle w:val="CommentText"/>
      </w:pPr>
      <w:r>
        <w:rPr>
          <w:rStyle w:val="CommentReference"/>
        </w:rPr>
        <w:annotationRef/>
      </w:r>
      <w:r>
        <w:t>Identify each as an improvement or an extension.</w:t>
      </w:r>
    </w:p>
  </w:comment>
  <w:comment w:id="13" w:author="SHEPHERD, Cara (cjmck3)" w:date="2025-04-18T11:51:00Z" w:initials="SC(">
    <w:p w14:paraId="100E06ED" w14:textId="6CC0AF40" w:rsidR="00743768" w:rsidRDefault="00743768">
      <w:pPr>
        <w:pStyle w:val="CommentText"/>
      </w:pPr>
      <w:r>
        <w:rPr>
          <w:rStyle w:val="CommentReference"/>
        </w:rPr>
        <w:annotationRef/>
      </w:r>
      <w:r>
        <w:t>Needs reference</w:t>
      </w:r>
    </w:p>
  </w:comment>
  <w:comment w:id="14" w:author="SHEPHERD, Cara (cjmck3)" w:date="2025-04-18T11:51:00Z" w:initials="SC(">
    <w:p w14:paraId="13EBB812" w14:textId="267E1B96" w:rsidR="00217CDA" w:rsidRDefault="00217CDA">
      <w:pPr>
        <w:pStyle w:val="CommentText"/>
      </w:pPr>
      <w:r>
        <w:rPr>
          <w:rStyle w:val="CommentReference"/>
        </w:rPr>
        <w:annotationRef/>
      </w:r>
      <w:r>
        <w:t>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35E35" w15:done="0"/>
  <w15:commentEx w15:paraId="709B344E" w15:done="0"/>
  <w15:commentEx w15:paraId="26CC5052" w15:done="0"/>
  <w15:commentEx w15:paraId="1799F5EA" w15:done="0"/>
  <w15:commentEx w15:paraId="01BEDA3C" w15:done="0"/>
  <w15:commentEx w15:paraId="6CDE5113" w15:done="0"/>
  <w15:commentEx w15:paraId="5347564C" w15:done="0"/>
  <w15:commentEx w15:paraId="0E629A91" w15:done="0"/>
  <w15:commentEx w15:paraId="3824AE46" w15:done="0"/>
  <w15:commentEx w15:paraId="57466975" w15:done="0"/>
  <w15:commentEx w15:paraId="37101AA5" w15:done="0"/>
  <w15:commentEx w15:paraId="100E06ED" w15:done="0"/>
  <w15:commentEx w15:paraId="13EBB8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CB9D4" w16cex:dateUtc="2025-04-18T01:45:00Z"/>
  <w16cex:commentExtensible w16cex:durableId="2BACB987" w16cex:dateUtc="2025-04-18T01:44:00Z"/>
  <w16cex:commentExtensible w16cex:durableId="2BACB926" w16cex:dateUtc="2025-04-18T01:42:00Z"/>
  <w16cex:commentExtensible w16cex:durableId="2BACB96A" w16cex:dateUtc="2025-04-18T01:43:00Z"/>
  <w16cex:commentExtensible w16cex:durableId="2BACB9FB" w16cex:dateUtc="2025-04-18T01:46:00Z"/>
  <w16cex:commentExtensible w16cex:durableId="2BACBA0B" w16cex:dateUtc="2025-04-18T01:46:00Z"/>
  <w16cex:commentExtensible w16cex:durableId="2BACBA9D" w16cex:dateUtc="2025-04-18T01:48:00Z"/>
  <w16cex:commentExtensible w16cex:durableId="2BACBA70" w16cex:dateUtc="2025-04-18T01:48:00Z"/>
  <w16cex:commentExtensible w16cex:durableId="2BACBACE" w16cex:dateUtc="2025-04-18T01:49:00Z"/>
  <w16cex:commentExtensible w16cex:durableId="2BACBB12" w16cex:dateUtc="2025-04-18T01:50:00Z"/>
  <w16cex:commentExtensible w16cex:durableId="2BACBB35" w16cex:dateUtc="2025-04-18T01:51:00Z"/>
  <w16cex:commentExtensible w16cex:durableId="2BACBB2E" w16cex:dateUtc="2025-04-18T01:51:00Z"/>
  <w16cex:commentExtensible w16cex:durableId="2BACBB5E" w16cex:dateUtc="2025-04-18T0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35E35" w16cid:durableId="2BACB9D4"/>
  <w16cid:commentId w16cid:paraId="709B344E" w16cid:durableId="2BACB987"/>
  <w16cid:commentId w16cid:paraId="26CC5052" w16cid:durableId="2BACB926"/>
  <w16cid:commentId w16cid:paraId="1799F5EA" w16cid:durableId="2BACB96A"/>
  <w16cid:commentId w16cid:paraId="01BEDA3C" w16cid:durableId="2BACB9FB"/>
  <w16cid:commentId w16cid:paraId="6CDE5113" w16cid:durableId="2BACBA0B"/>
  <w16cid:commentId w16cid:paraId="5347564C" w16cid:durableId="2BACBA9D"/>
  <w16cid:commentId w16cid:paraId="0E629A91" w16cid:durableId="2BACBA70"/>
  <w16cid:commentId w16cid:paraId="3824AE46" w16cid:durableId="2BACBACE"/>
  <w16cid:commentId w16cid:paraId="57466975" w16cid:durableId="2BACBB12"/>
  <w16cid:commentId w16cid:paraId="37101AA5" w16cid:durableId="2BACBB35"/>
  <w16cid:commentId w16cid:paraId="100E06ED" w16cid:durableId="2BACBB2E"/>
  <w16cid:commentId w16cid:paraId="13EBB812" w16cid:durableId="2BACBB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tos Narrow">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TwWDwA2" int2:invalidationBookmarkName="" int2:hashCode="7D3jn61Yy0on0O" int2:id="KkBe6s0A">
      <int2:state int2:type="AugLoop_Text_Critique" int2:value="Rejected"/>
    </int2:bookmark>
    <int2:bookmark int2:bookmarkName="_Int_1BFJ4bhT" int2:invalidationBookmarkName="" int2:hashCode="X1uECT8YSE8wTC" int2:id="5MNzMUl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A393"/>
    <w:multiLevelType w:val="hybridMultilevel"/>
    <w:tmpl w:val="DB1A35D4"/>
    <w:lvl w:ilvl="0" w:tplc="51D82E0E">
      <w:start w:val="1"/>
      <w:numFmt w:val="bullet"/>
      <w:lvlText w:val=""/>
      <w:lvlJc w:val="left"/>
      <w:pPr>
        <w:ind w:left="720" w:hanging="360"/>
      </w:pPr>
      <w:rPr>
        <w:rFonts w:ascii="Symbol" w:hAnsi="Symbol" w:hint="default"/>
      </w:rPr>
    </w:lvl>
    <w:lvl w:ilvl="1" w:tplc="34B0950A">
      <w:start w:val="1"/>
      <w:numFmt w:val="bullet"/>
      <w:lvlText w:val="o"/>
      <w:lvlJc w:val="left"/>
      <w:pPr>
        <w:ind w:left="1440" w:hanging="360"/>
      </w:pPr>
      <w:rPr>
        <w:rFonts w:ascii="Courier New" w:hAnsi="Courier New" w:hint="default"/>
      </w:rPr>
    </w:lvl>
    <w:lvl w:ilvl="2" w:tplc="0CBCF6A4">
      <w:start w:val="1"/>
      <w:numFmt w:val="bullet"/>
      <w:lvlText w:val=""/>
      <w:lvlJc w:val="left"/>
      <w:pPr>
        <w:ind w:left="2160" w:hanging="360"/>
      </w:pPr>
      <w:rPr>
        <w:rFonts w:ascii="Wingdings" w:hAnsi="Wingdings" w:hint="default"/>
      </w:rPr>
    </w:lvl>
    <w:lvl w:ilvl="3" w:tplc="AF4ED910">
      <w:start w:val="1"/>
      <w:numFmt w:val="bullet"/>
      <w:lvlText w:val=""/>
      <w:lvlJc w:val="left"/>
      <w:pPr>
        <w:ind w:left="2880" w:hanging="360"/>
      </w:pPr>
      <w:rPr>
        <w:rFonts w:ascii="Symbol" w:hAnsi="Symbol" w:hint="default"/>
      </w:rPr>
    </w:lvl>
    <w:lvl w:ilvl="4" w:tplc="DEDC56F6">
      <w:start w:val="1"/>
      <w:numFmt w:val="bullet"/>
      <w:lvlText w:val="o"/>
      <w:lvlJc w:val="left"/>
      <w:pPr>
        <w:ind w:left="3600" w:hanging="360"/>
      </w:pPr>
      <w:rPr>
        <w:rFonts w:ascii="Courier New" w:hAnsi="Courier New" w:hint="default"/>
      </w:rPr>
    </w:lvl>
    <w:lvl w:ilvl="5" w:tplc="A6A23F3C">
      <w:start w:val="1"/>
      <w:numFmt w:val="bullet"/>
      <w:lvlText w:val=""/>
      <w:lvlJc w:val="left"/>
      <w:pPr>
        <w:ind w:left="4320" w:hanging="360"/>
      </w:pPr>
      <w:rPr>
        <w:rFonts w:ascii="Wingdings" w:hAnsi="Wingdings" w:hint="default"/>
      </w:rPr>
    </w:lvl>
    <w:lvl w:ilvl="6" w:tplc="5DA28D7A">
      <w:start w:val="1"/>
      <w:numFmt w:val="bullet"/>
      <w:lvlText w:val=""/>
      <w:lvlJc w:val="left"/>
      <w:pPr>
        <w:ind w:left="5040" w:hanging="360"/>
      </w:pPr>
      <w:rPr>
        <w:rFonts w:ascii="Symbol" w:hAnsi="Symbol" w:hint="default"/>
      </w:rPr>
    </w:lvl>
    <w:lvl w:ilvl="7" w:tplc="E4DA26BC">
      <w:start w:val="1"/>
      <w:numFmt w:val="bullet"/>
      <w:lvlText w:val="o"/>
      <w:lvlJc w:val="left"/>
      <w:pPr>
        <w:ind w:left="5760" w:hanging="360"/>
      </w:pPr>
      <w:rPr>
        <w:rFonts w:ascii="Courier New" w:hAnsi="Courier New" w:hint="default"/>
      </w:rPr>
    </w:lvl>
    <w:lvl w:ilvl="8" w:tplc="754E9FEC">
      <w:start w:val="1"/>
      <w:numFmt w:val="bullet"/>
      <w:lvlText w:val=""/>
      <w:lvlJc w:val="left"/>
      <w:pPr>
        <w:ind w:left="6480" w:hanging="360"/>
      </w:pPr>
      <w:rPr>
        <w:rFonts w:ascii="Wingdings" w:hAnsi="Wingdings" w:hint="default"/>
      </w:rPr>
    </w:lvl>
  </w:abstractNum>
  <w:abstractNum w:abstractNumId="1" w15:restartNumberingAfterBreak="0">
    <w:nsid w:val="03FF6D2D"/>
    <w:multiLevelType w:val="hybridMultilevel"/>
    <w:tmpl w:val="1B421956"/>
    <w:lvl w:ilvl="0" w:tplc="5338FF98">
      <w:start w:val="1"/>
      <w:numFmt w:val="bullet"/>
      <w:lvlText w:val="-"/>
      <w:lvlJc w:val="left"/>
      <w:pPr>
        <w:ind w:left="720" w:hanging="360"/>
      </w:pPr>
      <w:rPr>
        <w:rFonts w:ascii="Aptos" w:hAnsi="Aptos" w:hint="default"/>
      </w:rPr>
    </w:lvl>
    <w:lvl w:ilvl="1" w:tplc="1E46D20A">
      <w:start w:val="1"/>
      <w:numFmt w:val="bullet"/>
      <w:lvlText w:val="o"/>
      <w:lvlJc w:val="left"/>
      <w:pPr>
        <w:ind w:left="1440" w:hanging="360"/>
      </w:pPr>
      <w:rPr>
        <w:rFonts w:ascii="Courier New" w:hAnsi="Courier New" w:hint="default"/>
      </w:rPr>
    </w:lvl>
    <w:lvl w:ilvl="2" w:tplc="83B2A1AA">
      <w:start w:val="1"/>
      <w:numFmt w:val="bullet"/>
      <w:lvlText w:val=""/>
      <w:lvlJc w:val="left"/>
      <w:pPr>
        <w:ind w:left="2160" w:hanging="360"/>
      </w:pPr>
      <w:rPr>
        <w:rFonts w:ascii="Wingdings" w:hAnsi="Wingdings" w:hint="default"/>
      </w:rPr>
    </w:lvl>
    <w:lvl w:ilvl="3" w:tplc="A406FED6">
      <w:start w:val="1"/>
      <w:numFmt w:val="bullet"/>
      <w:lvlText w:val=""/>
      <w:lvlJc w:val="left"/>
      <w:pPr>
        <w:ind w:left="2880" w:hanging="360"/>
      </w:pPr>
      <w:rPr>
        <w:rFonts w:ascii="Symbol" w:hAnsi="Symbol" w:hint="default"/>
      </w:rPr>
    </w:lvl>
    <w:lvl w:ilvl="4" w:tplc="09AC63AC">
      <w:start w:val="1"/>
      <w:numFmt w:val="bullet"/>
      <w:lvlText w:val="o"/>
      <w:lvlJc w:val="left"/>
      <w:pPr>
        <w:ind w:left="3600" w:hanging="360"/>
      </w:pPr>
      <w:rPr>
        <w:rFonts w:ascii="Courier New" w:hAnsi="Courier New" w:hint="default"/>
      </w:rPr>
    </w:lvl>
    <w:lvl w:ilvl="5" w:tplc="3C26D76A">
      <w:start w:val="1"/>
      <w:numFmt w:val="bullet"/>
      <w:lvlText w:val=""/>
      <w:lvlJc w:val="left"/>
      <w:pPr>
        <w:ind w:left="4320" w:hanging="360"/>
      </w:pPr>
      <w:rPr>
        <w:rFonts w:ascii="Wingdings" w:hAnsi="Wingdings" w:hint="default"/>
      </w:rPr>
    </w:lvl>
    <w:lvl w:ilvl="6" w:tplc="9E967AE8">
      <w:start w:val="1"/>
      <w:numFmt w:val="bullet"/>
      <w:lvlText w:val=""/>
      <w:lvlJc w:val="left"/>
      <w:pPr>
        <w:ind w:left="5040" w:hanging="360"/>
      </w:pPr>
      <w:rPr>
        <w:rFonts w:ascii="Symbol" w:hAnsi="Symbol" w:hint="default"/>
      </w:rPr>
    </w:lvl>
    <w:lvl w:ilvl="7" w:tplc="80583F5E">
      <w:start w:val="1"/>
      <w:numFmt w:val="bullet"/>
      <w:lvlText w:val="o"/>
      <w:lvlJc w:val="left"/>
      <w:pPr>
        <w:ind w:left="5760" w:hanging="360"/>
      </w:pPr>
      <w:rPr>
        <w:rFonts w:ascii="Courier New" w:hAnsi="Courier New" w:hint="default"/>
      </w:rPr>
    </w:lvl>
    <w:lvl w:ilvl="8" w:tplc="864203D8">
      <w:start w:val="1"/>
      <w:numFmt w:val="bullet"/>
      <w:lvlText w:val=""/>
      <w:lvlJc w:val="left"/>
      <w:pPr>
        <w:ind w:left="6480" w:hanging="360"/>
      </w:pPr>
      <w:rPr>
        <w:rFonts w:ascii="Wingdings" w:hAnsi="Wingdings" w:hint="default"/>
      </w:rPr>
    </w:lvl>
  </w:abstractNum>
  <w:abstractNum w:abstractNumId="2" w15:restartNumberingAfterBreak="0">
    <w:nsid w:val="056E0BE1"/>
    <w:multiLevelType w:val="hybridMultilevel"/>
    <w:tmpl w:val="811C7D1E"/>
    <w:lvl w:ilvl="0" w:tplc="8878EA7C">
      <w:start w:val="1"/>
      <w:numFmt w:val="bullet"/>
      <w:lvlText w:val=""/>
      <w:lvlJc w:val="left"/>
      <w:pPr>
        <w:ind w:left="720" w:hanging="360"/>
      </w:pPr>
      <w:rPr>
        <w:rFonts w:ascii="Symbol" w:hAnsi="Symbol" w:hint="default"/>
      </w:rPr>
    </w:lvl>
    <w:lvl w:ilvl="1" w:tplc="57B66242">
      <w:start w:val="1"/>
      <w:numFmt w:val="bullet"/>
      <w:lvlText w:val="o"/>
      <w:lvlJc w:val="left"/>
      <w:pPr>
        <w:ind w:left="1440" w:hanging="360"/>
      </w:pPr>
      <w:rPr>
        <w:rFonts w:ascii="Courier New" w:hAnsi="Courier New" w:hint="default"/>
      </w:rPr>
    </w:lvl>
    <w:lvl w:ilvl="2" w:tplc="179C269E">
      <w:start w:val="1"/>
      <w:numFmt w:val="bullet"/>
      <w:lvlText w:val=""/>
      <w:lvlJc w:val="left"/>
      <w:pPr>
        <w:ind w:left="2160" w:hanging="360"/>
      </w:pPr>
      <w:rPr>
        <w:rFonts w:ascii="Wingdings" w:hAnsi="Wingdings" w:hint="default"/>
      </w:rPr>
    </w:lvl>
    <w:lvl w:ilvl="3" w:tplc="CDC82210">
      <w:start w:val="1"/>
      <w:numFmt w:val="bullet"/>
      <w:lvlText w:val=""/>
      <w:lvlJc w:val="left"/>
      <w:pPr>
        <w:ind w:left="2880" w:hanging="360"/>
      </w:pPr>
      <w:rPr>
        <w:rFonts w:ascii="Symbol" w:hAnsi="Symbol" w:hint="default"/>
      </w:rPr>
    </w:lvl>
    <w:lvl w:ilvl="4" w:tplc="2682D0DE">
      <w:start w:val="1"/>
      <w:numFmt w:val="bullet"/>
      <w:lvlText w:val="o"/>
      <w:lvlJc w:val="left"/>
      <w:pPr>
        <w:ind w:left="3600" w:hanging="360"/>
      </w:pPr>
      <w:rPr>
        <w:rFonts w:ascii="Courier New" w:hAnsi="Courier New" w:hint="default"/>
      </w:rPr>
    </w:lvl>
    <w:lvl w:ilvl="5" w:tplc="8E224010">
      <w:start w:val="1"/>
      <w:numFmt w:val="bullet"/>
      <w:lvlText w:val=""/>
      <w:lvlJc w:val="left"/>
      <w:pPr>
        <w:ind w:left="4320" w:hanging="360"/>
      </w:pPr>
      <w:rPr>
        <w:rFonts w:ascii="Wingdings" w:hAnsi="Wingdings" w:hint="default"/>
      </w:rPr>
    </w:lvl>
    <w:lvl w:ilvl="6" w:tplc="1E2E2EEC">
      <w:start w:val="1"/>
      <w:numFmt w:val="bullet"/>
      <w:lvlText w:val=""/>
      <w:lvlJc w:val="left"/>
      <w:pPr>
        <w:ind w:left="5040" w:hanging="360"/>
      </w:pPr>
      <w:rPr>
        <w:rFonts w:ascii="Symbol" w:hAnsi="Symbol" w:hint="default"/>
      </w:rPr>
    </w:lvl>
    <w:lvl w:ilvl="7" w:tplc="87D8D0F0">
      <w:start w:val="1"/>
      <w:numFmt w:val="bullet"/>
      <w:lvlText w:val="o"/>
      <w:lvlJc w:val="left"/>
      <w:pPr>
        <w:ind w:left="5760" w:hanging="360"/>
      </w:pPr>
      <w:rPr>
        <w:rFonts w:ascii="Courier New" w:hAnsi="Courier New" w:hint="default"/>
      </w:rPr>
    </w:lvl>
    <w:lvl w:ilvl="8" w:tplc="15B2D50E">
      <w:start w:val="1"/>
      <w:numFmt w:val="bullet"/>
      <w:lvlText w:val=""/>
      <w:lvlJc w:val="left"/>
      <w:pPr>
        <w:ind w:left="6480" w:hanging="360"/>
      </w:pPr>
      <w:rPr>
        <w:rFonts w:ascii="Wingdings" w:hAnsi="Wingdings" w:hint="default"/>
      </w:rPr>
    </w:lvl>
  </w:abstractNum>
  <w:abstractNum w:abstractNumId="3" w15:restartNumberingAfterBreak="0">
    <w:nsid w:val="07EDF681"/>
    <w:multiLevelType w:val="hybridMultilevel"/>
    <w:tmpl w:val="B6AC8E3C"/>
    <w:lvl w:ilvl="0" w:tplc="2B885D78">
      <w:start w:val="1"/>
      <w:numFmt w:val="bullet"/>
      <w:lvlText w:val="-"/>
      <w:lvlJc w:val="left"/>
      <w:pPr>
        <w:ind w:left="720" w:hanging="360"/>
      </w:pPr>
      <w:rPr>
        <w:rFonts w:ascii="Aptos" w:hAnsi="Aptos" w:hint="default"/>
      </w:rPr>
    </w:lvl>
    <w:lvl w:ilvl="1" w:tplc="28908F32">
      <w:start w:val="1"/>
      <w:numFmt w:val="bullet"/>
      <w:lvlText w:val="o"/>
      <w:lvlJc w:val="left"/>
      <w:pPr>
        <w:ind w:left="1440" w:hanging="360"/>
      </w:pPr>
      <w:rPr>
        <w:rFonts w:ascii="Courier New" w:hAnsi="Courier New" w:hint="default"/>
      </w:rPr>
    </w:lvl>
    <w:lvl w:ilvl="2" w:tplc="0B2616A6">
      <w:start w:val="1"/>
      <w:numFmt w:val="bullet"/>
      <w:lvlText w:val=""/>
      <w:lvlJc w:val="left"/>
      <w:pPr>
        <w:ind w:left="2160" w:hanging="360"/>
      </w:pPr>
      <w:rPr>
        <w:rFonts w:ascii="Wingdings" w:hAnsi="Wingdings" w:hint="default"/>
      </w:rPr>
    </w:lvl>
    <w:lvl w:ilvl="3" w:tplc="52D40A42">
      <w:start w:val="1"/>
      <w:numFmt w:val="bullet"/>
      <w:lvlText w:val=""/>
      <w:lvlJc w:val="left"/>
      <w:pPr>
        <w:ind w:left="2880" w:hanging="360"/>
      </w:pPr>
      <w:rPr>
        <w:rFonts w:ascii="Symbol" w:hAnsi="Symbol" w:hint="default"/>
      </w:rPr>
    </w:lvl>
    <w:lvl w:ilvl="4" w:tplc="CDB64E06">
      <w:start w:val="1"/>
      <w:numFmt w:val="bullet"/>
      <w:lvlText w:val="o"/>
      <w:lvlJc w:val="left"/>
      <w:pPr>
        <w:ind w:left="3600" w:hanging="360"/>
      </w:pPr>
      <w:rPr>
        <w:rFonts w:ascii="Courier New" w:hAnsi="Courier New" w:hint="default"/>
      </w:rPr>
    </w:lvl>
    <w:lvl w:ilvl="5" w:tplc="A59493C8">
      <w:start w:val="1"/>
      <w:numFmt w:val="bullet"/>
      <w:lvlText w:val=""/>
      <w:lvlJc w:val="left"/>
      <w:pPr>
        <w:ind w:left="4320" w:hanging="360"/>
      </w:pPr>
      <w:rPr>
        <w:rFonts w:ascii="Wingdings" w:hAnsi="Wingdings" w:hint="default"/>
      </w:rPr>
    </w:lvl>
    <w:lvl w:ilvl="6" w:tplc="CA7A5276">
      <w:start w:val="1"/>
      <w:numFmt w:val="bullet"/>
      <w:lvlText w:val=""/>
      <w:lvlJc w:val="left"/>
      <w:pPr>
        <w:ind w:left="5040" w:hanging="360"/>
      </w:pPr>
      <w:rPr>
        <w:rFonts w:ascii="Symbol" w:hAnsi="Symbol" w:hint="default"/>
      </w:rPr>
    </w:lvl>
    <w:lvl w:ilvl="7" w:tplc="07A81594">
      <w:start w:val="1"/>
      <w:numFmt w:val="bullet"/>
      <w:lvlText w:val="o"/>
      <w:lvlJc w:val="left"/>
      <w:pPr>
        <w:ind w:left="5760" w:hanging="360"/>
      </w:pPr>
      <w:rPr>
        <w:rFonts w:ascii="Courier New" w:hAnsi="Courier New" w:hint="default"/>
      </w:rPr>
    </w:lvl>
    <w:lvl w:ilvl="8" w:tplc="0CAA4FE8">
      <w:start w:val="1"/>
      <w:numFmt w:val="bullet"/>
      <w:lvlText w:val=""/>
      <w:lvlJc w:val="left"/>
      <w:pPr>
        <w:ind w:left="6480" w:hanging="360"/>
      </w:pPr>
      <w:rPr>
        <w:rFonts w:ascii="Wingdings" w:hAnsi="Wingdings" w:hint="default"/>
      </w:rPr>
    </w:lvl>
  </w:abstractNum>
  <w:abstractNum w:abstractNumId="4" w15:restartNumberingAfterBreak="0">
    <w:nsid w:val="09584D34"/>
    <w:multiLevelType w:val="hybridMultilevel"/>
    <w:tmpl w:val="4720EE34"/>
    <w:lvl w:ilvl="0" w:tplc="D806EDA8">
      <w:start w:val="1"/>
      <w:numFmt w:val="bullet"/>
      <w:lvlText w:val=""/>
      <w:lvlJc w:val="left"/>
      <w:pPr>
        <w:ind w:left="720" w:hanging="360"/>
      </w:pPr>
      <w:rPr>
        <w:rFonts w:ascii="Symbol" w:hAnsi="Symbol" w:hint="default"/>
      </w:rPr>
    </w:lvl>
    <w:lvl w:ilvl="1" w:tplc="EE7CD33A">
      <w:start w:val="1"/>
      <w:numFmt w:val="bullet"/>
      <w:lvlText w:val="o"/>
      <w:lvlJc w:val="left"/>
      <w:pPr>
        <w:ind w:left="1440" w:hanging="360"/>
      </w:pPr>
      <w:rPr>
        <w:rFonts w:ascii="Courier New" w:hAnsi="Courier New" w:hint="default"/>
      </w:rPr>
    </w:lvl>
    <w:lvl w:ilvl="2" w:tplc="0F54566C">
      <w:start w:val="1"/>
      <w:numFmt w:val="bullet"/>
      <w:lvlText w:val=""/>
      <w:lvlJc w:val="left"/>
      <w:pPr>
        <w:ind w:left="2160" w:hanging="360"/>
      </w:pPr>
      <w:rPr>
        <w:rFonts w:ascii="Wingdings" w:hAnsi="Wingdings" w:hint="default"/>
      </w:rPr>
    </w:lvl>
    <w:lvl w:ilvl="3" w:tplc="D8AAA334">
      <w:start w:val="1"/>
      <w:numFmt w:val="bullet"/>
      <w:lvlText w:val=""/>
      <w:lvlJc w:val="left"/>
      <w:pPr>
        <w:ind w:left="2880" w:hanging="360"/>
      </w:pPr>
      <w:rPr>
        <w:rFonts w:ascii="Symbol" w:hAnsi="Symbol" w:hint="default"/>
      </w:rPr>
    </w:lvl>
    <w:lvl w:ilvl="4" w:tplc="6D3E4204">
      <w:start w:val="1"/>
      <w:numFmt w:val="bullet"/>
      <w:lvlText w:val="o"/>
      <w:lvlJc w:val="left"/>
      <w:pPr>
        <w:ind w:left="3600" w:hanging="360"/>
      </w:pPr>
      <w:rPr>
        <w:rFonts w:ascii="Courier New" w:hAnsi="Courier New" w:hint="default"/>
      </w:rPr>
    </w:lvl>
    <w:lvl w:ilvl="5" w:tplc="E21CE534">
      <w:start w:val="1"/>
      <w:numFmt w:val="bullet"/>
      <w:lvlText w:val=""/>
      <w:lvlJc w:val="left"/>
      <w:pPr>
        <w:ind w:left="4320" w:hanging="360"/>
      </w:pPr>
      <w:rPr>
        <w:rFonts w:ascii="Wingdings" w:hAnsi="Wingdings" w:hint="default"/>
      </w:rPr>
    </w:lvl>
    <w:lvl w:ilvl="6" w:tplc="9854708E">
      <w:start w:val="1"/>
      <w:numFmt w:val="bullet"/>
      <w:lvlText w:val=""/>
      <w:lvlJc w:val="left"/>
      <w:pPr>
        <w:ind w:left="5040" w:hanging="360"/>
      </w:pPr>
      <w:rPr>
        <w:rFonts w:ascii="Symbol" w:hAnsi="Symbol" w:hint="default"/>
      </w:rPr>
    </w:lvl>
    <w:lvl w:ilvl="7" w:tplc="709C80C6">
      <w:start w:val="1"/>
      <w:numFmt w:val="bullet"/>
      <w:lvlText w:val="o"/>
      <w:lvlJc w:val="left"/>
      <w:pPr>
        <w:ind w:left="5760" w:hanging="360"/>
      </w:pPr>
      <w:rPr>
        <w:rFonts w:ascii="Courier New" w:hAnsi="Courier New" w:hint="default"/>
      </w:rPr>
    </w:lvl>
    <w:lvl w:ilvl="8" w:tplc="B3228EEC">
      <w:start w:val="1"/>
      <w:numFmt w:val="bullet"/>
      <w:lvlText w:val=""/>
      <w:lvlJc w:val="left"/>
      <w:pPr>
        <w:ind w:left="6480" w:hanging="360"/>
      </w:pPr>
      <w:rPr>
        <w:rFonts w:ascii="Wingdings" w:hAnsi="Wingdings" w:hint="default"/>
      </w:rPr>
    </w:lvl>
  </w:abstractNum>
  <w:abstractNum w:abstractNumId="5" w15:restartNumberingAfterBreak="0">
    <w:nsid w:val="15AEC17B"/>
    <w:multiLevelType w:val="hybridMultilevel"/>
    <w:tmpl w:val="06A8D8E2"/>
    <w:lvl w:ilvl="0" w:tplc="F98AAE8E">
      <w:start w:val="1"/>
      <w:numFmt w:val="bullet"/>
      <w:lvlText w:val="-"/>
      <w:lvlJc w:val="left"/>
      <w:pPr>
        <w:ind w:left="720" w:hanging="360"/>
      </w:pPr>
      <w:rPr>
        <w:rFonts w:ascii="Aptos" w:hAnsi="Aptos" w:hint="default"/>
      </w:rPr>
    </w:lvl>
    <w:lvl w:ilvl="1" w:tplc="2EC0FE8E">
      <w:start w:val="1"/>
      <w:numFmt w:val="bullet"/>
      <w:lvlText w:val="o"/>
      <w:lvlJc w:val="left"/>
      <w:pPr>
        <w:ind w:left="1440" w:hanging="360"/>
      </w:pPr>
      <w:rPr>
        <w:rFonts w:ascii="Courier New" w:hAnsi="Courier New" w:hint="default"/>
      </w:rPr>
    </w:lvl>
    <w:lvl w:ilvl="2" w:tplc="24483A12">
      <w:start w:val="1"/>
      <w:numFmt w:val="bullet"/>
      <w:lvlText w:val=""/>
      <w:lvlJc w:val="left"/>
      <w:pPr>
        <w:ind w:left="2160" w:hanging="360"/>
      </w:pPr>
      <w:rPr>
        <w:rFonts w:ascii="Wingdings" w:hAnsi="Wingdings" w:hint="default"/>
      </w:rPr>
    </w:lvl>
    <w:lvl w:ilvl="3" w:tplc="25545754">
      <w:start w:val="1"/>
      <w:numFmt w:val="bullet"/>
      <w:lvlText w:val=""/>
      <w:lvlJc w:val="left"/>
      <w:pPr>
        <w:ind w:left="2880" w:hanging="360"/>
      </w:pPr>
      <w:rPr>
        <w:rFonts w:ascii="Symbol" w:hAnsi="Symbol" w:hint="default"/>
      </w:rPr>
    </w:lvl>
    <w:lvl w:ilvl="4" w:tplc="CCF448FA">
      <w:start w:val="1"/>
      <w:numFmt w:val="bullet"/>
      <w:lvlText w:val="o"/>
      <w:lvlJc w:val="left"/>
      <w:pPr>
        <w:ind w:left="3600" w:hanging="360"/>
      </w:pPr>
      <w:rPr>
        <w:rFonts w:ascii="Courier New" w:hAnsi="Courier New" w:hint="default"/>
      </w:rPr>
    </w:lvl>
    <w:lvl w:ilvl="5" w:tplc="EC24DACC">
      <w:start w:val="1"/>
      <w:numFmt w:val="bullet"/>
      <w:lvlText w:val=""/>
      <w:lvlJc w:val="left"/>
      <w:pPr>
        <w:ind w:left="4320" w:hanging="360"/>
      </w:pPr>
      <w:rPr>
        <w:rFonts w:ascii="Wingdings" w:hAnsi="Wingdings" w:hint="default"/>
      </w:rPr>
    </w:lvl>
    <w:lvl w:ilvl="6" w:tplc="7668E196">
      <w:start w:val="1"/>
      <w:numFmt w:val="bullet"/>
      <w:lvlText w:val=""/>
      <w:lvlJc w:val="left"/>
      <w:pPr>
        <w:ind w:left="5040" w:hanging="360"/>
      </w:pPr>
      <w:rPr>
        <w:rFonts w:ascii="Symbol" w:hAnsi="Symbol" w:hint="default"/>
      </w:rPr>
    </w:lvl>
    <w:lvl w:ilvl="7" w:tplc="DDC8EA40">
      <w:start w:val="1"/>
      <w:numFmt w:val="bullet"/>
      <w:lvlText w:val="o"/>
      <w:lvlJc w:val="left"/>
      <w:pPr>
        <w:ind w:left="5760" w:hanging="360"/>
      </w:pPr>
      <w:rPr>
        <w:rFonts w:ascii="Courier New" w:hAnsi="Courier New" w:hint="default"/>
      </w:rPr>
    </w:lvl>
    <w:lvl w:ilvl="8" w:tplc="253CDC1C">
      <w:start w:val="1"/>
      <w:numFmt w:val="bullet"/>
      <w:lvlText w:val=""/>
      <w:lvlJc w:val="left"/>
      <w:pPr>
        <w:ind w:left="6480" w:hanging="360"/>
      </w:pPr>
      <w:rPr>
        <w:rFonts w:ascii="Wingdings" w:hAnsi="Wingdings" w:hint="default"/>
      </w:rPr>
    </w:lvl>
  </w:abstractNum>
  <w:abstractNum w:abstractNumId="6" w15:restartNumberingAfterBreak="0">
    <w:nsid w:val="22E6D6DF"/>
    <w:multiLevelType w:val="hybridMultilevel"/>
    <w:tmpl w:val="E3D6309A"/>
    <w:lvl w:ilvl="0" w:tplc="0B68E9EC">
      <w:start w:val="1"/>
      <w:numFmt w:val="bullet"/>
      <w:lvlText w:val="-"/>
      <w:lvlJc w:val="left"/>
      <w:pPr>
        <w:ind w:left="720" w:hanging="360"/>
      </w:pPr>
      <w:rPr>
        <w:rFonts w:ascii="Aptos" w:hAnsi="Aptos" w:hint="default"/>
      </w:rPr>
    </w:lvl>
    <w:lvl w:ilvl="1" w:tplc="A42E1D90">
      <w:start w:val="1"/>
      <w:numFmt w:val="bullet"/>
      <w:lvlText w:val="o"/>
      <w:lvlJc w:val="left"/>
      <w:pPr>
        <w:ind w:left="1440" w:hanging="360"/>
      </w:pPr>
      <w:rPr>
        <w:rFonts w:ascii="Courier New" w:hAnsi="Courier New" w:hint="default"/>
      </w:rPr>
    </w:lvl>
    <w:lvl w:ilvl="2" w:tplc="88D012B2">
      <w:start w:val="1"/>
      <w:numFmt w:val="bullet"/>
      <w:lvlText w:val=""/>
      <w:lvlJc w:val="left"/>
      <w:pPr>
        <w:ind w:left="2160" w:hanging="360"/>
      </w:pPr>
      <w:rPr>
        <w:rFonts w:ascii="Wingdings" w:hAnsi="Wingdings" w:hint="default"/>
      </w:rPr>
    </w:lvl>
    <w:lvl w:ilvl="3" w:tplc="9FEEE55A">
      <w:start w:val="1"/>
      <w:numFmt w:val="bullet"/>
      <w:lvlText w:val=""/>
      <w:lvlJc w:val="left"/>
      <w:pPr>
        <w:ind w:left="2880" w:hanging="360"/>
      </w:pPr>
      <w:rPr>
        <w:rFonts w:ascii="Symbol" w:hAnsi="Symbol" w:hint="default"/>
      </w:rPr>
    </w:lvl>
    <w:lvl w:ilvl="4" w:tplc="40F8D2D8">
      <w:start w:val="1"/>
      <w:numFmt w:val="bullet"/>
      <w:lvlText w:val="o"/>
      <w:lvlJc w:val="left"/>
      <w:pPr>
        <w:ind w:left="3600" w:hanging="360"/>
      </w:pPr>
      <w:rPr>
        <w:rFonts w:ascii="Courier New" w:hAnsi="Courier New" w:hint="default"/>
      </w:rPr>
    </w:lvl>
    <w:lvl w:ilvl="5" w:tplc="5B7C0DF2">
      <w:start w:val="1"/>
      <w:numFmt w:val="bullet"/>
      <w:lvlText w:val=""/>
      <w:lvlJc w:val="left"/>
      <w:pPr>
        <w:ind w:left="4320" w:hanging="360"/>
      </w:pPr>
      <w:rPr>
        <w:rFonts w:ascii="Wingdings" w:hAnsi="Wingdings" w:hint="default"/>
      </w:rPr>
    </w:lvl>
    <w:lvl w:ilvl="6" w:tplc="639EFAC2">
      <w:start w:val="1"/>
      <w:numFmt w:val="bullet"/>
      <w:lvlText w:val=""/>
      <w:lvlJc w:val="left"/>
      <w:pPr>
        <w:ind w:left="5040" w:hanging="360"/>
      </w:pPr>
      <w:rPr>
        <w:rFonts w:ascii="Symbol" w:hAnsi="Symbol" w:hint="default"/>
      </w:rPr>
    </w:lvl>
    <w:lvl w:ilvl="7" w:tplc="81C83E20">
      <w:start w:val="1"/>
      <w:numFmt w:val="bullet"/>
      <w:lvlText w:val="o"/>
      <w:lvlJc w:val="left"/>
      <w:pPr>
        <w:ind w:left="5760" w:hanging="360"/>
      </w:pPr>
      <w:rPr>
        <w:rFonts w:ascii="Courier New" w:hAnsi="Courier New" w:hint="default"/>
      </w:rPr>
    </w:lvl>
    <w:lvl w:ilvl="8" w:tplc="BDFAC15E">
      <w:start w:val="1"/>
      <w:numFmt w:val="bullet"/>
      <w:lvlText w:val=""/>
      <w:lvlJc w:val="left"/>
      <w:pPr>
        <w:ind w:left="6480" w:hanging="360"/>
      </w:pPr>
      <w:rPr>
        <w:rFonts w:ascii="Wingdings" w:hAnsi="Wingdings" w:hint="default"/>
      </w:rPr>
    </w:lvl>
  </w:abstractNum>
  <w:abstractNum w:abstractNumId="7" w15:restartNumberingAfterBreak="0">
    <w:nsid w:val="27D718EE"/>
    <w:multiLevelType w:val="hybridMultilevel"/>
    <w:tmpl w:val="BD4C9040"/>
    <w:lvl w:ilvl="0" w:tplc="75DAAE82">
      <w:start w:val="1"/>
      <w:numFmt w:val="bullet"/>
      <w:lvlText w:val=""/>
      <w:lvlJc w:val="left"/>
      <w:pPr>
        <w:ind w:left="720" w:hanging="360"/>
      </w:pPr>
      <w:rPr>
        <w:rFonts w:ascii="Symbol" w:hAnsi="Symbol" w:hint="default"/>
      </w:rPr>
    </w:lvl>
    <w:lvl w:ilvl="1" w:tplc="26806ACA">
      <w:start w:val="1"/>
      <w:numFmt w:val="bullet"/>
      <w:lvlText w:val="o"/>
      <w:lvlJc w:val="left"/>
      <w:pPr>
        <w:ind w:left="1440" w:hanging="360"/>
      </w:pPr>
      <w:rPr>
        <w:rFonts w:ascii="Courier New" w:hAnsi="Courier New" w:hint="default"/>
      </w:rPr>
    </w:lvl>
    <w:lvl w:ilvl="2" w:tplc="333E27DC">
      <w:start w:val="1"/>
      <w:numFmt w:val="bullet"/>
      <w:lvlText w:val=""/>
      <w:lvlJc w:val="left"/>
      <w:pPr>
        <w:ind w:left="2160" w:hanging="360"/>
      </w:pPr>
      <w:rPr>
        <w:rFonts w:ascii="Wingdings" w:hAnsi="Wingdings" w:hint="default"/>
      </w:rPr>
    </w:lvl>
    <w:lvl w:ilvl="3" w:tplc="97760338">
      <w:start w:val="1"/>
      <w:numFmt w:val="bullet"/>
      <w:lvlText w:val=""/>
      <w:lvlJc w:val="left"/>
      <w:pPr>
        <w:ind w:left="2880" w:hanging="360"/>
      </w:pPr>
      <w:rPr>
        <w:rFonts w:ascii="Symbol" w:hAnsi="Symbol" w:hint="default"/>
      </w:rPr>
    </w:lvl>
    <w:lvl w:ilvl="4" w:tplc="C070FAD8">
      <w:start w:val="1"/>
      <w:numFmt w:val="bullet"/>
      <w:lvlText w:val="o"/>
      <w:lvlJc w:val="left"/>
      <w:pPr>
        <w:ind w:left="3600" w:hanging="360"/>
      </w:pPr>
      <w:rPr>
        <w:rFonts w:ascii="Courier New" w:hAnsi="Courier New" w:hint="default"/>
      </w:rPr>
    </w:lvl>
    <w:lvl w:ilvl="5" w:tplc="B92C8560">
      <w:start w:val="1"/>
      <w:numFmt w:val="bullet"/>
      <w:lvlText w:val=""/>
      <w:lvlJc w:val="left"/>
      <w:pPr>
        <w:ind w:left="4320" w:hanging="360"/>
      </w:pPr>
      <w:rPr>
        <w:rFonts w:ascii="Wingdings" w:hAnsi="Wingdings" w:hint="default"/>
      </w:rPr>
    </w:lvl>
    <w:lvl w:ilvl="6" w:tplc="523C1842">
      <w:start w:val="1"/>
      <w:numFmt w:val="bullet"/>
      <w:lvlText w:val=""/>
      <w:lvlJc w:val="left"/>
      <w:pPr>
        <w:ind w:left="5040" w:hanging="360"/>
      </w:pPr>
      <w:rPr>
        <w:rFonts w:ascii="Symbol" w:hAnsi="Symbol" w:hint="default"/>
      </w:rPr>
    </w:lvl>
    <w:lvl w:ilvl="7" w:tplc="0AA6BEB2">
      <w:start w:val="1"/>
      <w:numFmt w:val="bullet"/>
      <w:lvlText w:val="o"/>
      <w:lvlJc w:val="left"/>
      <w:pPr>
        <w:ind w:left="5760" w:hanging="360"/>
      </w:pPr>
      <w:rPr>
        <w:rFonts w:ascii="Courier New" w:hAnsi="Courier New" w:hint="default"/>
      </w:rPr>
    </w:lvl>
    <w:lvl w:ilvl="8" w:tplc="5542344E">
      <w:start w:val="1"/>
      <w:numFmt w:val="bullet"/>
      <w:lvlText w:val=""/>
      <w:lvlJc w:val="left"/>
      <w:pPr>
        <w:ind w:left="6480" w:hanging="360"/>
      </w:pPr>
      <w:rPr>
        <w:rFonts w:ascii="Wingdings" w:hAnsi="Wingdings" w:hint="default"/>
      </w:rPr>
    </w:lvl>
  </w:abstractNum>
  <w:abstractNum w:abstractNumId="8" w15:restartNumberingAfterBreak="0">
    <w:nsid w:val="306DAC03"/>
    <w:multiLevelType w:val="hybridMultilevel"/>
    <w:tmpl w:val="007277B6"/>
    <w:lvl w:ilvl="0" w:tplc="F7F06AD0">
      <w:start w:val="1"/>
      <w:numFmt w:val="bullet"/>
      <w:lvlText w:val=""/>
      <w:lvlJc w:val="left"/>
      <w:pPr>
        <w:ind w:left="720" w:hanging="360"/>
      </w:pPr>
      <w:rPr>
        <w:rFonts w:ascii="Symbol" w:hAnsi="Symbol" w:hint="default"/>
      </w:rPr>
    </w:lvl>
    <w:lvl w:ilvl="1" w:tplc="1A56AC4A">
      <w:start w:val="1"/>
      <w:numFmt w:val="bullet"/>
      <w:lvlText w:val="o"/>
      <w:lvlJc w:val="left"/>
      <w:pPr>
        <w:ind w:left="1440" w:hanging="360"/>
      </w:pPr>
      <w:rPr>
        <w:rFonts w:ascii="Courier New" w:hAnsi="Courier New" w:hint="default"/>
      </w:rPr>
    </w:lvl>
    <w:lvl w:ilvl="2" w:tplc="1DDE2E6A">
      <w:start w:val="1"/>
      <w:numFmt w:val="bullet"/>
      <w:lvlText w:val=""/>
      <w:lvlJc w:val="left"/>
      <w:pPr>
        <w:ind w:left="2160" w:hanging="360"/>
      </w:pPr>
      <w:rPr>
        <w:rFonts w:ascii="Wingdings" w:hAnsi="Wingdings" w:hint="default"/>
      </w:rPr>
    </w:lvl>
    <w:lvl w:ilvl="3" w:tplc="DF04559A">
      <w:start w:val="1"/>
      <w:numFmt w:val="bullet"/>
      <w:lvlText w:val=""/>
      <w:lvlJc w:val="left"/>
      <w:pPr>
        <w:ind w:left="2880" w:hanging="360"/>
      </w:pPr>
      <w:rPr>
        <w:rFonts w:ascii="Symbol" w:hAnsi="Symbol" w:hint="default"/>
      </w:rPr>
    </w:lvl>
    <w:lvl w:ilvl="4" w:tplc="90AA67EA">
      <w:start w:val="1"/>
      <w:numFmt w:val="bullet"/>
      <w:lvlText w:val="o"/>
      <w:lvlJc w:val="left"/>
      <w:pPr>
        <w:ind w:left="3600" w:hanging="360"/>
      </w:pPr>
      <w:rPr>
        <w:rFonts w:ascii="Courier New" w:hAnsi="Courier New" w:hint="default"/>
      </w:rPr>
    </w:lvl>
    <w:lvl w:ilvl="5" w:tplc="1214E95A">
      <w:start w:val="1"/>
      <w:numFmt w:val="bullet"/>
      <w:lvlText w:val=""/>
      <w:lvlJc w:val="left"/>
      <w:pPr>
        <w:ind w:left="4320" w:hanging="360"/>
      </w:pPr>
      <w:rPr>
        <w:rFonts w:ascii="Wingdings" w:hAnsi="Wingdings" w:hint="default"/>
      </w:rPr>
    </w:lvl>
    <w:lvl w:ilvl="6" w:tplc="BAE6A04A">
      <w:start w:val="1"/>
      <w:numFmt w:val="bullet"/>
      <w:lvlText w:val=""/>
      <w:lvlJc w:val="left"/>
      <w:pPr>
        <w:ind w:left="5040" w:hanging="360"/>
      </w:pPr>
      <w:rPr>
        <w:rFonts w:ascii="Symbol" w:hAnsi="Symbol" w:hint="default"/>
      </w:rPr>
    </w:lvl>
    <w:lvl w:ilvl="7" w:tplc="A1D05882">
      <w:start w:val="1"/>
      <w:numFmt w:val="bullet"/>
      <w:lvlText w:val="o"/>
      <w:lvlJc w:val="left"/>
      <w:pPr>
        <w:ind w:left="5760" w:hanging="360"/>
      </w:pPr>
      <w:rPr>
        <w:rFonts w:ascii="Courier New" w:hAnsi="Courier New" w:hint="default"/>
      </w:rPr>
    </w:lvl>
    <w:lvl w:ilvl="8" w:tplc="0E540682">
      <w:start w:val="1"/>
      <w:numFmt w:val="bullet"/>
      <w:lvlText w:val=""/>
      <w:lvlJc w:val="left"/>
      <w:pPr>
        <w:ind w:left="6480" w:hanging="360"/>
      </w:pPr>
      <w:rPr>
        <w:rFonts w:ascii="Wingdings" w:hAnsi="Wingdings" w:hint="default"/>
      </w:rPr>
    </w:lvl>
  </w:abstractNum>
  <w:abstractNum w:abstractNumId="9" w15:restartNumberingAfterBreak="0">
    <w:nsid w:val="411751D6"/>
    <w:multiLevelType w:val="hybridMultilevel"/>
    <w:tmpl w:val="0D888232"/>
    <w:lvl w:ilvl="0" w:tplc="5B183104">
      <w:start w:val="1"/>
      <w:numFmt w:val="bullet"/>
      <w:lvlText w:val=""/>
      <w:lvlJc w:val="left"/>
      <w:pPr>
        <w:ind w:left="720" w:hanging="360"/>
      </w:pPr>
      <w:rPr>
        <w:rFonts w:ascii="Symbol" w:hAnsi="Symbol" w:hint="default"/>
      </w:rPr>
    </w:lvl>
    <w:lvl w:ilvl="1" w:tplc="C3066FD0">
      <w:start w:val="1"/>
      <w:numFmt w:val="bullet"/>
      <w:lvlText w:val="o"/>
      <w:lvlJc w:val="left"/>
      <w:pPr>
        <w:ind w:left="1440" w:hanging="360"/>
      </w:pPr>
      <w:rPr>
        <w:rFonts w:ascii="Courier New" w:hAnsi="Courier New" w:hint="default"/>
      </w:rPr>
    </w:lvl>
    <w:lvl w:ilvl="2" w:tplc="E56A8EB6">
      <w:start w:val="1"/>
      <w:numFmt w:val="bullet"/>
      <w:lvlText w:val=""/>
      <w:lvlJc w:val="left"/>
      <w:pPr>
        <w:ind w:left="2160" w:hanging="360"/>
      </w:pPr>
      <w:rPr>
        <w:rFonts w:ascii="Wingdings" w:hAnsi="Wingdings" w:hint="default"/>
      </w:rPr>
    </w:lvl>
    <w:lvl w:ilvl="3" w:tplc="70025EEA">
      <w:start w:val="1"/>
      <w:numFmt w:val="bullet"/>
      <w:lvlText w:val=""/>
      <w:lvlJc w:val="left"/>
      <w:pPr>
        <w:ind w:left="2880" w:hanging="360"/>
      </w:pPr>
      <w:rPr>
        <w:rFonts w:ascii="Symbol" w:hAnsi="Symbol" w:hint="default"/>
      </w:rPr>
    </w:lvl>
    <w:lvl w:ilvl="4" w:tplc="BD727240">
      <w:start w:val="1"/>
      <w:numFmt w:val="bullet"/>
      <w:lvlText w:val="o"/>
      <w:lvlJc w:val="left"/>
      <w:pPr>
        <w:ind w:left="3600" w:hanging="360"/>
      </w:pPr>
      <w:rPr>
        <w:rFonts w:ascii="Courier New" w:hAnsi="Courier New" w:hint="default"/>
      </w:rPr>
    </w:lvl>
    <w:lvl w:ilvl="5" w:tplc="8D9E5FE6">
      <w:start w:val="1"/>
      <w:numFmt w:val="bullet"/>
      <w:lvlText w:val=""/>
      <w:lvlJc w:val="left"/>
      <w:pPr>
        <w:ind w:left="4320" w:hanging="360"/>
      </w:pPr>
      <w:rPr>
        <w:rFonts w:ascii="Wingdings" w:hAnsi="Wingdings" w:hint="default"/>
      </w:rPr>
    </w:lvl>
    <w:lvl w:ilvl="6" w:tplc="895E3DCA">
      <w:start w:val="1"/>
      <w:numFmt w:val="bullet"/>
      <w:lvlText w:val=""/>
      <w:lvlJc w:val="left"/>
      <w:pPr>
        <w:ind w:left="5040" w:hanging="360"/>
      </w:pPr>
      <w:rPr>
        <w:rFonts w:ascii="Symbol" w:hAnsi="Symbol" w:hint="default"/>
      </w:rPr>
    </w:lvl>
    <w:lvl w:ilvl="7" w:tplc="FF504CB6">
      <w:start w:val="1"/>
      <w:numFmt w:val="bullet"/>
      <w:lvlText w:val="o"/>
      <w:lvlJc w:val="left"/>
      <w:pPr>
        <w:ind w:left="5760" w:hanging="360"/>
      </w:pPr>
      <w:rPr>
        <w:rFonts w:ascii="Courier New" w:hAnsi="Courier New" w:hint="default"/>
      </w:rPr>
    </w:lvl>
    <w:lvl w:ilvl="8" w:tplc="40742B20">
      <w:start w:val="1"/>
      <w:numFmt w:val="bullet"/>
      <w:lvlText w:val=""/>
      <w:lvlJc w:val="left"/>
      <w:pPr>
        <w:ind w:left="6480" w:hanging="360"/>
      </w:pPr>
      <w:rPr>
        <w:rFonts w:ascii="Wingdings" w:hAnsi="Wingdings" w:hint="default"/>
      </w:rPr>
    </w:lvl>
  </w:abstractNum>
  <w:abstractNum w:abstractNumId="10" w15:restartNumberingAfterBreak="0">
    <w:nsid w:val="41AFF0C1"/>
    <w:multiLevelType w:val="hybridMultilevel"/>
    <w:tmpl w:val="A86A9058"/>
    <w:lvl w:ilvl="0" w:tplc="034482E2">
      <w:start w:val="1"/>
      <w:numFmt w:val="bullet"/>
      <w:lvlText w:val=""/>
      <w:lvlJc w:val="left"/>
      <w:pPr>
        <w:ind w:left="720" w:hanging="360"/>
      </w:pPr>
      <w:rPr>
        <w:rFonts w:ascii="Symbol" w:hAnsi="Symbol" w:hint="default"/>
      </w:rPr>
    </w:lvl>
    <w:lvl w:ilvl="1" w:tplc="BC94180A">
      <w:start w:val="1"/>
      <w:numFmt w:val="bullet"/>
      <w:lvlText w:val="o"/>
      <w:lvlJc w:val="left"/>
      <w:pPr>
        <w:ind w:left="1440" w:hanging="360"/>
      </w:pPr>
      <w:rPr>
        <w:rFonts w:ascii="Courier New" w:hAnsi="Courier New" w:hint="default"/>
      </w:rPr>
    </w:lvl>
    <w:lvl w:ilvl="2" w:tplc="A39E5270">
      <w:start w:val="1"/>
      <w:numFmt w:val="bullet"/>
      <w:lvlText w:val=""/>
      <w:lvlJc w:val="left"/>
      <w:pPr>
        <w:ind w:left="2160" w:hanging="360"/>
      </w:pPr>
      <w:rPr>
        <w:rFonts w:ascii="Wingdings" w:hAnsi="Wingdings" w:hint="default"/>
      </w:rPr>
    </w:lvl>
    <w:lvl w:ilvl="3" w:tplc="F232EF30">
      <w:start w:val="1"/>
      <w:numFmt w:val="bullet"/>
      <w:lvlText w:val=""/>
      <w:lvlJc w:val="left"/>
      <w:pPr>
        <w:ind w:left="2880" w:hanging="360"/>
      </w:pPr>
      <w:rPr>
        <w:rFonts w:ascii="Symbol" w:hAnsi="Symbol" w:hint="default"/>
      </w:rPr>
    </w:lvl>
    <w:lvl w:ilvl="4" w:tplc="922ADA8E">
      <w:start w:val="1"/>
      <w:numFmt w:val="bullet"/>
      <w:lvlText w:val="o"/>
      <w:lvlJc w:val="left"/>
      <w:pPr>
        <w:ind w:left="3600" w:hanging="360"/>
      </w:pPr>
      <w:rPr>
        <w:rFonts w:ascii="Courier New" w:hAnsi="Courier New" w:hint="default"/>
      </w:rPr>
    </w:lvl>
    <w:lvl w:ilvl="5" w:tplc="3B2A0832">
      <w:start w:val="1"/>
      <w:numFmt w:val="bullet"/>
      <w:lvlText w:val=""/>
      <w:lvlJc w:val="left"/>
      <w:pPr>
        <w:ind w:left="4320" w:hanging="360"/>
      </w:pPr>
      <w:rPr>
        <w:rFonts w:ascii="Wingdings" w:hAnsi="Wingdings" w:hint="default"/>
      </w:rPr>
    </w:lvl>
    <w:lvl w:ilvl="6" w:tplc="D65AD418">
      <w:start w:val="1"/>
      <w:numFmt w:val="bullet"/>
      <w:lvlText w:val=""/>
      <w:lvlJc w:val="left"/>
      <w:pPr>
        <w:ind w:left="5040" w:hanging="360"/>
      </w:pPr>
      <w:rPr>
        <w:rFonts w:ascii="Symbol" w:hAnsi="Symbol" w:hint="default"/>
      </w:rPr>
    </w:lvl>
    <w:lvl w:ilvl="7" w:tplc="3118DC66">
      <w:start w:val="1"/>
      <w:numFmt w:val="bullet"/>
      <w:lvlText w:val="o"/>
      <w:lvlJc w:val="left"/>
      <w:pPr>
        <w:ind w:left="5760" w:hanging="360"/>
      </w:pPr>
      <w:rPr>
        <w:rFonts w:ascii="Courier New" w:hAnsi="Courier New" w:hint="default"/>
      </w:rPr>
    </w:lvl>
    <w:lvl w:ilvl="8" w:tplc="F7201D88">
      <w:start w:val="1"/>
      <w:numFmt w:val="bullet"/>
      <w:lvlText w:val=""/>
      <w:lvlJc w:val="left"/>
      <w:pPr>
        <w:ind w:left="6480" w:hanging="360"/>
      </w:pPr>
      <w:rPr>
        <w:rFonts w:ascii="Wingdings" w:hAnsi="Wingdings" w:hint="default"/>
      </w:rPr>
    </w:lvl>
  </w:abstractNum>
  <w:abstractNum w:abstractNumId="11" w15:restartNumberingAfterBreak="0">
    <w:nsid w:val="520BC02B"/>
    <w:multiLevelType w:val="hybridMultilevel"/>
    <w:tmpl w:val="645EDEB0"/>
    <w:lvl w:ilvl="0" w:tplc="B29EF084">
      <w:start w:val="1"/>
      <w:numFmt w:val="bullet"/>
      <w:lvlText w:val=""/>
      <w:lvlJc w:val="left"/>
      <w:pPr>
        <w:ind w:left="720" w:hanging="360"/>
      </w:pPr>
      <w:rPr>
        <w:rFonts w:ascii="Symbol" w:hAnsi="Symbol" w:hint="default"/>
      </w:rPr>
    </w:lvl>
    <w:lvl w:ilvl="1" w:tplc="95EE4F28">
      <w:start w:val="1"/>
      <w:numFmt w:val="bullet"/>
      <w:lvlText w:val="o"/>
      <w:lvlJc w:val="left"/>
      <w:pPr>
        <w:ind w:left="1440" w:hanging="360"/>
      </w:pPr>
      <w:rPr>
        <w:rFonts w:ascii="Courier New" w:hAnsi="Courier New" w:hint="default"/>
      </w:rPr>
    </w:lvl>
    <w:lvl w:ilvl="2" w:tplc="1A3490E4">
      <w:start w:val="1"/>
      <w:numFmt w:val="bullet"/>
      <w:lvlText w:val=""/>
      <w:lvlJc w:val="left"/>
      <w:pPr>
        <w:ind w:left="2160" w:hanging="360"/>
      </w:pPr>
      <w:rPr>
        <w:rFonts w:ascii="Wingdings" w:hAnsi="Wingdings" w:hint="default"/>
      </w:rPr>
    </w:lvl>
    <w:lvl w:ilvl="3" w:tplc="E670EE9A">
      <w:start w:val="1"/>
      <w:numFmt w:val="bullet"/>
      <w:lvlText w:val=""/>
      <w:lvlJc w:val="left"/>
      <w:pPr>
        <w:ind w:left="2880" w:hanging="360"/>
      </w:pPr>
      <w:rPr>
        <w:rFonts w:ascii="Symbol" w:hAnsi="Symbol" w:hint="default"/>
      </w:rPr>
    </w:lvl>
    <w:lvl w:ilvl="4" w:tplc="0896C07A">
      <w:start w:val="1"/>
      <w:numFmt w:val="bullet"/>
      <w:lvlText w:val="o"/>
      <w:lvlJc w:val="left"/>
      <w:pPr>
        <w:ind w:left="3600" w:hanging="360"/>
      </w:pPr>
      <w:rPr>
        <w:rFonts w:ascii="Courier New" w:hAnsi="Courier New" w:hint="default"/>
      </w:rPr>
    </w:lvl>
    <w:lvl w:ilvl="5" w:tplc="A5F070FE">
      <w:start w:val="1"/>
      <w:numFmt w:val="bullet"/>
      <w:lvlText w:val=""/>
      <w:lvlJc w:val="left"/>
      <w:pPr>
        <w:ind w:left="4320" w:hanging="360"/>
      </w:pPr>
      <w:rPr>
        <w:rFonts w:ascii="Wingdings" w:hAnsi="Wingdings" w:hint="default"/>
      </w:rPr>
    </w:lvl>
    <w:lvl w:ilvl="6" w:tplc="3E72ECC2">
      <w:start w:val="1"/>
      <w:numFmt w:val="bullet"/>
      <w:lvlText w:val=""/>
      <w:lvlJc w:val="left"/>
      <w:pPr>
        <w:ind w:left="5040" w:hanging="360"/>
      </w:pPr>
      <w:rPr>
        <w:rFonts w:ascii="Symbol" w:hAnsi="Symbol" w:hint="default"/>
      </w:rPr>
    </w:lvl>
    <w:lvl w:ilvl="7" w:tplc="5686C04C">
      <w:start w:val="1"/>
      <w:numFmt w:val="bullet"/>
      <w:lvlText w:val="o"/>
      <w:lvlJc w:val="left"/>
      <w:pPr>
        <w:ind w:left="5760" w:hanging="360"/>
      </w:pPr>
      <w:rPr>
        <w:rFonts w:ascii="Courier New" w:hAnsi="Courier New" w:hint="default"/>
      </w:rPr>
    </w:lvl>
    <w:lvl w:ilvl="8" w:tplc="CEAC23D4">
      <w:start w:val="1"/>
      <w:numFmt w:val="bullet"/>
      <w:lvlText w:val=""/>
      <w:lvlJc w:val="left"/>
      <w:pPr>
        <w:ind w:left="6480" w:hanging="360"/>
      </w:pPr>
      <w:rPr>
        <w:rFonts w:ascii="Wingdings" w:hAnsi="Wingdings" w:hint="default"/>
      </w:rPr>
    </w:lvl>
  </w:abstractNum>
  <w:abstractNum w:abstractNumId="12" w15:restartNumberingAfterBreak="0">
    <w:nsid w:val="6A44F998"/>
    <w:multiLevelType w:val="hybridMultilevel"/>
    <w:tmpl w:val="B9A2F914"/>
    <w:lvl w:ilvl="0" w:tplc="141E0DEA">
      <w:start w:val="1"/>
      <w:numFmt w:val="bullet"/>
      <w:lvlText w:val=""/>
      <w:lvlJc w:val="left"/>
      <w:pPr>
        <w:ind w:left="720" w:hanging="360"/>
      </w:pPr>
      <w:rPr>
        <w:rFonts w:ascii="Symbol" w:hAnsi="Symbol" w:hint="default"/>
      </w:rPr>
    </w:lvl>
    <w:lvl w:ilvl="1" w:tplc="0F187E22">
      <w:start w:val="1"/>
      <w:numFmt w:val="bullet"/>
      <w:lvlText w:val="o"/>
      <w:lvlJc w:val="left"/>
      <w:pPr>
        <w:ind w:left="1440" w:hanging="360"/>
      </w:pPr>
      <w:rPr>
        <w:rFonts w:ascii="Courier New" w:hAnsi="Courier New" w:hint="default"/>
      </w:rPr>
    </w:lvl>
    <w:lvl w:ilvl="2" w:tplc="818A1F36">
      <w:start w:val="1"/>
      <w:numFmt w:val="bullet"/>
      <w:lvlText w:val=""/>
      <w:lvlJc w:val="left"/>
      <w:pPr>
        <w:ind w:left="2160" w:hanging="360"/>
      </w:pPr>
      <w:rPr>
        <w:rFonts w:ascii="Wingdings" w:hAnsi="Wingdings" w:hint="default"/>
      </w:rPr>
    </w:lvl>
    <w:lvl w:ilvl="3" w:tplc="CE2C2902">
      <w:start w:val="1"/>
      <w:numFmt w:val="bullet"/>
      <w:lvlText w:val=""/>
      <w:lvlJc w:val="left"/>
      <w:pPr>
        <w:ind w:left="2880" w:hanging="360"/>
      </w:pPr>
      <w:rPr>
        <w:rFonts w:ascii="Symbol" w:hAnsi="Symbol" w:hint="default"/>
      </w:rPr>
    </w:lvl>
    <w:lvl w:ilvl="4" w:tplc="B9CC44E8">
      <w:start w:val="1"/>
      <w:numFmt w:val="bullet"/>
      <w:lvlText w:val="o"/>
      <w:lvlJc w:val="left"/>
      <w:pPr>
        <w:ind w:left="3600" w:hanging="360"/>
      </w:pPr>
      <w:rPr>
        <w:rFonts w:ascii="Courier New" w:hAnsi="Courier New" w:hint="default"/>
      </w:rPr>
    </w:lvl>
    <w:lvl w:ilvl="5" w:tplc="E68A0344">
      <w:start w:val="1"/>
      <w:numFmt w:val="bullet"/>
      <w:lvlText w:val=""/>
      <w:lvlJc w:val="left"/>
      <w:pPr>
        <w:ind w:left="4320" w:hanging="360"/>
      </w:pPr>
      <w:rPr>
        <w:rFonts w:ascii="Wingdings" w:hAnsi="Wingdings" w:hint="default"/>
      </w:rPr>
    </w:lvl>
    <w:lvl w:ilvl="6" w:tplc="A5C4D9B2">
      <w:start w:val="1"/>
      <w:numFmt w:val="bullet"/>
      <w:lvlText w:val=""/>
      <w:lvlJc w:val="left"/>
      <w:pPr>
        <w:ind w:left="5040" w:hanging="360"/>
      </w:pPr>
      <w:rPr>
        <w:rFonts w:ascii="Symbol" w:hAnsi="Symbol" w:hint="default"/>
      </w:rPr>
    </w:lvl>
    <w:lvl w:ilvl="7" w:tplc="2C702B6E">
      <w:start w:val="1"/>
      <w:numFmt w:val="bullet"/>
      <w:lvlText w:val="o"/>
      <w:lvlJc w:val="left"/>
      <w:pPr>
        <w:ind w:left="5760" w:hanging="360"/>
      </w:pPr>
      <w:rPr>
        <w:rFonts w:ascii="Courier New" w:hAnsi="Courier New" w:hint="default"/>
      </w:rPr>
    </w:lvl>
    <w:lvl w:ilvl="8" w:tplc="6E2E56B2">
      <w:start w:val="1"/>
      <w:numFmt w:val="bullet"/>
      <w:lvlText w:val=""/>
      <w:lvlJc w:val="left"/>
      <w:pPr>
        <w:ind w:left="6480" w:hanging="360"/>
      </w:pPr>
      <w:rPr>
        <w:rFonts w:ascii="Wingdings" w:hAnsi="Wingdings" w:hint="default"/>
      </w:rPr>
    </w:lvl>
  </w:abstractNum>
  <w:abstractNum w:abstractNumId="13" w15:restartNumberingAfterBreak="0">
    <w:nsid w:val="7D39068D"/>
    <w:multiLevelType w:val="hybridMultilevel"/>
    <w:tmpl w:val="06AEC46A"/>
    <w:lvl w:ilvl="0" w:tplc="A5FAF1E2">
      <w:start w:val="1"/>
      <w:numFmt w:val="bullet"/>
      <w:lvlText w:val=""/>
      <w:lvlJc w:val="left"/>
      <w:pPr>
        <w:ind w:left="720" w:hanging="360"/>
      </w:pPr>
      <w:rPr>
        <w:rFonts w:ascii="Symbol" w:hAnsi="Symbol" w:hint="default"/>
      </w:rPr>
    </w:lvl>
    <w:lvl w:ilvl="1" w:tplc="FD929100">
      <w:start w:val="1"/>
      <w:numFmt w:val="bullet"/>
      <w:lvlText w:val="o"/>
      <w:lvlJc w:val="left"/>
      <w:pPr>
        <w:ind w:left="1440" w:hanging="360"/>
      </w:pPr>
      <w:rPr>
        <w:rFonts w:ascii="Courier New" w:hAnsi="Courier New" w:hint="default"/>
      </w:rPr>
    </w:lvl>
    <w:lvl w:ilvl="2" w:tplc="15E080B4">
      <w:start w:val="1"/>
      <w:numFmt w:val="bullet"/>
      <w:lvlText w:val=""/>
      <w:lvlJc w:val="left"/>
      <w:pPr>
        <w:ind w:left="2160" w:hanging="360"/>
      </w:pPr>
      <w:rPr>
        <w:rFonts w:ascii="Wingdings" w:hAnsi="Wingdings" w:hint="default"/>
      </w:rPr>
    </w:lvl>
    <w:lvl w:ilvl="3" w:tplc="DB8AF488">
      <w:start w:val="1"/>
      <w:numFmt w:val="bullet"/>
      <w:lvlText w:val=""/>
      <w:lvlJc w:val="left"/>
      <w:pPr>
        <w:ind w:left="2880" w:hanging="360"/>
      </w:pPr>
      <w:rPr>
        <w:rFonts w:ascii="Symbol" w:hAnsi="Symbol" w:hint="default"/>
      </w:rPr>
    </w:lvl>
    <w:lvl w:ilvl="4" w:tplc="8B7ECDD8">
      <w:start w:val="1"/>
      <w:numFmt w:val="bullet"/>
      <w:lvlText w:val="o"/>
      <w:lvlJc w:val="left"/>
      <w:pPr>
        <w:ind w:left="3600" w:hanging="360"/>
      </w:pPr>
      <w:rPr>
        <w:rFonts w:ascii="Courier New" w:hAnsi="Courier New" w:hint="default"/>
      </w:rPr>
    </w:lvl>
    <w:lvl w:ilvl="5" w:tplc="8B1C423C">
      <w:start w:val="1"/>
      <w:numFmt w:val="bullet"/>
      <w:lvlText w:val=""/>
      <w:lvlJc w:val="left"/>
      <w:pPr>
        <w:ind w:left="4320" w:hanging="360"/>
      </w:pPr>
      <w:rPr>
        <w:rFonts w:ascii="Wingdings" w:hAnsi="Wingdings" w:hint="default"/>
      </w:rPr>
    </w:lvl>
    <w:lvl w:ilvl="6" w:tplc="61848306">
      <w:start w:val="1"/>
      <w:numFmt w:val="bullet"/>
      <w:lvlText w:val=""/>
      <w:lvlJc w:val="left"/>
      <w:pPr>
        <w:ind w:left="5040" w:hanging="360"/>
      </w:pPr>
      <w:rPr>
        <w:rFonts w:ascii="Symbol" w:hAnsi="Symbol" w:hint="default"/>
      </w:rPr>
    </w:lvl>
    <w:lvl w:ilvl="7" w:tplc="10B430C6">
      <w:start w:val="1"/>
      <w:numFmt w:val="bullet"/>
      <w:lvlText w:val="o"/>
      <w:lvlJc w:val="left"/>
      <w:pPr>
        <w:ind w:left="5760" w:hanging="360"/>
      </w:pPr>
      <w:rPr>
        <w:rFonts w:ascii="Courier New" w:hAnsi="Courier New" w:hint="default"/>
      </w:rPr>
    </w:lvl>
    <w:lvl w:ilvl="8" w:tplc="85FC79E0">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10"/>
  </w:num>
  <w:num w:numId="5">
    <w:abstractNumId w:val="4"/>
  </w:num>
  <w:num w:numId="6">
    <w:abstractNumId w:val="2"/>
  </w:num>
  <w:num w:numId="7">
    <w:abstractNumId w:val="8"/>
  </w:num>
  <w:num w:numId="8">
    <w:abstractNumId w:val="13"/>
  </w:num>
  <w:num w:numId="9">
    <w:abstractNumId w:val="9"/>
  </w:num>
  <w:num w:numId="10">
    <w:abstractNumId w:val="7"/>
  </w:num>
  <w:num w:numId="11">
    <w:abstractNumId w:val="1"/>
  </w:num>
  <w:num w:numId="12">
    <w:abstractNumId w:val="6"/>
  </w:num>
  <w:num w:numId="13">
    <w:abstractNumId w:val="3"/>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PHERD, Cara (cjmck3)">
    <w15:presenceInfo w15:providerId="AD" w15:userId="S::cjmck3@eq.edu.au::c1c3412e-71b4-4f4c-bffd-8e4b35a11f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B8F55D"/>
    <w:rsid w:val="00196291"/>
    <w:rsid w:val="00217CDA"/>
    <w:rsid w:val="00355189"/>
    <w:rsid w:val="004F73D1"/>
    <w:rsid w:val="006C29C5"/>
    <w:rsid w:val="006C2E43"/>
    <w:rsid w:val="006F5ECE"/>
    <w:rsid w:val="00743768"/>
    <w:rsid w:val="00743BDB"/>
    <w:rsid w:val="008F0A6D"/>
    <w:rsid w:val="0095D4DC"/>
    <w:rsid w:val="009E508D"/>
    <w:rsid w:val="00CA041F"/>
    <w:rsid w:val="00D91A46"/>
    <w:rsid w:val="00D939B0"/>
    <w:rsid w:val="00EF4AF5"/>
    <w:rsid w:val="00F807C8"/>
    <w:rsid w:val="016A2A64"/>
    <w:rsid w:val="017FE552"/>
    <w:rsid w:val="0192CFF2"/>
    <w:rsid w:val="01BA0FAC"/>
    <w:rsid w:val="0217CDD8"/>
    <w:rsid w:val="02924439"/>
    <w:rsid w:val="029456B6"/>
    <w:rsid w:val="02A2C492"/>
    <w:rsid w:val="02AB9D70"/>
    <w:rsid w:val="03A0022A"/>
    <w:rsid w:val="0410D1F0"/>
    <w:rsid w:val="0418C8E4"/>
    <w:rsid w:val="041D058C"/>
    <w:rsid w:val="0481A76E"/>
    <w:rsid w:val="05072D18"/>
    <w:rsid w:val="056FA7DF"/>
    <w:rsid w:val="061BE408"/>
    <w:rsid w:val="06254363"/>
    <w:rsid w:val="063F9919"/>
    <w:rsid w:val="06556FD2"/>
    <w:rsid w:val="06B7BB90"/>
    <w:rsid w:val="06CDF2B2"/>
    <w:rsid w:val="06EFE2B6"/>
    <w:rsid w:val="06F4251F"/>
    <w:rsid w:val="0707DBC8"/>
    <w:rsid w:val="072354AB"/>
    <w:rsid w:val="07384332"/>
    <w:rsid w:val="088933E5"/>
    <w:rsid w:val="0891383C"/>
    <w:rsid w:val="0892FD72"/>
    <w:rsid w:val="08CBDC7A"/>
    <w:rsid w:val="08F6EE10"/>
    <w:rsid w:val="0960C4A1"/>
    <w:rsid w:val="096B4318"/>
    <w:rsid w:val="0971DFC5"/>
    <w:rsid w:val="097DED6A"/>
    <w:rsid w:val="0994F76B"/>
    <w:rsid w:val="0A1631EC"/>
    <w:rsid w:val="0A2492ED"/>
    <w:rsid w:val="0B3C06FB"/>
    <w:rsid w:val="0BB34DCC"/>
    <w:rsid w:val="0C39CD8F"/>
    <w:rsid w:val="0C435077"/>
    <w:rsid w:val="0CB2B269"/>
    <w:rsid w:val="0CD18902"/>
    <w:rsid w:val="0CD789D9"/>
    <w:rsid w:val="0D064FAE"/>
    <w:rsid w:val="0D3AD6F3"/>
    <w:rsid w:val="0D44C83F"/>
    <w:rsid w:val="0DFE9881"/>
    <w:rsid w:val="0E1DB024"/>
    <w:rsid w:val="0EA68B95"/>
    <w:rsid w:val="0F104460"/>
    <w:rsid w:val="0F6919C9"/>
    <w:rsid w:val="0F81A427"/>
    <w:rsid w:val="0FA871ED"/>
    <w:rsid w:val="105336F1"/>
    <w:rsid w:val="1181A6DC"/>
    <w:rsid w:val="11E65C04"/>
    <w:rsid w:val="1211DBF2"/>
    <w:rsid w:val="121D6242"/>
    <w:rsid w:val="12644D4E"/>
    <w:rsid w:val="12998570"/>
    <w:rsid w:val="12A7B12C"/>
    <w:rsid w:val="1308DFA1"/>
    <w:rsid w:val="1309E047"/>
    <w:rsid w:val="13157B7C"/>
    <w:rsid w:val="14123567"/>
    <w:rsid w:val="142FE323"/>
    <w:rsid w:val="146BD43A"/>
    <w:rsid w:val="14D277B3"/>
    <w:rsid w:val="14D42CAC"/>
    <w:rsid w:val="15428A91"/>
    <w:rsid w:val="15539E40"/>
    <w:rsid w:val="15839B5B"/>
    <w:rsid w:val="15A92751"/>
    <w:rsid w:val="15EA0038"/>
    <w:rsid w:val="15FB67B2"/>
    <w:rsid w:val="167489D5"/>
    <w:rsid w:val="16AA9BC7"/>
    <w:rsid w:val="16F1B795"/>
    <w:rsid w:val="1709E83B"/>
    <w:rsid w:val="17117BFF"/>
    <w:rsid w:val="1753850E"/>
    <w:rsid w:val="17A29FA5"/>
    <w:rsid w:val="17B4CE2C"/>
    <w:rsid w:val="17CEE9F2"/>
    <w:rsid w:val="1835B12B"/>
    <w:rsid w:val="1847FD3E"/>
    <w:rsid w:val="18A1BDF2"/>
    <w:rsid w:val="18E392C8"/>
    <w:rsid w:val="19245800"/>
    <w:rsid w:val="19794E21"/>
    <w:rsid w:val="19BDBBA4"/>
    <w:rsid w:val="19BF9BFE"/>
    <w:rsid w:val="19FE7C9B"/>
    <w:rsid w:val="1A3323EA"/>
    <w:rsid w:val="1AEFB4FC"/>
    <w:rsid w:val="1B1D5AB1"/>
    <w:rsid w:val="1B28BFBF"/>
    <w:rsid w:val="1B9ADFC8"/>
    <w:rsid w:val="1BC51760"/>
    <w:rsid w:val="1C0C3833"/>
    <w:rsid w:val="1C4CB981"/>
    <w:rsid w:val="1CC0B707"/>
    <w:rsid w:val="1CC67E58"/>
    <w:rsid w:val="1D662D2B"/>
    <w:rsid w:val="1D97277C"/>
    <w:rsid w:val="1DB47644"/>
    <w:rsid w:val="1DCEF421"/>
    <w:rsid w:val="1DEA2512"/>
    <w:rsid w:val="1E0F9EC0"/>
    <w:rsid w:val="1ED6F856"/>
    <w:rsid w:val="1EE9860B"/>
    <w:rsid w:val="1F2FE0B4"/>
    <w:rsid w:val="1FA0E9BF"/>
    <w:rsid w:val="1FC24581"/>
    <w:rsid w:val="1FDDDB79"/>
    <w:rsid w:val="1FE53122"/>
    <w:rsid w:val="20553CF1"/>
    <w:rsid w:val="207253DD"/>
    <w:rsid w:val="20B818B1"/>
    <w:rsid w:val="214AF3B1"/>
    <w:rsid w:val="21552143"/>
    <w:rsid w:val="218FFF5D"/>
    <w:rsid w:val="21D6A8FE"/>
    <w:rsid w:val="220604F8"/>
    <w:rsid w:val="220F0161"/>
    <w:rsid w:val="2226A92D"/>
    <w:rsid w:val="22362D60"/>
    <w:rsid w:val="227474DF"/>
    <w:rsid w:val="22A9CA21"/>
    <w:rsid w:val="22AEC3B3"/>
    <w:rsid w:val="2373F1FF"/>
    <w:rsid w:val="2396E884"/>
    <w:rsid w:val="23AA4086"/>
    <w:rsid w:val="2420F33A"/>
    <w:rsid w:val="2497106D"/>
    <w:rsid w:val="24C71956"/>
    <w:rsid w:val="258F8B99"/>
    <w:rsid w:val="25F6AC6A"/>
    <w:rsid w:val="2666A7FC"/>
    <w:rsid w:val="28134837"/>
    <w:rsid w:val="282E8A38"/>
    <w:rsid w:val="28602E7F"/>
    <w:rsid w:val="29D97207"/>
    <w:rsid w:val="2A254296"/>
    <w:rsid w:val="2A48F664"/>
    <w:rsid w:val="2A580299"/>
    <w:rsid w:val="2A5B7158"/>
    <w:rsid w:val="2AC2E1CB"/>
    <w:rsid w:val="2B360A00"/>
    <w:rsid w:val="2B86BE94"/>
    <w:rsid w:val="2B9719AB"/>
    <w:rsid w:val="2BDC7331"/>
    <w:rsid w:val="2BFFF050"/>
    <w:rsid w:val="2C3A3F7D"/>
    <w:rsid w:val="2CCED3A5"/>
    <w:rsid w:val="2DD20918"/>
    <w:rsid w:val="2DDB0C66"/>
    <w:rsid w:val="2E0736F3"/>
    <w:rsid w:val="2E0C556D"/>
    <w:rsid w:val="2E55A238"/>
    <w:rsid w:val="2EB5A690"/>
    <w:rsid w:val="2EC12E83"/>
    <w:rsid w:val="2EC33764"/>
    <w:rsid w:val="2ECC456B"/>
    <w:rsid w:val="2ED3AA94"/>
    <w:rsid w:val="2F658475"/>
    <w:rsid w:val="2FBE7D2E"/>
    <w:rsid w:val="301F9D2B"/>
    <w:rsid w:val="302D3EF9"/>
    <w:rsid w:val="30B9C728"/>
    <w:rsid w:val="30F7F99B"/>
    <w:rsid w:val="31306D87"/>
    <w:rsid w:val="319C3D83"/>
    <w:rsid w:val="324EB271"/>
    <w:rsid w:val="32D963CB"/>
    <w:rsid w:val="336BC162"/>
    <w:rsid w:val="33FD4D78"/>
    <w:rsid w:val="350440FE"/>
    <w:rsid w:val="35563CCC"/>
    <w:rsid w:val="35F4E634"/>
    <w:rsid w:val="36BA5F5A"/>
    <w:rsid w:val="36C4A0A1"/>
    <w:rsid w:val="36E52AE0"/>
    <w:rsid w:val="37098375"/>
    <w:rsid w:val="374B2FA8"/>
    <w:rsid w:val="37676C87"/>
    <w:rsid w:val="37A61033"/>
    <w:rsid w:val="37B79C5D"/>
    <w:rsid w:val="37C500A9"/>
    <w:rsid w:val="37F6070D"/>
    <w:rsid w:val="3817A9C9"/>
    <w:rsid w:val="38829A46"/>
    <w:rsid w:val="391A16BE"/>
    <w:rsid w:val="394C7D6B"/>
    <w:rsid w:val="39693E97"/>
    <w:rsid w:val="398EE68F"/>
    <w:rsid w:val="3A38851B"/>
    <w:rsid w:val="3A5F6202"/>
    <w:rsid w:val="3AA121AE"/>
    <w:rsid w:val="3AA5DCF1"/>
    <w:rsid w:val="3AAE1238"/>
    <w:rsid w:val="3B60202E"/>
    <w:rsid w:val="3BA67CEA"/>
    <w:rsid w:val="3C30B187"/>
    <w:rsid w:val="3C427E5D"/>
    <w:rsid w:val="3CA4B778"/>
    <w:rsid w:val="3D1B62A6"/>
    <w:rsid w:val="3DBF90F4"/>
    <w:rsid w:val="3E1C5538"/>
    <w:rsid w:val="3E20B8A4"/>
    <w:rsid w:val="3E64E4BA"/>
    <w:rsid w:val="3EB03990"/>
    <w:rsid w:val="3F9DF769"/>
    <w:rsid w:val="3FA94A0A"/>
    <w:rsid w:val="3FD82A00"/>
    <w:rsid w:val="3FF4DBAA"/>
    <w:rsid w:val="404111F5"/>
    <w:rsid w:val="410716BF"/>
    <w:rsid w:val="413C9861"/>
    <w:rsid w:val="41456552"/>
    <w:rsid w:val="415F9CE3"/>
    <w:rsid w:val="41CCC5BF"/>
    <w:rsid w:val="41E75875"/>
    <w:rsid w:val="424D9DAA"/>
    <w:rsid w:val="426012A8"/>
    <w:rsid w:val="4284388E"/>
    <w:rsid w:val="42AFCFCF"/>
    <w:rsid w:val="42C41486"/>
    <w:rsid w:val="431C20E0"/>
    <w:rsid w:val="4378AC85"/>
    <w:rsid w:val="439C48DC"/>
    <w:rsid w:val="43E6B22A"/>
    <w:rsid w:val="4435CBA5"/>
    <w:rsid w:val="44DAB804"/>
    <w:rsid w:val="4595DD32"/>
    <w:rsid w:val="45EA4C92"/>
    <w:rsid w:val="46245927"/>
    <w:rsid w:val="468ADDCB"/>
    <w:rsid w:val="46B635FB"/>
    <w:rsid w:val="46BB95D9"/>
    <w:rsid w:val="4727AF29"/>
    <w:rsid w:val="475EF115"/>
    <w:rsid w:val="47634AA6"/>
    <w:rsid w:val="47910E2B"/>
    <w:rsid w:val="47F0221A"/>
    <w:rsid w:val="4865BF9E"/>
    <w:rsid w:val="48BA8CE1"/>
    <w:rsid w:val="48C41E6F"/>
    <w:rsid w:val="4929D918"/>
    <w:rsid w:val="492B7D03"/>
    <w:rsid w:val="499957CD"/>
    <w:rsid w:val="4A6B0C90"/>
    <w:rsid w:val="4AFC2263"/>
    <w:rsid w:val="4B26FEC3"/>
    <w:rsid w:val="4C319FF7"/>
    <w:rsid w:val="4D0C0CB6"/>
    <w:rsid w:val="4D114E23"/>
    <w:rsid w:val="4D16B548"/>
    <w:rsid w:val="4D2F8069"/>
    <w:rsid w:val="4D37911B"/>
    <w:rsid w:val="4D4E4DA9"/>
    <w:rsid w:val="4D4FC48D"/>
    <w:rsid w:val="4DA5B304"/>
    <w:rsid w:val="4DE910C5"/>
    <w:rsid w:val="4E362AB7"/>
    <w:rsid w:val="4E443873"/>
    <w:rsid w:val="4ED29250"/>
    <w:rsid w:val="4F0E6CEC"/>
    <w:rsid w:val="4F268776"/>
    <w:rsid w:val="4F56869F"/>
    <w:rsid w:val="4F80DE76"/>
    <w:rsid w:val="4FF947FE"/>
    <w:rsid w:val="50549709"/>
    <w:rsid w:val="5061351B"/>
    <w:rsid w:val="5100F407"/>
    <w:rsid w:val="51653C86"/>
    <w:rsid w:val="5202FEF5"/>
    <w:rsid w:val="532E4F87"/>
    <w:rsid w:val="5348F346"/>
    <w:rsid w:val="538012ED"/>
    <w:rsid w:val="53857947"/>
    <w:rsid w:val="539B334B"/>
    <w:rsid w:val="53B08048"/>
    <w:rsid w:val="53B93F40"/>
    <w:rsid w:val="542E9550"/>
    <w:rsid w:val="54AE5499"/>
    <w:rsid w:val="54B05196"/>
    <w:rsid w:val="55340F41"/>
    <w:rsid w:val="561D91AC"/>
    <w:rsid w:val="56B607D7"/>
    <w:rsid w:val="56BA1E95"/>
    <w:rsid w:val="5714FDF6"/>
    <w:rsid w:val="5722C628"/>
    <w:rsid w:val="57321E46"/>
    <w:rsid w:val="573256D1"/>
    <w:rsid w:val="57370926"/>
    <w:rsid w:val="5799EDE4"/>
    <w:rsid w:val="57C246C7"/>
    <w:rsid w:val="58413534"/>
    <w:rsid w:val="5893430E"/>
    <w:rsid w:val="58A7F4FF"/>
    <w:rsid w:val="58ADD68F"/>
    <w:rsid w:val="58E7B71A"/>
    <w:rsid w:val="5959BA27"/>
    <w:rsid w:val="59B944DF"/>
    <w:rsid w:val="59C1F3F8"/>
    <w:rsid w:val="59F8B455"/>
    <w:rsid w:val="59FC9B42"/>
    <w:rsid w:val="5A193328"/>
    <w:rsid w:val="5A1D0DD5"/>
    <w:rsid w:val="5A861A4B"/>
    <w:rsid w:val="5B0794E4"/>
    <w:rsid w:val="5B5DFC55"/>
    <w:rsid w:val="5BCA04D2"/>
    <w:rsid w:val="5C4DA3BA"/>
    <w:rsid w:val="5C856F20"/>
    <w:rsid w:val="5CC0D835"/>
    <w:rsid w:val="5D39D8B7"/>
    <w:rsid w:val="5E288405"/>
    <w:rsid w:val="5E465033"/>
    <w:rsid w:val="5EB54643"/>
    <w:rsid w:val="5EB9B75D"/>
    <w:rsid w:val="5EDA67A3"/>
    <w:rsid w:val="5F43C4CB"/>
    <w:rsid w:val="5F780E57"/>
    <w:rsid w:val="5F7ADBB6"/>
    <w:rsid w:val="5FACFBE6"/>
    <w:rsid w:val="603AD55D"/>
    <w:rsid w:val="608F0494"/>
    <w:rsid w:val="609A1836"/>
    <w:rsid w:val="60F8277F"/>
    <w:rsid w:val="61487FA7"/>
    <w:rsid w:val="6154DA78"/>
    <w:rsid w:val="6208F7C8"/>
    <w:rsid w:val="622CDD94"/>
    <w:rsid w:val="630737D0"/>
    <w:rsid w:val="638A869C"/>
    <w:rsid w:val="63BD8BA5"/>
    <w:rsid w:val="64E72F1A"/>
    <w:rsid w:val="64F0A789"/>
    <w:rsid w:val="64F41662"/>
    <w:rsid w:val="65E4A324"/>
    <w:rsid w:val="662EA03A"/>
    <w:rsid w:val="6634CF1B"/>
    <w:rsid w:val="66809C1F"/>
    <w:rsid w:val="67B6E3EB"/>
    <w:rsid w:val="680C36FF"/>
    <w:rsid w:val="6817C656"/>
    <w:rsid w:val="681E93C6"/>
    <w:rsid w:val="6879FC0D"/>
    <w:rsid w:val="68B54F29"/>
    <w:rsid w:val="68FCF088"/>
    <w:rsid w:val="6932CDC5"/>
    <w:rsid w:val="69624C91"/>
    <w:rsid w:val="69634A9F"/>
    <w:rsid w:val="6965EBB0"/>
    <w:rsid w:val="697FE5BC"/>
    <w:rsid w:val="69B7AF41"/>
    <w:rsid w:val="69C57A0E"/>
    <w:rsid w:val="69D4A60F"/>
    <w:rsid w:val="6A4F751A"/>
    <w:rsid w:val="6A6092F3"/>
    <w:rsid w:val="6A9A3699"/>
    <w:rsid w:val="6AC96C82"/>
    <w:rsid w:val="6B107971"/>
    <w:rsid w:val="6B2DF439"/>
    <w:rsid w:val="6B65CB32"/>
    <w:rsid w:val="6B861BDD"/>
    <w:rsid w:val="6C3CE378"/>
    <w:rsid w:val="6C8C7912"/>
    <w:rsid w:val="6CA86B1A"/>
    <w:rsid w:val="6CAA9295"/>
    <w:rsid w:val="6CC80D18"/>
    <w:rsid w:val="6D1A3801"/>
    <w:rsid w:val="6D4E3341"/>
    <w:rsid w:val="6D5BA38A"/>
    <w:rsid w:val="6DC90BA8"/>
    <w:rsid w:val="6E036A02"/>
    <w:rsid w:val="6E7BADA8"/>
    <w:rsid w:val="6EB8F55D"/>
    <w:rsid w:val="6EC3A30C"/>
    <w:rsid w:val="6F593A4D"/>
    <w:rsid w:val="6F99EAEB"/>
    <w:rsid w:val="70588102"/>
    <w:rsid w:val="708B0F74"/>
    <w:rsid w:val="7187C0B7"/>
    <w:rsid w:val="719159D6"/>
    <w:rsid w:val="71A4B6D2"/>
    <w:rsid w:val="71C33B13"/>
    <w:rsid w:val="72009DA5"/>
    <w:rsid w:val="720603C1"/>
    <w:rsid w:val="72399ADB"/>
    <w:rsid w:val="72BEEDAA"/>
    <w:rsid w:val="72D735DB"/>
    <w:rsid w:val="7327E6B5"/>
    <w:rsid w:val="73FA1711"/>
    <w:rsid w:val="7437D2AD"/>
    <w:rsid w:val="74E0967D"/>
    <w:rsid w:val="755BF73A"/>
    <w:rsid w:val="7593CBD3"/>
    <w:rsid w:val="75D6ED84"/>
    <w:rsid w:val="75EA8A6E"/>
    <w:rsid w:val="761E84DF"/>
    <w:rsid w:val="763EB1DA"/>
    <w:rsid w:val="76E64DA6"/>
    <w:rsid w:val="77053D99"/>
    <w:rsid w:val="7750C6BD"/>
    <w:rsid w:val="77546ECB"/>
    <w:rsid w:val="781AD001"/>
    <w:rsid w:val="79055554"/>
    <w:rsid w:val="7921E10C"/>
    <w:rsid w:val="7949D0AC"/>
    <w:rsid w:val="798AE8DF"/>
    <w:rsid w:val="798FBA13"/>
    <w:rsid w:val="79B224A4"/>
    <w:rsid w:val="79CB973B"/>
    <w:rsid w:val="7A25BA6E"/>
    <w:rsid w:val="7A5FFAE3"/>
    <w:rsid w:val="7A67FAE8"/>
    <w:rsid w:val="7AA3524B"/>
    <w:rsid w:val="7AE4281E"/>
    <w:rsid w:val="7AF8BF8C"/>
    <w:rsid w:val="7B05F87E"/>
    <w:rsid w:val="7B116117"/>
    <w:rsid w:val="7B578625"/>
    <w:rsid w:val="7B8F58A4"/>
    <w:rsid w:val="7BBF2012"/>
    <w:rsid w:val="7C0645BF"/>
    <w:rsid w:val="7C3F94A6"/>
    <w:rsid w:val="7C4887C1"/>
    <w:rsid w:val="7CA4D8E5"/>
    <w:rsid w:val="7D0F48E8"/>
    <w:rsid w:val="7D55992B"/>
    <w:rsid w:val="7D987C52"/>
    <w:rsid w:val="7DCFF598"/>
    <w:rsid w:val="7E5186AC"/>
    <w:rsid w:val="7E6683BB"/>
    <w:rsid w:val="7E807659"/>
    <w:rsid w:val="7E8429ED"/>
    <w:rsid w:val="7EF65B36"/>
    <w:rsid w:val="7F05AA53"/>
    <w:rsid w:val="7F30B355"/>
    <w:rsid w:val="7FA98848"/>
    <w:rsid w:val="7FBE856D"/>
    <w:rsid w:val="7FC8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55D"/>
  <w15:chartTrackingRefBased/>
  <w15:docId w15:val="{17B28E5F-D350-460E-BA3C-995DC411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4D37911B"/>
    <w:pPr>
      <w:outlineLvl w:val="0"/>
    </w:pPr>
    <w:rPr>
      <w:b/>
      <w:bCs/>
      <w:u w:val="single"/>
    </w:rPr>
  </w:style>
  <w:style w:type="paragraph" w:styleId="Heading2">
    <w:name w:val="heading 2"/>
    <w:basedOn w:val="Normal"/>
    <w:next w:val="Normal"/>
    <w:link w:val="Heading2Char"/>
    <w:uiPriority w:val="9"/>
    <w:unhideWhenUsed/>
    <w:qFormat/>
    <w:rsid w:val="336BC162"/>
    <w:pPr>
      <w:outlineLvl w:val="1"/>
    </w:pPr>
    <w:rPr>
      <w:b/>
      <w:bCs/>
      <w:i/>
      <w:iCs/>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4D37911B"/>
    <w:rPr>
      <w:rFonts w:asciiTheme="minorHAnsi" w:eastAsiaTheme="minorEastAsia" w:hAnsiTheme="minorHAnsi" w:cstheme="minorBidi"/>
      <w:b/>
      <w:bCs/>
      <w:i w:val="0"/>
      <w:iCs w:val="0"/>
      <w:sz w:val="24"/>
      <w:szCs w:val="24"/>
      <w:u w:val="single"/>
    </w:rPr>
  </w:style>
  <w:style w:type="character" w:customStyle="1" w:styleId="Heading2Char">
    <w:name w:val="Heading 2 Char"/>
    <w:link w:val="Heading2"/>
    <w:uiPriority w:val="9"/>
    <w:rsid w:val="336BC162"/>
    <w:rPr>
      <w:rFonts w:asciiTheme="minorHAnsi" w:eastAsiaTheme="minorEastAsia" w:hAnsiTheme="minorHAnsi" w:cstheme="minorBidi"/>
      <w:b/>
      <w:bCs/>
      <w:i/>
      <w:iCs/>
      <w:sz w:val="24"/>
      <w:szCs w:val="24"/>
      <w:u w:val="none"/>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link w:val="Title"/>
    <w:uiPriority w:val="10"/>
    <w:rsid w:val="424D9DAA"/>
    <w:rPr>
      <w:rFonts w:asciiTheme="minorHAnsi" w:eastAsiaTheme="minorEastAsia" w:hAnsiTheme="minorHAnsi" w:cstheme="minorBidi"/>
      <w:b/>
      <w:bCs/>
      <w:sz w:val="48"/>
      <w:szCs w:val="48"/>
      <w:u w:val="single"/>
    </w:rPr>
  </w:style>
  <w:style w:type="paragraph" w:styleId="Title">
    <w:name w:val="Title"/>
    <w:basedOn w:val="Normal"/>
    <w:next w:val="Normal"/>
    <w:link w:val="TitleChar"/>
    <w:uiPriority w:val="10"/>
    <w:qFormat/>
    <w:rsid w:val="424D9DAA"/>
    <w:pPr>
      <w:jc w:val="center"/>
    </w:pPr>
    <w:rPr>
      <w:b/>
      <w:bCs/>
      <w:sz w:val="48"/>
      <w:szCs w:val="48"/>
      <w:u w:val="single"/>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56FA7DF"/>
    <w:pPr>
      <w:ind w:left="720"/>
      <w:contextualSpacing/>
    </w:pPr>
  </w:style>
  <w:style w:type="character" w:styleId="Hyperlink">
    <w:name w:val="Hyperlink"/>
    <w:basedOn w:val="DefaultParagraphFont"/>
    <w:uiPriority w:val="99"/>
    <w:unhideWhenUsed/>
    <w:rsid w:val="64F0A789"/>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4D37911B"/>
    <w:pPr>
      <w:jc w:val="center"/>
    </w:pPr>
    <w:rPr>
      <w:i/>
      <w:iCs/>
    </w:rPr>
  </w:style>
  <w:style w:type="character" w:styleId="CommentReference">
    <w:name w:val="annotation reference"/>
    <w:basedOn w:val="DefaultParagraphFont"/>
    <w:uiPriority w:val="99"/>
    <w:semiHidden/>
    <w:unhideWhenUsed/>
    <w:rsid w:val="00355189"/>
    <w:rPr>
      <w:sz w:val="16"/>
      <w:szCs w:val="16"/>
    </w:rPr>
  </w:style>
  <w:style w:type="paragraph" w:styleId="CommentText">
    <w:name w:val="annotation text"/>
    <w:basedOn w:val="Normal"/>
    <w:link w:val="CommentTextChar"/>
    <w:uiPriority w:val="99"/>
    <w:semiHidden/>
    <w:unhideWhenUsed/>
    <w:rsid w:val="00355189"/>
    <w:pPr>
      <w:spacing w:line="240" w:lineRule="auto"/>
    </w:pPr>
    <w:rPr>
      <w:sz w:val="20"/>
      <w:szCs w:val="20"/>
    </w:rPr>
  </w:style>
  <w:style w:type="character" w:customStyle="1" w:styleId="CommentTextChar">
    <w:name w:val="Comment Text Char"/>
    <w:basedOn w:val="DefaultParagraphFont"/>
    <w:link w:val="CommentText"/>
    <w:uiPriority w:val="99"/>
    <w:semiHidden/>
    <w:rsid w:val="00355189"/>
    <w:rPr>
      <w:sz w:val="20"/>
      <w:szCs w:val="20"/>
    </w:rPr>
  </w:style>
  <w:style w:type="paragraph" w:styleId="CommentSubject">
    <w:name w:val="annotation subject"/>
    <w:basedOn w:val="CommentText"/>
    <w:next w:val="CommentText"/>
    <w:link w:val="CommentSubjectChar"/>
    <w:uiPriority w:val="99"/>
    <w:semiHidden/>
    <w:unhideWhenUsed/>
    <w:rsid w:val="00355189"/>
    <w:rPr>
      <w:b/>
      <w:bCs/>
    </w:rPr>
  </w:style>
  <w:style w:type="character" w:customStyle="1" w:styleId="CommentSubjectChar">
    <w:name w:val="Comment Subject Char"/>
    <w:basedOn w:val="CommentTextChar"/>
    <w:link w:val="CommentSubject"/>
    <w:uiPriority w:val="99"/>
    <w:semiHidden/>
    <w:rsid w:val="00355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ebbook.nist.gov/chemistry/" TargetMode="External"/><Relationship Id="rId3" Type="http://schemas.openxmlformats.org/officeDocument/2006/relationships/customXml" Target="../customXml/item3.xml"/><Relationship Id="rId21" Type="http://schemas.openxmlformats.org/officeDocument/2006/relationships/theme" Target="theme/theme1.xml"/><Relationship Id="R4584110046a6449c" Type="http://schemas.microsoft.com/office/2020/10/relationships/intelligence" Target="intelligence2.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iea.org/reports/world-energy-outlook-2021" TargetMode="External"/><Relationship Id="rId2" Type="http://schemas.openxmlformats.org/officeDocument/2006/relationships/customXml" Target="../customXml/item2.xml"/><Relationship Id="rId16" Type="http://schemas.openxmlformats.org/officeDocument/2006/relationships/hyperlink" Target="https://research.iaun.ac.ir/pd/ekianpour/pdfs/UploadFile_8224.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tech.chemistrydocs.com/Books/Physical/Atkins-Physical-Chemistry-9e-by-Peter-Atkins-and-Julio-de-Paula.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7a4b22d-5f13-4c3b-ad46-fa03a0535d1d">
      <Terms xmlns="http://schemas.microsoft.com/office/infopath/2007/PartnerControls"/>
    </lcf76f155ced4ddcb4097134ff3c332f>
    <TaxCatchAll xmlns="e089fcb5-de9e-443c-b8e1-71a8cef078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4F5A-7292-4045-80CB-AFD975246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4b22d-5f13-4c3b-ad46-fa03a0535d1d"/>
    <ds:schemaRef ds:uri="e089fcb5-de9e-443c-b8e1-71a8cef07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E45665-39F2-447A-AF4F-E3489FEB4C12}">
  <ds:schemaRefs>
    <ds:schemaRef ds:uri="http://schemas.microsoft.com/office/2006/metadata/properties"/>
    <ds:schemaRef ds:uri="http://schemas.microsoft.com/office/infopath/2007/PartnerControls"/>
    <ds:schemaRef ds:uri="f7a4b22d-5f13-4c3b-ad46-fa03a0535d1d"/>
    <ds:schemaRef ds:uri="e089fcb5-de9e-443c-b8e1-71a8cef0785c"/>
  </ds:schemaRefs>
</ds:datastoreItem>
</file>

<file path=customXml/itemProps3.xml><?xml version="1.0" encoding="utf-8"?>
<ds:datastoreItem xmlns:ds="http://schemas.openxmlformats.org/officeDocument/2006/customXml" ds:itemID="{B3D2EA41-14A2-40C9-9BB2-9CA3F8326344}">
  <ds:schemaRefs>
    <ds:schemaRef ds:uri="http://schemas.microsoft.com/sharepoint/v3/contenttype/forms"/>
  </ds:schemaRefs>
</ds:datastoreItem>
</file>

<file path=customXml/itemProps4.xml><?xml version="1.0" encoding="utf-8"?>
<ds:datastoreItem xmlns:ds="http://schemas.openxmlformats.org/officeDocument/2006/customXml" ds:itemID="{850357C1-84F7-4C48-A4EE-B38BB233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Eden (etome3)</dc:creator>
  <cp:keywords/>
  <dc:description/>
  <cp:lastModifiedBy>SHEPHERD, Cara (cjmck3)</cp:lastModifiedBy>
  <cp:revision>13</cp:revision>
  <dcterms:created xsi:type="dcterms:W3CDTF">2025-03-03T06:38:00Z</dcterms:created>
  <dcterms:modified xsi:type="dcterms:W3CDTF">2025-04-18T01:52:00Z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y fmtid="{D5CDD505-2E9C-101B-9397-08002B2CF9AE}" pid="3" name="MediaServiceImageTags">
    <vt:lpwstr/>
  </property>
</Properties>
</file>