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D1116"/>
          <w:sz w:val="48"/>
        </w:rPr>
        <w:t>UPS PensionsGo Role Manual: Auditor</w:t>
      </w:r>
    </w:p>
    <w:p>
      <w:pPr>
        <w:jc w:val="center"/>
      </w:pPr>
      <w:r>
        <w:rPr>
          <w:i/>
          <w:sz w:val="28"/>
        </w:rPr>
        <w:t>UPS PensionsGo</w:t>
      </w:r>
    </w:p>
    <w:p>
      <w:pPr>
        <w:jc w:val="center"/>
      </w:pPr>
      <w:r>
        <w:t>Current-state operational manual for the Auditor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Auditors,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Document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Repository 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title</w:t>
            </w:r>
          </w:p>
        </w:tc>
        <w:tc>
          <w:tcPr>
            <w:tcW w:type="dxa" w:w="4896"/>
          </w:tcPr>
          <w:p>
            <w:r>
              <w:t>UPS PensionsGo Role Manual: Auditor</w:t>
            </w:r>
          </w:p>
        </w:tc>
      </w:tr>
      <w:tr>
        <w:tc>
          <w:tcPr>
            <w:tcW w:type="dxa" w:w="4896"/>
          </w:tcPr>
          <w:p>
            <w:r>
              <w:t>Source markdown</w:t>
            </w:r>
          </w:p>
        </w:tc>
        <w:tc>
          <w:tcPr>
            <w:tcW w:type="dxa" w:w="4896"/>
          </w:tcPr>
          <w:p>
            <w:r>
              <w:t>PensionApp_Role_Manual_Auditor.md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Auditors,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Controlled Operational Copy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Current Repository Snapshot</w:t>
            </w:r>
          </w:p>
        </w:tc>
      </w:tr>
      <w:tr>
        <w:tc>
          <w:tcPr>
            <w:tcW w:type="dxa" w:w="4896"/>
          </w:tcPr>
          <w:p>
            <w:r>
              <w:t>Snapshot date</w:t>
            </w:r>
          </w:p>
        </w:tc>
        <w:tc>
          <w:tcPr>
            <w:tcW w:type="dxa" w:w="4896"/>
          </w:tcPr>
          <w:p>
            <w:r>
              <w:t>2026-05-28</w:t>
            </w:r>
          </w:p>
        </w:tc>
      </w:tr>
      <w:tr>
        <w:tc>
          <w:tcPr>
            <w:tcW w:type="dxa" w:w="4896"/>
          </w:tcPr>
          <w:p>
            <w:r>
              <w:t>Prepared by</w:t>
            </w:r>
          </w:p>
        </w:tc>
        <w:tc>
          <w:tcPr>
            <w:tcW w:type="dxa" w:w="4896"/>
          </w:tcPr>
          <w:p>
            <w:r>
              <w:t>OpenAI Codex</w:t>
            </w:r>
          </w:p>
        </w:tc>
      </w:tr>
      <w:tr>
        <w:tc>
          <w:tcPr>
            <w:tcW w:type="dxa" w:w="4896"/>
          </w:tcPr>
          <w:p>
            <w:r>
              <w:t>Document owner</w:t>
            </w:r>
          </w:p>
        </w:tc>
        <w:tc>
          <w:tcPr>
            <w:tcW w:type="dxa" w:w="4896"/>
          </w:tcPr>
          <w:p>
            <w:r>
              <w:t>Operations and User Support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Version</w:t>
            </w:r>
          </w:p>
        </w:tc>
        <w:tc>
          <w:tcPr>
            <w:tcW w:type="dxa" w:w="1958"/>
          </w:tcPr>
          <w:p>
            <w:r>
              <w:t>Date</w:t>
            </w:r>
          </w:p>
        </w:tc>
        <w:tc>
          <w:tcPr>
            <w:tcW w:type="dxa" w:w="1958"/>
          </w:tcPr>
          <w:p>
            <w:r>
              <w:t>Summary</w:t>
            </w:r>
          </w:p>
        </w:tc>
        <w:tc>
          <w:tcPr>
            <w:tcW w:type="dxa" w:w="1958"/>
          </w:tcPr>
          <w:p>
            <w:r>
              <w:t>Author</w:t>
            </w:r>
          </w:p>
        </w:tc>
        <w:tc>
          <w:tcPr>
            <w:tcW w:type="dxa" w:w="1958"/>
          </w:tcPr>
          <w:p>
            <w:r>
              <w:t>Approval Status</w:t>
            </w:r>
          </w:p>
        </w:tc>
      </w:tr>
      <w:tr>
        <w:tc>
          <w:tcPr>
            <w:tcW w:type="dxa" w:w="1958"/>
          </w:tcPr>
          <w:p>
            <w:r>
              <w:t>1.0</w:t>
            </w:r>
          </w:p>
        </w:tc>
        <w:tc>
          <w:tcPr>
            <w:tcW w:type="dxa" w:w="1958"/>
          </w:tcPr>
          <w:p>
            <w:r>
              <w:t>2026-05-28</w:t>
            </w:r>
          </w:p>
        </w:tc>
        <w:tc>
          <w:tcPr>
            <w:tcW w:type="dxa" w:w="1958"/>
          </w:tcPr>
          <w:p>
            <w:r>
              <w:t>Initial current-state role manual generated for the Auditor workflow profile.</w:t>
            </w:r>
          </w:p>
        </w:tc>
        <w:tc>
          <w:tcPr>
            <w:tcW w:type="dxa" w:w="1958"/>
          </w:tcPr>
          <w:p>
            <w:r>
              <w:t>OpenAI Codex</w:t>
            </w:r>
          </w:p>
        </w:tc>
        <w:tc>
          <w:tcPr>
            <w:tcW w:type="dxa" w:w="195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Approval and Sign-Off</w:t>
      </w:r>
    </w:p>
    <w:p>
      <w:r>
        <w:t>Use this page during review and handover to record document acceptance, ownership, and the latest approval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448"/>
          </w:tcPr>
          <w:p>
            <w:r>
              <w:t>Name / Team</w:t>
            </w:r>
          </w:p>
        </w:tc>
        <w:tc>
          <w:tcPr>
            <w:tcW w:type="dxa" w:w="2448"/>
          </w:tcPr>
          <w:p>
            <w:r>
              <w:t>Signature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</w:tr>
      <w:tr>
        <w:tc>
          <w:tcPr>
            <w:tcW w:type="dxa" w:w="2448"/>
          </w:tcPr>
          <w:p>
            <w:r>
              <w:t>Prepared by</w:t>
            </w:r>
          </w:p>
        </w:tc>
        <w:tc>
          <w:tcPr>
            <w:tcW w:type="dxa" w:w="2448"/>
          </w:tcPr>
          <w:p>
            <w:r>
              <w:t>Operations Documentation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Reviewed by</w:t>
            </w:r>
          </w:p>
        </w:tc>
        <w:tc>
          <w:tcPr>
            <w:tcW w:type="dxa" w:w="2448"/>
          </w:tcPr>
          <w:p>
            <w:r>
              <w:t>Role Supervisor / Pensions Office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Approved by</w:t>
            </w:r>
          </w:p>
        </w:tc>
        <w:tc>
          <w:tcPr>
            <w:tcW w:type="dxa" w:w="2448"/>
          </w:tcPr>
          <w:p>
            <w:r>
              <w:t>Head of Pensions / Project Sponsor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 xml:space="preserve">Note: </w:t>
      </w:r>
      <w:r>
        <w:t>If the contents do not populate immediately, open the document in Word and update fields.</w:t>
      </w:r>
    </w:p>
    <w:p>
      <w: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t>System: UPS PensionsGo Role Key: auditor Role Label: Auditor Repository Snapshot Date: 2026-05-28 Generated Deliverables: docs/role_manuals/PensionApp_Role_Manual_Auditor.docx, docs/role_manuals/PensionApp_Role_Manual_Auditor.pdf</w:t>
      </w:r>
    </w:p>
    <w:p>
      <w:pPr>
        <w:pStyle w:val="Heading2"/>
      </w:pPr>
      <w:r>
        <w:t>Manual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Intended audience</w:t>
            </w:r>
          </w:p>
        </w:tc>
        <w:tc>
          <w:tcPr>
            <w:tcW w:type="dxa" w:w="4896"/>
          </w:tcPr>
          <w:p>
            <w:r>
              <w:t>Auditors, supervisors, trainers, and support teams</w:t>
            </w:r>
          </w:p>
        </w:tc>
      </w:tr>
      <w:tr>
        <w:tc>
          <w:tcPr>
            <w:tcW w:type="dxa" w:w="4896"/>
          </w:tcPr>
          <w:p>
            <w:r>
              <w:t>Current role purpose</w:t>
            </w:r>
          </w:p>
        </w:tc>
        <w:tc>
          <w:tcPr>
            <w:tcW w:type="dxa" w:w="4896"/>
          </w:tcPr>
          <w:p>
            <w:r>
              <w:t>Audit-stage review of assessed pension cases, evidence reconciliation, and readiness confirmation before approval.</w:t>
            </w:r>
          </w:p>
        </w:tc>
      </w:tr>
      <w:tr>
        <w:tc>
          <w:tcPr>
            <w:tcW w:type="dxa" w:w="4896"/>
          </w:tcPr>
          <w:p>
            <w:r>
              <w:t>Default landing page</w:t>
            </w:r>
          </w:p>
        </w:tc>
        <w:tc>
          <w:tcPr>
            <w:tcW w:type="dxa" w:w="4896"/>
          </w:tcPr>
          <w:p>
            <w:r>
              <w:t>My Tasks</w:t>
            </w:r>
          </w:p>
        </w:tc>
      </w:tr>
      <w:tr>
        <w:tc>
          <w:tcPr>
            <w:tcW w:type="dxa" w:w="4896"/>
          </w:tcPr>
          <w:p>
            <w:r>
              <w:t>Role type</w:t>
            </w:r>
          </w:p>
        </w:tc>
        <w:tc>
          <w:tcPr>
            <w:tcW w:type="dxa" w:w="4896"/>
          </w:tcPr>
          <w:p>
            <w:r>
              <w:t>Audit and quality-assurance role</w:t>
            </w:r>
          </w:p>
        </w:tc>
      </w:tr>
      <w:tr>
        <w:tc>
          <w:tcPr>
            <w:tcW w:type="dxa" w:w="4896"/>
          </w:tcPr>
          <w:p>
            <w:r>
              <w:t>Current access note</w:t>
            </w:r>
          </w:p>
        </w:tc>
        <w:tc>
          <w:tcPr>
            <w:tcW w:type="dxa" w:w="4896"/>
          </w:tcPr>
          <w:p>
            <w:r>
              <w:t>This role is review-oriented. It should verify what earlier roles did, not repeat or replace every prior action unless an exception must be formally returned.</w:t>
            </w:r>
          </w:p>
        </w:tc>
      </w:tr>
    </w:tbl>
    <w:p>
      <w:pPr>
        <w:pStyle w:val="Heading1"/>
      </w:pPr>
      <w:r>
        <w:t>1. Purpose and Role Position</w:t>
      </w:r>
    </w:p>
    <w:p>
      <w:r>
        <w:t>The Auditor role is responsible for checking whether the assessed case is coherent, evidence-backed, and ready for approval. Auditors should look for control failures, unsupported conclusions, missing documents, and inconsistencies across workflow steps. The audit stage adds assurance. A good audit outcome should tell the approver that the case is not only complete, but also understandable and defensible from the available evidence and system trail.</w:t>
      </w:r>
    </w:p>
    <w:p>
      <w:pPr>
        <w:pStyle w:val="Heading1"/>
      </w:pPr>
      <w:r>
        <w:t>2. Access Scope</w:t>
      </w:r>
    </w:p>
    <w:p>
      <w:pPr>
        <w:pStyle w:val="Heading2"/>
      </w:pPr>
      <w:r>
        <w:t>2.1 Primary Working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How this role uses it</w:t>
            </w:r>
          </w:p>
        </w:tc>
      </w:tr>
      <w:tr>
        <w:tc>
          <w:tcPr>
            <w:tcW w:type="dxa" w:w="4896"/>
          </w:tcPr>
          <w:p>
            <w:r>
              <w:t>My Tasks</w:t>
            </w:r>
          </w:p>
        </w:tc>
        <w:tc>
          <w:tcPr>
            <w:tcW w:type="dxa" w:w="4896"/>
          </w:tcPr>
          <w:p>
            <w:r>
              <w:t>Work assigned items, add comments, update task status, and progress workflow handoffs.</w:t>
            </w:r>
          </w:p>
        </w:tc>
      </w:tr>
      <w:tr>
        <w:tc>
          <w:tcPr>
            <w:tcW w:type="dxa" w:w="4896"/>
          </w:tcPr>
          <w:p>
            <w:r>
              <w:t>Pension File Registry</w:t>
            </w:r>
          </w:p>
        </w:tc>
        <w:tc>
          <w:tcPr>
            <w:tcW w:type="dxa" w:w="4896"/>
          </w:tcPr>
          <w:p>
            <w:r>
              <w:t>Search pension files, inspect linked records, open registry details, and use life-certificate or delete-request tools where authorized.</w:t>
            </w:r>
          </w:p>
        </w:tc>
      </w:tr>
      <w:tr>
        <w:tc>
          <w:tcPr>
            <w:tcW w:type="dxa" w:w="4896"/>
          </w:tcPr>
          <w:p>
            <w:r>
              <w:t>Claims</w:t>
            </w:r>
          </w:p>
        </w:tc>
        <w:tc>
          <w:tcPr>
            <w:tcW w:type="dxa" w:w="4896"/>
          </w:tcPr>
          <w:p>
            <w:r>
              <w:t>Review arrears exposure, payments, accountability state, suspensions, and related analytics.</w:t>
            </w:r>
          </w:p>
        </w:tc>
      </w:tr>
      <w:tr>
        <w:tc>
          <w:tcPr>
            <w:tcW w:type="dxa" w:w="4896"/>
          </w:tcPr>
          <w:p>
            <w:r>
              <w:t>File Tracking</w:t>
            </w:r>
          </w:p>
        </w:tc>
        <w:tc>
          <w:tcPr>
            <w:tcW w:type="dxa" w:w="4896"/>
          </w:tcPr>
          <w:p>
            <w:r>
              <w:t>Track file custody, movement out of registry, receiving office, and return status.</w:t>
            </w:r>
          </w:p>
        </w:tc>
      </w:tr>
      <w:tr>
        <w:tc>
          <w:tcPr>
            <w:tcW w:type="dxa" w:w="4896"/>
          </w:tcPr>
          <w:p>
            <w:r>
              <w:t>Application Status</w:t>
            </w:r>
          </w:p>
        </w:tc>
        <w:tc>
          <w:tcPr>
            <w:tcW w:type="dxa" w:w="4896"/>
          </w:tcPr>
          <w:p>
            <w:r>
              <w:t>Review where a case sits in the workflow and confirm current progress state.</w:t>
            </w:r>
          </w:p>
        </w:tc>
      </w:tr>
      <w:tr>
        <w:tc>
          <w:tcPr>
            <w:tcW w:type="dxa" w:w="4896"/>
          </w:tcPr>
          <w:p>
            <w:r>
              <w:t>Dashboard</w:t>
            </w:r>
          </w:p>
        </w:tc>
        <w:tc>
          <w:tcPr>
            <w:tcW w:type="dxa" w:w="4896"/>
          </w:tcPr>
          <w:p>
            <w:r>
              <w:t>Review live workload, analytics, workflow pressure, compliance signals, and governed management views.</w:t>
            </w:r>
          </w:p>
        </w:tc>
      </w:tr>
      <w:tr>
        <w:tc>
          <w:tcPr>
            <w:tcW w:type="dxa" w:w="4896"/>
          </w:tcPr>
          <w:p>
            <w:r>
              <w:t>Messages</w:t>
            </w:r>
          </w:p>
        </w:tc>
        <w:tc>
          <w:tcPr>
            <w:tcW w:type="dxa" w:w="4896"/>
          </w:tcPr>
          <w:p>
            <w:r>
              <w:t>Exchange controlled operational messages, updates, and clarifications with other users.</w:t>
            </w:r>
          </w:p>
        </w:tc>
      </w:tr>
    </w:tbl>
    <w:p>
      <w:pPr>
        <w:pStyle w:val="Heading2"/>
      </w:pPr>
      <w:r>
        <w:t>2.2 Support and Reference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Menu / Workspace</w:t>
            </w:r>
          </w:p>
        </w:tc>
        <w:tc>
          <w:tcPr>
            <w:tcW w:type="dxa" w:w="4896"/>
          </w:tcPr>
          <w:p>
            <w:r>
              <w:t>Typical purpose</w:t>
            </w:r>
          </w:p>
        </w:tc>
      </w:tr>
      <w:tr>
        <w:tc>
          <w:tcPr>
            <w:tcW w:type="dxa" w:w="4896"/>
          </w:tcPr>
          <w:p>
            <w:r>
              <w:t>Benefits Calculator</w:t>
            </w:r>
          </w:p>
        </w:tc>
        <w:tc>
          <w:tcPr>
            <w:tcW w:type="dxa" w:w="4896"/>
          </w:tcPr>
          <w:p>
            <w:r>
              <w:t>Estimate service-based pension outputs using the configured retirement formulas.</w:t>
            </w:r>
          </w:p>
        </w:tc>
      </w:tr>
      <w:tr>
        <w:tc>
          <w:tcPr>
            <w:tcW w:type="dxa" w:w="4896"/>
          </w:tcPr>
          <w:p>
            <w:r>
              <w:t>Document Viewer</w:t>
            </w:r>
          </w:p>
        </w:tc>
        <w:tc>
          <w:tcPr>
            <w:tcW w:type="dxa" w:w="4896"/>
          </w:tcPr>
          <w:p>
            <w:r>
              <w:t>Open linked documents in a controlled preview workspace.</w:t>
            </w:r>
          </w:p>
        </w:tc>
      </w:tr>
      <w:tr>
        <w:tc>
          <w:tcPr>
            <w:tcW w:type="dxa" w:w="4896"/>
          </w:tcPr>
          <w:p>
            <w:r>
              <w:t>Podcast</w:t>
            </w:r>
          </w:p>
        </w:tc>
        <w:tc>
          <w:tcPr>
            <w:tcW w:type="dxa" w:w="4896"/>
          </w:tcPr>
          <w:p>
            <w:r>
              <w:t>Watch guided pension information videos and official explanatory content.</w:t>
            </w:r>
          </w:p>
        </w:tc>
      </w:tr>
      <w:tr>
        <w:tc>
          <w:tcPr>
            <w:tcW w:type="dxa" w:w="4896"/>
          </w:tcPr>
          <w:p>
            <w:r>
              <w:t>My Profile</w:t>
            </w:r>
          </w:p>
        </w:tc>
        <w:tc>
          <w:tcPr>
            <w:tcW w:type="dxa" w:w="4896"/>
          </w:tcPr>
          <w:p>
            <w:r>
              <w:t>Review personal account information, role label, and current account details.</w:t>
            </w:r>
          </w:p>
        </w:tc>
      </w:tr>
      <w:tr>
        <w:tc>
          <w:tcPr>
            <w:tcW w:type="dxa" w:w="4896"/>
          </w:tcPr>
          <w:p>
            <w:r>
              <w:t>Edit Profile</w:t>
            </w:r>
          </w:p>
        </w:tc>
        <w:tc>
          <w:tcPr>
            <w:tcW w:type="dxa" w:w="4896"/>
          </w:tcPr>
          <w:p>
            <w:r>
              <w:t>Maintain permitted personal account fields and credentials.</w:t>
            </w:r>
          </w:p>
        </w:tc>
      </w:tr>
    </w:tbl>
    <w:p>
      <w:pPr>
        <w:pStyle w:val="Heading2"/>
      </w:pPr>
      <w:r>
        <w:t>2.3 Default Governed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Permission / Control</w:t>
            </w:r>
          </w:p>
        </w:tc>
        <w:tc>
          <w:tcPr>
            <w:tcW w:type="dxa" w:w="3264"/>
          </w:tcPr>
          <w:p>
            <w:r>
              <w:t>Capability</w:t>
            </w:r>
          </w:p>
        </w:tc>
        <w:tc>
          <w:tcPr>
            <w:tcW w:type="dxa" w:w="3264"/>
          </w:tcPr>
          <w:p>
            <w:r>
              <w:t>Operational meaning</w:t>
            </w:r>
          </w:p>
        </w:tc>
      </w:tr>
      <w:tr>
        <w:tc>
          <w:tcPr>
            <w:tcW w:type="dxa" w:w="3264"/>
          </w:tcPr>
          <w:p>
            <w:r>
              <w:t>registry.benefits.monthly_salary.edit</w:t>
            </w:r>
          </w:p>
        </w:tc>
        <w:tc>
          <w:tcPr>
            <w:tcW w:type="dxa" w:w="3264"/>
          </w:tcPr>
          <w:p>
            <w:r>
              <w:t>Maintain monthly salary input</w:t>
            </w:r>
          </w:p>
        </w:tc>
        <w:tc>
          <w:tcPr>
            <w:tcW w:type="dxa" w:w="3264"/>
          </w:tcPr>
          <w:p>
            <w:r>
              <w:t>Update the salary input that feeds current benefits calculations where the edit control is exposed.</w:t>
            </w:r>
          </w:p>
        </w:tc>
      </w:tr>
      <w:tr>
        <w:tc>
          <w:tcPr>
            <w:tcW w:type="dxa" w:w="3264"/>
          </w:tcPr>
          <w:p>
            <w:r>
              <w:t>file_movement.record</w:t>
            </w:r>
          </w:p>
        </w:tc>
        <w:tc>
          <w:tcPr>
            <w:tcW w:type="dxa" w:w="3264"/>
          </w:tcPr>
          <w:p>
            <w:r>
              <w:t>Record file movement</w:t>
            </w:r>
          </w:p>
        </w:tc>
        <w:tc>
          <w:tcPr>
            <w:tcW w:type="dxa" w:w="3264"/>
          </w:tcPr>
          <w:p>
            <w:r>
              <w:t>Log file movement out of registry custody with destination, reason, and dates.</w:t>
            </w:r>
          </w:p>
        </w:tc>
      </w:tr>
      <w:tr>
        <w:tc>
          <w:tcPr>
            <w:tcW w:type="dxa" w:w="3264"/>
          </w:tcPr>
          <w:p>
            <w:r>
              <w:t>claims.arrears.view</w:t>
            </w:r>
          </w:p>
        </w:tc>
        <w:tc>
          <w:tcPr>
            <w:tcW w:type="dxa" w:w="3264"/>
          </w:tcPr>
          <w:p>
            <w:r>
              <w:t>View claims and arrears</w:t>
            </w:r>
          </w:p>
        </w:tc>
        <w:tc>
          <w:tcPr>
            <w:tcW w:type="dxa" w:w="3264"/>
          </w:tcPr>
          <w:p>
            <w:r>
              <w:t>Use the claims workspace for visibility, analytics, exports, and case-level review.</w:t>
            </w:r>
          </w:p>
        </w:tc>
      </w:tr>
    </w:tbl>
    <w:p>
      <w:pPr>
        <w:pStyle w:val="Heading2"/>
      </w:pPr>
      <w:r>
        <w:t>2.4 Work Normally Outside This Role</w:t>
      </w:r>
    </w:p>
    <w:p>
      <w:pPr>
        <w:pStyle w:val="ListBullet"/>
      </w:pPr>
      <w:r>
        <w:t>Audit is not the stage for normal claims posting or broad registry correction work.</w:t>
      </w:r>
    </w:p>
    <w:p>
      <w:pPr>
        <w:pStyle w:val="ListBullet"/>
      </w:pPr>
      <w:r>
        <w:t>Delete queues, budget maintenance, and payroll control are not default auditor tasks.</w:t>
      </w:r>
    </w:p>
    <w:p>
      <w:pPr>
        <w:pStyle w:val="ListBullet"/>
      </w:pPr>
      <w:r>
        <w:t>Final approval remains outside the audit role.</w:t>
      </w:r>
    </w:p>
    <w:p>
      <w:pPr>
        <w:pStyle w:val="Heading1"/>
      </w:pPr>
      <w:r>
        <w:t>3. Standard Daily Operating Procedure</w:t>
      </w:r>
    </w:p>
    <w:p>
      <w:pPr>
        <w:pStyle w:val="ListNumber"/>
      </w:pPr>
      <w:r>
        <w:t>Open the assigned audit task and confirm the expected review scope.</w:t>
      </w:r>
    </w:p>
    <w:p>
      <w:pPr>
        <w:pStyle w:val="ListNumber"/>
      </w:pPr>
      <w:r>
        <w:t>Review the assessment notes, registry record, supporting documents, and claims context before deciding anything.</w:t>
      </w:r>
    </w:p>
    <w:p>
      <w:pPr>
        <w:pStyle w:val="ListNumber"/>
      </w:pPr>
      <w:r>
        <w:t>Check whether the case can be defended from the recorded evidence and workflow history.</w:t>
      </w:r>
    </w:p>
    <w:p>
      <w:pPr>
        <w:pStyle w:val="ListNumber"/>
      </w:pPr>
      <w:r>
        <w:t>Return the case with precise reasons if material gaps or contradictions remain.</w:t>
      </w:r>
    </w:p>
    <w:p>
      <w:pPr>
        <w:pStyle w:val="ListNumber"/>
      </w:pPr>
      <w:r>
        <w:t>Advance the case only when the audit trail and evidence package support it.</w:t>
      </w:r>
    </w:p>
    <w:p>
      <w:pPr>
        <w:pStyle w:val="Heading1"/>
      </w:pPr>
      <w:r>
        <w:t>4. Module Guidance</w:t>
      </w:r>
    </w:p>
    <w:p>
      <w:pPr>
        <w:pStyle w:val="Heading2"/>
      </w:pPr>
      <w:r>
        <w:t>4.1 Audit Task Review</w:t>
      </w:r>
    </w:p>
    <w:p>
      <w:r>
        <w:t>Audit work begins with the assigned task because the task history shows what previous roles believed they completed.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Read the task history and prior role comments before reviewing source records.</w:t>
      </w:r>
    </w:p>
    <w:p>
      <w:pPr>
        <w:pStyle w:val="ListNumber"/>
      </w:pPr>
      <w:r>
        <w:t>Identify the key control points that should have been satisfied by earlier stages.</w:t>
      </w:r>
    </w:p>
    <w:p>
      <w:pPr>
        <w:pStyle w:val="ListNumber"/>
      </w:pPr>
      <w:r>
        <w:t>Use the registry and document viewer to verify that the evidence aligns with the assessment narrative.</w:t>
      </w:r>
    </w:p>
    <w:p>
      <w:pPr>
        <w:pStyle w:val="ListNumber"/>
      </w:pPr>
      <w:r>
        <w:t>Record exceptions clearly so the prior role can correct them without guesswork.</w:t>
      </w:r>
    </w:p>
    <w:p>
      <w:pPr>
        <w:pStyle w:val="ListNumber"/>
      </w:pPr>
      <w:r>
        <w:t>Update task state only after the audit conclusion is justified.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Audit comments should identify specific gaps, not vague dissatisfaction.</w:t>
      </w:r>
    </w:p>
    <w:p>
      <w:pPr>
        <w:pStyle w:val="ListBullet"/>
      </w:pPr>
      <w:r>
        <w:t>Avoid reopening resolved issues unless the evidence truly contradicts the earlier outcome.</w:t>
      </w:r>
    </w:p>
    <w:p>
      <w:pPr>
        <w:pStyle w:val="ListBullet"/>
      </w:pPr>
      <w:r>
        <w:t>Keep the distinction between review and rework clear.</w:t>
      </w:r>
    </w:p>
    <w:p>
      <w:pPr>
        <w:pStyle w:val="Heading2"/>
      </w:pPr>
      <w:r>
        <w:t>4.2 Evidence and Calculation Assurance</w:t>
      </w:r>
    </w:p>
    <w:p>
      <w:r>
        <w:t>Auditors are expected to test coherence across inputs, outputs, and supporting evidence, even when they are not the primary calculation owners.</w:t>
      </w:r>
    </w:p>
    <w:p>
      <w:pPr>
        <w:pStyle w:val="Heading3"/>
      </w:pPr>
      <w:r>
        <w:t>Standard Steps</w:t>
      </w:r>
    </w:p>
    <w:p>
      <w:pPr>
        <w:pStyle w:val="ListNumber"/>
      </w:pPr>
      <w:r>
        <w:t>Review benefit-related fields and calculator context to confirm that the assessed outcome is plausible.</w:t>
      </w:r>
    </w:p>
    <w:p>
      <w:pPr>
        <w:pStyle w:val="ListNumber"/>
      </w:pPr>
      <w:r>
        <w:t>Where a simple supporting field is clearly wrong and the control is exposed, correct it through the governed UI or return it with explanation.</w:t>
      </w:r>
    </w:p>
    <w:p>
      <w:pPr>
        <w:pStyle w:val="ListNumber"/>
      </w:pPr>
      <w:r>
        <w:t>Check the document set, file location, and application status for consistency with the stage claimed by the task.</w:t>
      </w:r>
    </w:p>
    <w:p>
      <w:pPr>
        <w:pStyle w:val="ListNumber"/>
      </w:pPr>
      <w:r>
        <w:t>Use claims visibility to understand whether the case has financial implications that require extra caution.</w:t>
      </w:r>
    </w:p>
    <w:p>
      <w:pPr>
        <w:pStyle w:val="ListNumber"/>
      </w:pPr>
      <w:r>
        <w:t>Return the case if audit concerns remain material.</w:t>
      </w:r>
    </w:p>
    <w:p>
      <w:pPr>
        <w:pStyle w:val="Heading3"/>
      </w:pPr>
      <w:r>
        <w:t>Control Points</w:t>
      </w:r>
    </w:p>
    <w:p>
      <w:pPr>
        <w:pStyle w:val="ListBullet"/>
      </w:pPr>
      <w:r>
        <w:t>Do not convert an audit into undocumented re-engineering of the whole case.</w:t>
      </w:r>
    </w:p>
    <w:p>
      <w:pPr>
        <w:pStyle w:val="ListBullet"/>
      </w:pPr>
      <w:r>
        <w:t>Where edit controls are limited, return the case with a precise correction request.</w:t>
      </w:r>
    </w:p>
    <w:p>
      <w:pPr>
        <w:pStyle w:val="ListBullet"/>
      </w:pPr>
      <w:r>
        <w:t>Financial implications should be noted explicitly for the approver.</w:t>
      </w:r>
    </w:p>
    <w:p>
      <w:pPr>
        <w:pStyle w:val="Heading1"/>
      </w:pPr>
      <w:r>
        <w:t>5. Governance and Control Rules</w:t>
      </w:r>
    </w:p>
    <w:p>
      <w:pPr>
        <w:pStyle w:val="ListBullet"/>
      </w:pPr>
      <w:r>
        <w:t>Use audit to confirm control quality, not to hide uncertainty.</w:t>
      </w:r>
    </w:p>
    <w:p>
      <w:pPr>
        <w:pStyle w:val="ListBullet"/>
      </w:pPr>
      <w:r>
        <w:t>Return cases with exact actionable reasons.</w:t>
      </w:r>
    </w:p>
    <w:p>
      <w:pPr>
        <w:pStyle w:val="ListBullet"/>
      </w:pPr>
      <w:r>
        <w:t>Use evidence, registry detail, and workflow history together when judging readiness.</w:t>
      </w:r>
    </w:p>
    <w:p>
      <w:pPr>
        <w:pStyle w:val="ListBullet"/>
      </w:pPr>
      <w:r>
        <w:t>Record file movement accurately when custody changes during review.</w:t>
      </w:r>
    </w:p>
    <w:p>
      <w:pPr>
        <w:pStyle w:val="ListBullet"/>
      </w:pPr>
      <w:r>
        <w:t>Prepare approval-stage reviewers to understand both the strengths and the residual risks of the case.</w:t>
      </w:r>
    </w:p>
    <w:p>
      <w:pPr>
        <w:pStyle w:val="Heading1"/>
      </w:pPr>
      <w:r>
        <w:t>6. Handoffs and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Situation</w:t>
            </w:r>
          </w:p>
        </w:tc>
        <w:tc>
          <w:tcPr>
            <w:tcW w:type="dxa" w:w="4896"/>
          </w:tcPr>
          <w:p>
            <w:r>
              <w:t>Required next step</w:t>
            </w:r>
          </w:p>
        </w:tc>
      </w:tr>
      <w:tr>
        <w:tc>
          <w:tcPr>
            <w:tcW w:type="dxa" w:w="4896"/>
          </w:tcPr>
          <w:p>
            <w:r>
              <w:t>Case passes audit</w:t>
            </w:r>
          </w:p>
        </w:tc>
        <w:tc>
          <w:tcPr>
            <w:tcW w:type="dxa" w:w="4896"/>
          </w:tcPr>
          <w:p>
            <w:r>
              <w:t>Move it to the Approver with a clear note that audit checks were completed.</w:t>
            </w:r>
          </w:p>
        </w:tc>
      </w:tr>
      <w:tr>
        <w:tc>
          <w:tcPr>
            <w:tcW w:type="dxa" w:w="4896"/>
          </w:tcPr>
          <w:p>
            <w:r>
              <w:t>Assessment logic or source data is still weak</w:t>
            </w:r>
          </w:p>
        </w:tc>
        <w:tc>
          <w:tcPr>
            <w:tcW w:type="dxa" w:w="4896"/>
          </w:tcPr>
          <w:p>
            <w:r>
              <w:t>Return it to the Assessor or the earlier handling role with specific corrections.</w:t>
            </w:r>
          </w:p>
        </w:tc>
      </w:tr>
      <w:tr>
        <w:tc>
          <w:tcPr>
            <w:tcW w:type="dxa" w:w="4896"/>
          </w:tcPr>
          <w:p>
            <w:r>
              <w:t>Supervisory or policy judgment is needed</w:t>
            </w:r>
          </w:p>
        </w:tc>
        <w:tc>
          <w:tcPr>
            <w:tcW w:type="dxa" w:w="4896"/>
          </w:tcPr>
          <w:p>
            <w:r>
              <w:t>Escalate to OC/Pension-equivalent supervision.</w:t>
            </w:r>
          </w:p>
        </w:tc>
      </w:tr>
      <w:tr>
        <w:tc>
          <w:tcPr>
            <w:tcW w:type="dxa" w:w="4896"/>
          </w:tcPr>
          <w:p>
            <w:r>
              <w:t>Technical defect or access anomaly affects the review</w:t>
            </w:r>
          </w:p>
        </w:tc>
        <w:tc>
          <w:tcPr>
            <w:tcW w:type="dxa" w:w="4896"/>
          </w:tcPr>
          <w:p>
            <w:r>
              <w:t>Escalate to administrator or support with the exact failing scenario.</w:t>
            </w:r>
          </w:p>
        </w:tc>
      </w:tr>
    </w:tbl>
    <w:p>
      <w:pPr>
        <w:pStyle w:val="Heading1"/>
      </w:pPr>
      <w:r>
        <w:t>7. Common Issues and First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Issue</w:t>
            </w:r>
          </w:p>
        </w:tc>
        <w:tc>
          <w:tcPr>
            <w:tcW w:type="dxa" w:w="4896"/>
          </w:tcPr>
          <w:p>
            <w:r>
              <w:t>Recommended first response</w:t>
            </w:r>
          </w:p>
        </w:tc>
      </w:tr>
      <w:tr>
        <w:tc>
          <w:tcPr>
            <w:tcW w:type="dxa" w:w="4896"/>
          </w:tcPr>
          <w:p>
            <w:r>
              <w:t>Documents do not support the assessment note</w:t>
            </w:r>
          </w:p>
        </w:tc>
        <w:tc>
          <w:tcPr>
            <w:tcW w:type="dxa" w:w="4896"/>
          </w:tcPr>
          <w:p>
            <w:r>
              <w:t>Return the case and identify the missing or conflicting evidence.</w:t>
            </w:r>
          </w:p>
        </w:tc>
      </w:tr>
      <w:tr>
        <w:tc>
          <w:tcPr>
            <w:tcW w:type="dxa" w:w="4896"/>
          </w:tcPr>
          <w:p>
            <w:r>
              <w:t>Application status and task history disagree</w:t>
            </w:r>
          </w:p>
        </w:tc>
        <w:tc>
          <w:tcPr>
            <w:tcW w:type="dxa" w:w="4896"/>
          </w:tcPr>
          <w:p>
            <w:r>
              <w:t>Reconcile the workflow trail before advancing the case.</w:t>
            </w:r>
          </w:p>
        </w:tc>
      </w:tr>
      <w:tr>
        <w:tc>
          <w:tcPr>
            <w:tcW w:type="dxa" w:w="4896"/>
          </w:tcPr>
          <w:p>
            <w:r>
              <w:t>Registry control needed but not exposed</w:t>
            </w:r>
          </w:p>
        </w:tc>
        <w:tc>
          <w:tcPr>
            <w:tcW w:type="dxa" w:w="4896"/>
          </w:tcPr>
          <w:p>
            <w:r>
              <w:t>Document the required correction and route the case back through the governed path.</w:t>
            </w:r>
          </w:p>
        </w:tc>
      </w:tr>
      <w:tr>
        <w:tc>
          <w:tcPr>
            <w:tcW w:type="dxa" w:w="4896"/>
          </w:tcPr>
          <w:p>
            <w:r>
              <w:t>Claims exposure appears unusual</w:t>
            </w:r>
          </w:p>
        </w:tc>
        <w:tc>
          <w:tcPr>
            <w:tcW w:type="dxa" w:w="4896"/>
          </w:tcPr>
          <w:p>
            <w:r>
              <w:t>Flag it clearly so the approver sees the financial context.</w:t>
            </w:r>
          </w:p>
        </w:tc>
      </w:tr>
    </w:tbl>
    <w:p>
      <w:pPr>
        <w:pStyle w:val="Heading1"/>
      </w:pPr>
      <w:r>
        <w:t>8. Working Checklist</w:t>
      </w:r>
    </w:p>
    <w:p>
      <w:pPr>
        <w:pStyle w:val="ListBullet"/>
      </w:pPr>
      <w:r>
        <w:t>Read task history before judging the case.</w:t>
      </w:r>
    </w:p>
    <w:p>
      <w:pPr>
        <w:pStyle w:val="ListBullet"/>
      </w:pPr>
      <w:r>
        <w:t>Test the case against evidence, not assumption.</w:t>
      </w:r>
    </w:p>
    <w:p>
      <w:pPr>
        <w:pStyle w:val="ListBullet"/>
      </w:pPr>
      <w:r>
        <w:t>Return cases with specific reasons and required actions.</w:t>
      </w:r>
    </w:p>
    <w:p>
      <w:pPr>
        <w:pStyle w:val="ListBullet"/>
      </w:pPr>
      <w:r>
        <w:t>Keep approval-stage users informed about material risks or anomalies.</w:t>
      </w:r>
    </w:p>
    <w:p>
      <w:pPr>
        <w:pStyle w:val="ListBullet"/>
      </w:pPr>
      <w:r>
        <w:t>Do not let audit comments become ambiguous.</w:t>
      </w:r>
    </w:p>
    <w:p>
      <w:pPr>
        <w:pStyle w:val="Heading1"/>
      </w:pPr>
      <w:r>
        <w:t>9. Related References</w:t>
      </w:r>
    </w:p>
    <w:p>
      <w:pPr>
        <w:pStyle w:val="ListBullet"/>
      </w:pPr>
      <w:r>
        <w:t>docs/PensionApp_User_Admin_Manual.md</w:t>
      </w:r>
    </w:p>
    <w:p>
      <w:pPr>
        <w:pStyle w:val="ListBullet"/>
      </w:pPr>
      <w:r>
        <w:t>docs/PensionApp_System_Documentation.md</w:t>
      </w:r>
    </w:p>
    <w:p>
      <w:pPr>
        <w:pStyle w:val="ListBullet"/>
      </w:pPr>
      <w:r>
        <w:t>docs/ERD.pdf</w:t>
      </w:r>
    </w:p>
    <w:p>
      <w:pPr>
        <w:pStyle w:val="ListBullet"/>
      </w:pPr>
      <w:r>
        <w:t>docs/role_manuals/README.md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UPS PensionsGo Role Manual: Auditor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UPS PensionsGo Role Manual: Auditor</dc:title>
  <dc:subject>Current-state operational manual for the Auditor role.</dc:subject>
  <dc:creator>OpenAI Codex</dc:creator>
  <cp:keywords/>
  <dc:description>Generated from PensionApp_Role_Manual_Auditor.md on 2026-05-28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