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rlito" w:hAnsi="Carlito"/>
          <w:b/>
          <w:color w:val="2E2E2E"/>
          <w:sz w:val="36"/>
        </w:rPr>
        <w:t>UGANDA PRISONS SERVICE</w:t>
      </w:r>
    </w:p>
    <w:p>
      <w:pPr>
        <w:spacing w:before="120" w:after="80" w:line="259" w:lineRule="auto"/>
        <w:jc w:val="center"/>
      </w:pPr>
      <w:r>
        <w:rPr>
          <w:rFonts w:ascii="Carlito" w:hAnsi="Carlito"/>
          <w:b/>
          <w:color w:val="4B0B12"/>
          <w:sz w:val="62"/>
        </w:rPr>
        <w:t>UPS e-Recruit</w:t>
      </w:r>
    </w:p>
    <w:p>
      <w:pPr>
        <w:spacing w:before="0" w:after="280" w:line="259" w:lineRule="auto"/>
        <w:jc w:val="center"/>
      </w:pPr>
      <w:r>
        <w:rPr>
          <w:rFonts w:ascii="Carlito" w:hAnsi="Carlito"/>
          <w:b/>
          <w:color w:val="6E0F1A"/>
          <w:sz w:val="32"/>
        </w:rPr>
        <w:t>Recruitment, Selection &amp; Training Intake Management System</w:t>
      </w:r>
    </w:p>
    <w:tbl>
      <w:tblPr>
        <w:tblW w:type="auto" w:w="0"/>
        <w:jc w:val="center"/>
        <w:tblLook w:firstColumn="1" w:firstRow="1" w:lastColumn="0" w:lastRow="0" w:noHBand="0" w:noVBand="1" w:val="04A0"/>
      </w:tblPr>
      <w:tblGrid>
        <w:gridCol w:w="10166"/>
      </w:tblGrid>
      <w:tr>
        <w:tc>
          <w:tcPr>
            <w:tcW w:type="dxa" w:w="4320"/>
            <w:shd w:fill="C7A434"/>
            <w:tcMar>
              <w:top w:w="10" w:type="dxa"/>
              <w:start w:w="10" w:type="dxa"/>
              <w:bottom w:w="10" w:type="dxa"/>
              <w:end w:w="10" w:type="dxa"/>
            </w:tcMar>
          </w:tcPr>
          <w:p/>
        </w:tc>
      </w:tr>
    </w:tbl>
    <w:p>
      <w:pPr>
        <w:spacing w:before="360" w:after="80" w:line="259" w:lineRule="auto"/>
        <w:jc w:val="center"/>
      </w:pPr>
      <w:r>
        <w:rPr>
          <w:rFonts w:ascii="Carlito" w:hAnsi="Carlito"/>
          <w:b/>
          <w:color w:val="2E2E2E"/>
          <w:sz w:val="26"/>
        </w:rPr>
        <w:t>FINAL SYSTEM REQUIREMENTS &amp; FUNCTIONAL SPECIFICATION</w:t>
      </w:r>
    </w:p>
    <w:p>
      <w:pPr>
        <w:spacing w:before="0" w:after="320" w:line="259" w:lineRule="auto"/>
        <w:jc w:val="center"/>
      </w:pPr>
      <w:r>
        <w:rPr>
          <w:rFonts w:ascii="Carlito" w:hAnsi="Carlito"/>
          <w:color w:val="6B7280"/>
          <w:sz w:val="21"/>
        </w:rPr>
        <w:t>Version 1.0  •  31 August 2026</w:t>
      </w:r>
    </w:p>
    <w:tbl>
      <w:tblPr>
        <w:tblW w:type="auto" w:w="0"/>
        <w:jc w:val="center"/>
        <w:tblLayout w:type="autofit"/>
        <w:tblLook w:firstColumn="1" w:firstRow="1" w:lastColumn="0" w:lastRow="0" w:noHBand="0" w:noVBand="1" w:val="04A0"/>
      </w:tblPr>
      <w:tblGrid>
        <w:gridCol w:w="10166"/>
      </w:tblGrid>
      <w:tr>
        <w:tc>
          <w:tcPr>
            <w:tcW w:type="dxa" w:w="10166"/>
            <w:shd w:fill="F8F9FA"/>
            <w:tcBorders>
              <w:top w:val="single" w:sz="8" w:color="6E0F1A"/>
              <w:left w:val="single" w:sz="12" w:color="6E0F1A"/>
              <w:bottom w:val="single" w:sz="8" w:color="6E0F1A"/>
              <w:right w:val="single" w:sz="8" w:color="6E0F1A"/>
            </w:tcBorders>
            <w:tcMar>
              <w:top w:w="140" w:type="dxa"/>
              <w:start w:w="160" w:type="dxa"/>
              <w:bottom w:w="140" w:type="dxa"/>
              <w:end w:w="160" w:type="dxa"/>
            </w:tcMar>
          </w:tcPr>
          <w:p>
            <w:pPr>
              <w:spacing w:before="0" w:after="60" w:line="259" w:lineRule="auto"/>
            </w:pPr>
            <w:r>
              <w:rPr>
                <w:rFonts w:ascii="Carlito" w:hAnsi="Carlito"/>
                <w:b/>
                <w:color w:val="4B0B12"/>
                <w:sz w:val="21"/>
              </w:rPr>
              <w:t>Purpose of this document</w:t>
            </w:r>
          </w:p>
          <w:p>
            <w:pPr>
              <w:spacing w:before="0" w:after="0" w:line="259" w:lineRule="auto"/>
            </w:pPr>
            <w:r>
              <w:rPr>
                <w:rFonts w:ascii="Carlito" w:hAnsi="Carlito"/>
                <w:color w:val="2E2E2E"/>
                <w:sz w:val="19"/>
              </w:rPr>
              <w:t>This specification consolidates the agreed product vision, functional requirements, workflow, document intelligence, offline-PWA behaviour, selection controls, security principles and implementation architecture for a reusable Uganda Prisons Service recruitment platform. It is designed to support Recruit Warder/Wardress, CPO, CASP and future UPS recruitment exercises without hard-coding a single recruitment category.</w:t>
            </w:r>
          </w:p>
        </w:tc>
      </w:tr>
    </w:tbl>
    <w:p>
      <w:pPr>
        <w:spacing w:after="0"/>
      </w:pPr>
    </w:p>
    <w:p>
      <w:pPr>
        <w:spacing w:before="1100"/>
        <w:jc w:val="center"/>
      </w:pPr>
      <w:r>
        <w:rPr>
          <w:rFonts w:ascii="Carlito" w:hAnsi="Carlito"/>
          <w:b/>
          <w:color w:val="6E0F1A"/>
          <w:sz w:val="19"/>
        </w:rPr>
        <w:t>Design principles: Merit • Transparency • Traceability • Security • Offline Resilience • Reusability</w:t>
      </w:r>
    </w:p>
    <w:p>
      <w:r>
        <w:br w:type="page"/>
      </w:r>
    </w:p>
    <w:p>
      <w:pPr>
        <w:pStyle w:val="Heading1"/>
        <w:keepNext/>
        <w:spacing w:before="160" w:after="100" w:line="259" w:lineRule="auto"/>
      </w:pPr>
      <w:r>
        <w:rPr>
          <w:rFonts w:ascii="Carlito" w:hAnsi="Carlito"/>
          <w:b/>
          <w:color w:val="4B0B12"/>
          <w:sz w:val="30"/>
        </w:rPr>
        <w:t>Document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Item</w:t>
            </w:r>
          </w:p>
        </w:tc>
        <w:tc>
          <w:tcPr>
            <w:tcW w:type="dxa" w:w="763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Specification</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Document title</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UPS e-Recruit — Recruitment, Selection &amp; Training Intake Management System</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Document type</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Final system requirements and functional specification</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Version</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1.0</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Date</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31 August 2026</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Primary deployment model</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Installable Progressive Web App (PWA) backed by a modular monolith</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Primary users</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Applicants, recruitment officers, verification staff, panel members/heads, centre coordinators, medical officers, training/PATS staff, HQ recruitment administrators, auditors and system administrators</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Recruitment scope</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Generic UPS recruitment platform; not hard-coded to Warder/Wardress recruitment</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External academic verification</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No UNEB integration is planned or assumed</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Document verification authority</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UPS officer-verified data and physical/original document verification govern internal eligibility decisions; OCR is assistive, not authoritative</w:t>
            </w:r>
          </w:p>
        </w:tc>
      </w:tr>
    </w:tbl>
    <w:p>
      <w:pPr>
        <w:spacing w:after="20"/>
      </w:pPr>
    </w:p>
    <w:p>
      <w:pPr>
        <w:pStyle w:val="Heading2"/>
        <w:keepNext/>
        <w:spacing w:before="100" w:after="60" w:line="259" w:lineRule="auto"/>
      </w:pPr>
      <w:r>
        <w:rPr>
          <w:rFonts w:ascii="Carlito" w:hAnsi="Carlito"/>
          <w:b/>
          <w:color w:val="6E0F1A"/>
          <w:sz w:val="24"/>
        </w:rPr>
        <w:t>Key Decisions Locked into Version 1.0</w:t>
      </w:r>
    </w:p>
    <w:p>
      <w:pPr>
        <w:pStyle w:val="ListBullet"/>
        <w:spacing w:before="0" w:after="60" w:line="259" w:lineRule="auto"/>
      </w:pPr>
      <w:r>
        <w:rPr>
          <w:rFonts w:ascii="Carlito" w:hAnsi="Carlito"/>
          <w:color w:val="2E2E2E"/>
        </w:rPr>
        <w:t>The platform shall be campaign-driven and reusable for Recruit Warder/Wardress, CPO, CASP and future UPS recruitment categories.</w:t>
      </w:r>
    </w:p>
    <w:p>
      <w:pPr>
        <w:pStyle w:val="ListBullet"/>
        <w:spacing w:before="0" w:after="60" w:line="259" w:lineRule="auto"/>
      </w:pPr>
      <w:r>
        <w:rPr>
          <w:rFonts w:ascii="Carlito" w:hAnsi="Carlito"/>
          <w:color w:val="2E2E2E"/>
        </w:rPr>
        <w:t>All qualification rules, age limits, required uploads, interview stages, score formulae, quotas and selection rules shall be configuration data, not source-code constants.</w:t>
      </w:r>
    </w:p>
    <w:p>
      <w:pPr>
        <w:pStyle w:val="ListBullet"/>
        <w:spacing w:before="0" w:after="60" w:line="259" w:lineRule="auto"/>
      </w:pPr>
      <w:r>
        <w:rPr>
          <w:rFonts w:ascii="Carlito" w:hAnsi="Carlito"/>
          <w:color w:val="2E2E2E"/>
        </w:rPr>
        <w:t>The platform shall be an installable PWA and shall support protected offline recruitment-centre operations with later synchronisation.</w:t>
      </w:r>
    </w:p>
    <w:p>
      <w:pPr>
        <w:pStyle w:val="ListBullet"/>
        <w:spacing w:before="0" w:after="60" w:line="259" w:lineRule="auto"/>
      </w:pPr>
      <w:r>
        <w:rPr>
          <w:rFonts w:ascii="Carlito" w:hAnsi="Carlito"/>
          <w:color w:val="2E2E2E"/>
        </w:rPr>
        <w:t>Document intelligence shall perform multi-source comparison: entered data ↔ uploaded National ID ↔ uploaded academic documents ↔ LC letter ↔ application letter ↔ special-skill/professional documents and other applicable evidence.</w:t>
      </w:r>
    </w:p>
    <w:p>
      <w:pPr>
        <w:pStyle w:val="ListBullet"/>
        <w:spacing w:before="0" w:after="60" w:line="259" w:lineRule="auto"/>
      </w:pPr>
      <w:r>
        <w:rPr>
          <w:rFonts w:ascii="Carlito" w:hAnsi="Carlito"/>
          <w:color w:val="2E2E2E"/>
        </w:rPr>
        <w:t>OCR/document extraction may detect and highlight discrepancies but shall never by itself disqualify an applicant.</w:t>
      </w:r>
    </w:p>
    <w:p>
      <w:pPr>
        <w:pStyle w:val="ListBullet"/>
        <w:spacing w:before="0" w:after="60" w:line="259" w:lineRule="auto"/>
      </w:pPr>
      <w:r>
        <w:rPr>
          <w:rFonts w:ascii="Carlito" w:hAnsi="Carlito"/>
          <w:color w:val="2E2E2E"/>
        </w:rPr>
        <w:t>The staff review interface shall display the selected scanned document and the extracted/captured data in the same viewport for rapid visual verification and discrepancy reporting.</w:t>
      </w:r>
    </w:p>
    <w:p>
      <w:pPr>
        <w:pStyle w:val="ListBullet"/>
        <w:spacing w:before="0" w:after="60" w:line="259" w:lineRule="auto"/>
      </w:pPr>
      <w:r>
        <w:rPr>
          <w:rFonts w:ascii="Carlito" w:hAnsi="Carlito"/>
          <w:color w:val="2E2E2E"/>
        </w:rPr>
        <w:t>There shall be no UNEB verification API or future UNEB integration dependency.</w:t>
      </w:r>
    </w:p>
    <w:p>
      <w:pPr>
        <w:pStyle w:val="ListBullet"/>
        <w:spacing w:before="0" w:after="60" w:line="259" w:lineRule="auto"/>
      </w:pPr>
      <w:r>
        <w:rPr>
          <w:rFonts w:ascii="Carlito" w:hAnsi="Carlito"/>
          <w:color w:val="2E2E2E"/>
        </w:rPr>
        <w:t>NIRA integration may be considered only if UPS later obtains lawful, approved and technically available access; the core system shall work without it.</w:t>
      </w:r>
    </w:p>
    <w:p>
      <w:pPr>
        <w:pStyle w:val="ListBullet"/>
        <w:spacing w:before="0" w:after="60" w:line="259" w:lineRule="auto"/>
      </w:pPr>
      <w:r>
        <w:rPr>
          <w:rFonts w:ascii="Carlito" w:hAnsi="Carlito"/>
          <w:color w:val="2E2E2E"/>
        </w:rPr>
        <w:t>The architecture shall remain deliberately simple: modular monolith, PostgreSQL, object storage, queue/cache and a small document-processing worker where necessary.</w:t>
      </w:r>
    </w:p>
    <w:p>
      <w:pPr>
        <w:pStyle w:val="ListBullet"/>
        <w:spacing w:before="0" w:after="60" w:line="259" w:lineRule="auto"/>
      </w:pPr>
      <w:r>
        <w:rPr>
          <w:rFonts w:ascii="Carlito" w:hAnsi="Carlito"/>
          <w:color w:val="2E2E2E"/>
        </w:rPr>
        <w:t>AI shall not score candidate suitability or make final recruitment selections; selection shall be rules-based, score-based and human-approved.</w:t>
      </w:r>
    </w:p>
    <w:p>
      <w:pPr>
        <w:pStyle w:val="ListBullet"/>
        <w:spacing w:before="0" w:after="60" w:line="259" w:lineRule="auto"/>
      </w:pPr>
      <w:r>
        <w:rPr>
          <w:rFonts w:ascii="Carlito" w:hAnsi="Carlito"/>
          <w:color w:val="2E2E2E"/>
        </w:rPr>
        <w:t>The permanent application number shall not encode interview centre because centre assignment can change.</w:t>
      </w:r>
    </w:p>
    <w:p>
      <w:pPr>
        <w:pStyle w:val="ListBullet"/>
        <w:spacing w:before="0" w:after="60" w:line="259" w:lineRule="auto"/>
      </w:pPr>
      <w:r>
        <w:rPr>
          <w:rFonts w:ascii="Carlito" w:hAnsi="Carlito"/>
          <w:color w:val="2E2E2E"/>
        </w:rPr>
        <w:t>Hard-copy submission with the online reference code written on top of the application letter shall be supported as an integral workflow stage.</w:t>
      </w:r>
    </w:p>
    <w:p>
      <w:r>
        <w:br w:type="page"/>
      </w:r>
    </w:p>
    <w:p>
      <w:pPr>
        <w:pStyle w:val="Heading1"/>
        <w:keepNext/>
        <w:spacing w:before="160" w:after="100" w:line="259" w:lineRule="auto"/>
      </w:pPr>
      <w:r>
        <w:rPr>
          <w:rFonts w:ascii="Carlito" w:hAnsi="Carlito"/>
          <w:b/>
          <w:color w:val="4B0B12"/>
          <w:sz w:val="30"/>
        </w:rPr>
        <w:t>Contents</w:t>
      </w:r>
    </w:p>
    <w:p>
      <w:pPr>
        <w:spacing w:before="0" w:after="40" w:line="259" w:lineRule="auto"/>
      </w:pPr>
      <w:r>
        <w:rPr>
          <w:rFonts w:ascii="Carlito" w:hAnsi="Carlito"/>
          <w:color w:val="2E2E2E"/>
          <w:sz w:val="18"/>
        </w:rPr>
        <w:t>1. Purpose, Objectives and Scope</w:t>
      </w:r>
    </w:p>
    <w:p>
      <w:pPr>
        <w:spacing w:before="0" w:after="40" w:line="259" w:lineRule="auto"/>
      </w:pPr>
      <w:r>
        <w:rPr>
          <w:rFonts w:ascii="Carlito" w:hAnsi="Carlito"/>
          <w:color w:val="2E2E2E"/>
          <w:sz w:val="18"/>
        </w:rPr>
        <w:t>2. Design Principles and Assumptions</w:t>
      </w:r>
    </w:p>
    <w:p>
      <w:pPr>
        <w:spacing w:before="0" w:after="40" w:line="259" w:lineRule="auto"/>
      </w:pPr>
      <w:r>
        <w:rPr>
          <w:rFonts w:ascii="Carlito" w:hAnsi="Carlito"/>
          <w:color w:val="2E2E2E"/>
          <w:sz w:val="18"/>
        </w:rPr>
        <w:t>3. Recruitment Model and Campaign Configuration</w:t>
      </w:r>
    </w:p>
    <w:p>
      <w:pPr>
        <w:spacing w:before="0" w:after="40" w:line="259" w:lineRule="auto"/>
      </w:pPr>
      <w:r>
        <w:rPr>
          <w:rFonts w:ascii="Carlito" w:hAnsi="Carlito"/>
          <w:color w:val="2E2E2E"/>
          <w:sz w:val="18"/>
        </w:rPr>
        <w:t>4. Users, Roles and Access Scope</w:t>
      </w:r>
    </w:p>
    <w:p>
      <w:pPr>
        <w:spacing w:before="0" w:after="40" w:line="259" w:lineRule="auto"/>
      </w:pPr>
      <w:r>
        <w:rPr>
          <w:rFonts w:ascii="Carlito" w:hAnsi="Carlito"/>
          <w:color w:val="2E2E2E"/>
          <w:sz w:val="18"/>
        </w:rPr>
        <w:t>5. End-to-End Recruitment Workflow</w:t>
      </w:r>
    </w:p>
    <w:p>
      <w:pPr>
        <w:spacing w:before="0" w:after="40" w:line="259" w:lineRule="auto"/>
      </w:pPr>
      <w:r>
        <w:rPr>
          <w:rFonts w:ascii="Carlito" w:hAnsi="Carlito"/>
          <w:color w:val="2E2E2E"/>
          <w:sz w:val="18"/>
        </w:rPr>
        <w:t>6. Applicant Portal and Application Submission</w:t>
      </w:r>
    </w:p>
    <w:p>
      <w:pPr>
        <w:spacing w:before="0" w:after="40" w:line="259" w:lineRule="auto"/>
      </w:pPr>
      <w:r>
        <w:rPr>
          <w:rFonts w:ascii="Carlito" w:hAnsi="Carlito"/>
          <w:color w:val="2E2E2E"/>
          <w:sz w:val="18"/>
        </w:rPr>
        <w:t>7. Document Intelligence and Multi-Source Cross-Validation</w:t>
      </w:r>
    </w:p>
    <w:p>
      <w:pPr>
        <w:spacing w:before="0" w:after="40" w:line="259" w:lineRule="auto"/>
      </w:pPr>
      <w:r>
        <w:rPr>
          <w:rFonts w:ascii="Carlito" w:hAnsi="Carlito"/>
          <w:color w:val="2E2E2E"/>
          <w:sz w:val="18"/>
        </w:rPr>
        <w:t>8. Staff Verification Workbench — Same-Viewport Review</w:t>
      </w:r>
    </w:p>
    <w:p>
      <w:pPr>
        <w:spacing w:before="0" w:after="40" w:line="259" w:lineRule="auto"/>
      </w:pPr>
      <w:r>
        <w:rPr>
          <w:rFonts w:ascii="Carlito" w:hAnsi="Carlito"/>
          <w:color w:val="2E2E2E"/>
          <w:sz w:val="18"/>
        </w:rPr>
        <w:t>9. Hard-Copy Reception and Physical Document Reconciliation</w:t>
      </w:r>
    </w:p>
    <w:p>
      <w:pPr>
        <w:spacing w:before="0" w:after="40" w:line="259" w:lineRule="auto"/>
      </w:pPr>
      <w:r>
        <w:rPr>
          <w:rFonts w:ascii="Carlito" w:hAnsi="Carlito"/>
          <w:color w:val="2E2E2E"/>
          <w:sz w:val="18"/>
        </w:rPr>
        <w:t>10. Eligibility and Qualification Engine</w:t>
      </w:r>
    </w:p>
    <w:p>
      <w:pPr>
        <w:spacing w:before="0" w:after="40" w:line="259" w:lineRule="auto"/>
      </w:pPr>
      <w:r>
        <w:rPr>
          <w:rFonts w:ascii="Carlito" w:hAnsi="Carlito"/>
          <w:color w:val="2E2E2E"/>
          <w:sz w:val="18"/>
        </w:rPr>
        <w:t>11. Administrative Geography, LC Routing, Regions and Interview Centres</w:t>
      </w:r>
    </w:p>
    <w:p>
      <w:pPr>
        <w:spacing w:before="0" w:after="40" w:line="259" w:lineRule="auto"/>
      </w:pPr>
      <w:r>
        <w:rPr>
          <w:rFonts w:ascii="Carlito" w:hAnsi="Carlito"/>
          <w:color w:val="2E2E2E"/>
          <w:sz w:val="18"/>
        </w:rPr>
        <w:t>12. Interview Scheduling, Panels and Attendance</w:t>
      </w:r>
    </w:p>
    <w:p>
      <w:pPr>
        <w:spacing w:before="0" w:after="40" w:line="259" w:lineRule="auto"/>
      </w:pPr>
      <w:r>
        <w:rPr>
          <w:rFonts w:ascii="Carlito" w:hAnsi="Carlito"/>
          <w:color w:val="2E2E2E"/>
          <w:sz w:val="18"/>
        </w:rPr>
        <w:t>13. Offline PWA Operations and Synchronisation</w:t>
      </w:r>
    </w:p>
    <w:p>
      <w:pPr>
        <w:spacing w:before="0" w:after="40" w:line="259" w:lineRule="auto"/>
      </w:pPr>
      <w:r>
        <w:rPr>
          <w:rFonts w:ascii="Carlito" w:hAnsi="Carlito"/>
          <w:color w:val="2E2E2E"/>
          <w:sz w:val="18"/>
        </w:rPr>
        <w:t>14. Assessment, Scoring and Panel Closure</w:t>
      </w:r>
    </w:p>
    <w:p>
      <w:pPr>
        <w:spacing w:before="0" w:after="40" w:line="259" w:lineRule="auto"/>
      </w:pPr>
      <w:r>
        <w:rPr>
          <w:rFonts w:ascii="Carlito" w:hAnsi="Carlito"/>
          <w:color w:val="2E2E2E"/>
          <w:sz w:val="18"/>
        </w:rPr>
        <w:t>15. Ranking, Quotas, Capping, Special Skills and Overrides</w:t>
      </w:r>
    </w:p>
    <w:p>
      <w:pPr>
        <w:spacing w:before="0" w:after="40" w:line="259" w:lineRule="auto"/>
      </w:pPr>
      <w:r>
        <w:rPr>
          <w:rFonts w:ascii="Carlito" w:hAnsi="Carlito"/>
          <w:color w:val="2E2E2E"/>
          <w:sz w:val="18"/>
        </w:rPr>
        <w:t>16. Medical Examination Management</w:t>
      </w:r>
    </w:p>
    <w:p>
      <w:pPr>
        <w:spacing w:before="0" w:after="40" w:line="259" w:lineRule="auto"/>
      </w:pPr>
      <w:r>
        <w:rPr>
          <w:rFonts w:ascii="Carlito" w:hAnsi="Carlito"/>
          <w:color w:val="2E2E2E"/>
          <w:sz w:val="18"/>
        </w:rPr>
        <w:t>17. Final Selection, Reserve Lists and Training Reporting</w:t>
      </w:r>
    </w:p>
    <w:p>
      <w:pPr>
        <w:spacing w:before="0" w:after="40" w:line="259" w:lineRule="auto"/>
      </w:pPr>
      <w:r>
        <w:rPr>
          <w:rFonts w:ascii="Carlito" w:hAnsi="Carlito"/>
          <w:color w:val="2E2E2E"/>
          <w:sz w:val="18"/>
        </w:rPr>
        <w:t>18. Notifications, Tracking, Helpdesk and Appeals</w:t>
      </w:r>
    </w:p>
    <w:p>
      <w:pPr>
        <w:spacing w:before="0" w:after="40" w:line="259" w:lineRule="auto"/>
      </w:pPr>
      <w:r>
        <w:rPr>
          <w:rFonts w:ascii="Carlito" w:hAnsi="Carlito"/>
          <w:color w:val="2E2E2E"/>
          <w:sz w:val="18"/>
        </w:rPr>
        <w:t>19. Dashboards, Reports, Export and Printing</w:t>
      </w:r>
    </w:p>
    <w:p>
      <w:pPr>
        <w:spacing w:before="0" w:after="40" w:line="259" w:lineRule="auto"/>
      </w:pPr>
      <w:r>
        <w:rPr>
          <w:rFonts w:ascii="Carlito" w:hAnsi="Carlito"/>
          <w:color w:val="2E2E2E"/>
          <w:sz w:val="18"/>
        </w:rPr>
        <w:t>20. Audit, Integrity and Recruitment Governance</w:t>
      </w:r>
    </w:p>
    <w:p>
      <w:pPr>
        <w:spacing w:before="0" w:after="40" w:line="259" w:lineRule="auto"/>
      </w:pPr>
      <w:r>
        <w:rPr>
          <w:rFonts w:ascii="Carlito" w:hAnsi="Carlito"/>
          <w:color w:val="2E2E2E"/>
          <w:sz w:val="18"/>
        </w:rPr>
        <w:t>21. Security, Privacy, Data Retention and Device Controls</w:t>
      </w:r>
    </w:p>
    <w:p>
      <w:pPr>
        <w:spacing w:before="0" w:after="40" w:line="259" w:lineRule="auto"/>
      </w:pPr>
      <w:r>
        <w:rPr>
          <w:rFonts w:ascii="Carlito" w:hAnsi="Carlito"/>
          <w:color w:val="2E2E2E"/>
          <w:sz w:val="18"/>
        </w:rPr>
        <w:t>22. Non-Functional Requirements</w:t>
      </w:r>
    </w:p>
    <w:p>
      <w:pPr>
        <w:spacing w:before="0" w:after="40" w:line="259" w:lineRule="auto"/>
      </w:pPr>
      <w:r>
        <w:rPr>
          <w:rFonts w:ascii="Carlito" w:hAnsi="Carlito"/>
          <w:color w:val="2E2E2E"/>
          <w:sz w:val="18"/>
        </w:rPr>
        <w:t>23. Technical Architecture and Deployment</w:t>
      </w:r>
    </w:p>
    <w:p>
      <w:pPr>
        <w:spacing w:before="0" w:after="40" w:line="259" w:lineRule="auto"/>
      </w:pPr>
      <w:r>
        <w:rPr>
          <w:rFonts w:ascii="Carlito" w:hAnsi="Carlito"/>
          <w:color w:val="2E2E2E"/>
          <w:sz w:val="18"/>
        </w:rPr>
        <w:t>24. Core Data Model</w:t>
      </w:r>
    </w:p>
    <w:p>
      <w:pPr>
        <w:spacing w:before="0" w:after="40" w:line="259" w:lineRule="auto"/>
      </w:pPr>
      <w:r>
        <w:rPr>
          <w:rFonts w:ascii="Carlito" w:hAnsi="Carlito"/>
          <w:color w:val="2E2E2E"/>
          <w:sz w:val="18"/>
        </w:rPr>
        <w:t>25. Interfaces and Integration Boundaries</w:t>
      </w:r>
    </w:p>
    <w:p>
      <w:pPr>
        <w:spacing w:before="0" w:after="40" w:line="259" w:lineRule="auto"/>
      </w:pPr>
      <w:r>
        <w:rPr>
          <w:rFonts w:ascii="Carlito" w:hAnsi="Carlito"/>
          <w:color w:val="2E2E2E"/>
          <w:sz w:val="18"/>
        </w:rPr>
        <w:t>26. UI/UX, Branding, Accessibility and Low-Bandwidth Design</w:t>
      </w:r>
    </w:p>
    <w:p>
      <w:pPr>
        <w:spacing w:before="0" w:after="40" w:line="259" w:lineRule="auto"/>
      </w:pPr>
      <w:r>
        <w:rPr>
          <w:rFonts w:ascii="Carlito" w:hAnsi="Carlito"/>
          <w:color w:val="2E2E2E"/>
          <w:sz w:val="18"/>
        </w:rPr>
        <w:t>27. Implementation Roadmap</w:t>
      </w:r>
    </w:p>
    <w:p>
      <w:pPr>
        <w:spacing w:before="0" w:after="40" w:line="259" w:lineRule="auto"/>
      </w:pPr>
      <w:r>
        <w:rPr>
          <w:rFonts w:ascii="Carlito" w:hAnsi="Carlito"/>
          <w:color w:val="2E2E2E"/>
          <w:sz w:val="18"/>
        </w:rPr>
        <w:t>28. Acceptance Criteria and Go-Live Gates</w:t>
      </w:r>
    </w:p>
    <w:p>
      <w:pPr>
        <w:spacing w:before="0" w:after="40" w:line="259" w:lineRule="auto"/>
      </w:pPr>
      <w:r>
        <w:rPr>
          <w:rFonts w:ascii="Carlito" w:hAnsi="Carlito"/>
          <w:color w:val="2E2E2E"/>
          <w:sz w:val="18"/>
        </w:rPr>
        <w:t>29. Explicit Exclusions and Deferred Capabilities</w:t>
      </w:r>
    </w:p>
    <w:p>
      <w:pPr>
        <w:spacing w:before="0" w:after="40" w:line="259" w:lineRule="auto"/>
      </w:pPr>
      <w:r>
        <w:rPr>
          <w:rFonts w:ascii="Carlito" w:hAnsi="Carlito"/>
          <w:color w:val="2E2E2E"/>
          <w:sz w:val="18"/>
        </w:rPr>
        <w:t>Appendices</w:t>
      </w:r>
    </w:p>
    <w:p>
      <w:r>
        <w:br w:type="page"/>
      </w:r>
    </w:p>
    <w:p>
      <w:pPr>
        <w:pStyle w:val="Heading1"/>
        <w:keepNext/>
        <w:spacing w:before="160" w:after="100" w:line="259" w:lineRule="auto"/>
      </w:pPr>
      <w:r>
        <w:rPr>
          <w:rFonts w:ascii="Carlito" w:hAnsi="Carlito"/>
          <w:b/>
          <w:color w:val="4B0B12"/>
          <w:sz w:val="30"/>
        </w:rPr>
        <w:t>1. Purpose, Objectives and Scope</w:t>
      </w:r>
    </w:p>
    <w:p>
      <w:pPr>
        <w:spacing w:before="0" w:after="120" w:line="259" w:lineRule="auto"/>
      </w:pPr>
      <w:r>
        <w:rPr>
          <w:rFonts w:ascii="Carlito" w:hAnsi="Carlito"/>
          <w:i w:val="0"/>
          <w:color w:val="2E2E2E"/>
        </w:rPr>
        <w:t>UPS e-Recruit is specified as a reusable recruitment operating platform for Uganda Prisons Service. Its purpose is to digitise and control the complete recruitment lifecycle while preserving the practical requirement for hard-copy submission and original-document verification where policy requires them.</w:t>
      </w:r>
    </w:p>
    <w:p>
      <w:pPr>
        <w:pStyle w:val="Heading2"/>
        <w:keepNext/>
        <w:spacing w:before="100" w:after="60" w:line="259" w:lineRule="auto"/>
      </w:pPr>
      <w:r>
        <w:rPr>
          <w:rFonts w:ascii="Carlito" w:hAnsi="Carlito"/>
          <w:b/>
          <w:color w:val="6E0F1A"/>
          <w:sz w:val="24"/>
        </w:rPr>
        <w:t>1.1 Business objectives</w:t>
      </w:r>
    </w:p>
    <w:p>
      <w:pPr>
        <w:pStyle w:val="ListBullet"/>
        <w:spacing w:before="0" w:after="60" w:line="259" w:lineRule="auto"/>
      </w:pPr>
      <w:r>
        <w:rPr>
          <w:rFonts w:ascii="Carlito" w:hAnsi="Carlito"/>
          <w:color w:val="2E2E2E"/>
        </w:rPr>
        <w:t>Provide one trusted system of record from first application through training reporting.</w:t>
      </w:r>
    </w:p>
    <w:p>
      <w:pPr>
        <w:pStyle w:val="ListBullet"/>
        <w:spacing w:before="0" w:after="60" w:line="259" w:lineRule="auto"/>
      </w:pPr>
      <w:r>
        <w:rPr>
          <w:rFonts w:ascii="Carlito" w:hAnsi="Carlito"/>
          <w:color w:val="2E2E2E"/>
        </w:rPr>
        <w:t>Reduce manual transcription, spreadsheet fragmentation, duplicate applications and avoidable data-quality problems.</w:t>
      </w:r>
    </w:p>
    <w:p>
      <w:pPr>
        <w:pStyle w:val="ListBullet"/>
        <w:spacing w:before="0" w:after="60" w:line="259" w:lineRule="auto"/>
      </w:pPr>
      <w:r>
        <w:rPr>
          <w:rFonts w:ascii="Carlito" w:hAnsi="Carlito"/>
          <w:color w:val="2E2E2E"/>
        </w:rPr>
        <w:t>Apply campaign-specific eligibility rules consistently while keeping reviewable cases with authorised human officers.</w:t>
      </w:r>
    </w:p>
    <w:p>
      <w:pPr>
        <w:pStyle w:val="ListBullet"/>
        <w:spacing w:before="0" w:after="60" w:line="259" w:lineRule="auto"/>
      </w:pPr>
      <w:r>
        <w:rPr>
          <w:rFonts w:ascii="Carlito" w:hAnsi="Carlito"/>
          <w:color w:val="2E2E2E"/>
        </w:rPr>
        <w:t>Enable transparent, reproducible ranking and quota-based selection with complete auditability of overrides.</w:t>
      </w:r>
    </w:p>
    <w:p>
      <w:pPr>
        <w:pStyle w:val="ListBullet"/>
        <w:spacing w:before="0" w:after="60" w:line="259" w:lineRule="auto"/>
      </w:pPr>
      <w:r>
        <w:rPr>
          <w:rFonts w:ascii="Carlito" w:hAnsi="Carlito"/>
          <w:color w:val="2E2E2E"/>
        </w:rPr>
        <w:t>Allow remote recruitment centres to continue critical work during poor or absent internet connectivity.</w:t>
      </w:r>
    </w:p>
    <w:p>
      <w:pPr>
        <w:pStyle w:val="ListBullet"/>
        <w:spacing w:before="0" w:after="60" w:line="259" w:lineRule="auto"/>
      </w:pPr>
      <w:r>
        <w:rPr>
          <w:rFonts w:ascii="Carlito" w:hAnsi="Carlito"/>
          <w:color w:val="2E2E2E"/>
        </w:rPr>
        <w:t>Improve applicant communication through status tracking, email, SMS where available, PWA notifications and downloadable official letters.</w:t>
      </w:r>
    </w:p>
    <w:p>
      <w:pPr>
        <w:pStyle w:val="ListBullet"/>
        <w:spacing w:before="0" w:after="60" w:line="259" w:lineRule="auto"/>
      </w:pPr>
      <w:r>
        <w:rPr>
          <w:rFonts w:ascii="Carlito" w:hAnsi="Carlito"/>
          <w:color w:val="2E2E2E"/>
        </w:rPr>
        <w:t>Provide HQ and regional management with real-time and post-exercise recruitment intelligence.</w:t>
      </w:r>
    </w:p>
    <w:p>
      <w:pPr>
        <w:pStyle w:val="ListBullet"/>
        <w:spacing w:before="0" w:after="60" w:line="259" w:lineRule="auto"/>
      </w:pPr>
      <w:r>
        <w:rPr>
          <w:rFonts w:ascii="Carlito" w:hAnsi="Carlito"/>
          <w:color w:val="2E2E2E"/>
        </w:rPr>
        <w:t>Create a platform that can support Warder/Wardress, CPO, CASP and future recruitment models without redesigning the application.</w:t>
      </w:r>
    </w:p>
    <w:p>
      <w:pPr>
        <w:pStyle w:val="Heading2"/>
        <w:keepNext/>
        <w:spacing w:before="100" w:after="60" w:line="259" w:lineRule="auto"/>
      </w:pPr>
      <w:r>
        <w:rPr>
          <w:rFonts w:ascii="Carlito" w:hAnsi="Carlito"/>
          <w:b/>
          <w:color w:val="6E0F1A"/>
          <w:sz w:val="24"/>
        </w:rPr>
        <w:t>1.2 Scope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40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In scope</w:t>
            </w:r>
          </w:p>
        </w:tc>
        <w:tc>
          <w:tcPr>
            <w:tcW w:type="dxa" w:w="540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Out of scope / separate systems</w:t>
            </w:r>
          </w:p>
        </w:tc>
      </w:tr>
      <w:tr>
        <w:trPr>
          <w:cantSplit/>
        </w:trPr>
        <w:tc>
          <w:tcPr>
            <w:tcW w:type="dxa" w:w="540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Recruitment adverts/campaign configuration, online applications, document capture and analysis, hard-copy reception, verification, interview operations, scoring, ranking, quotas, medical listing/outcome, final selection, reserve lists, training invitations/reporting, reporting, audit and offline operations.</w:t>
            </w:r>
          </w:p>
        </w:tc>
        <w:tc>
          <w:tcPr>
            <w:tcW w:type="dxa" w:w="540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Full employee HR/payroll administration after recruitment; payroll creation; biometric identity systems; prison operational management; disciplinary management after appointment.</w:t>
            </w:r>
          </w:p>
        </w:tc>
      </w:tr>
      <w:tr>
        <w:trPr>
          <w:cantSplit/>
        </w:trPr>
        <w:tc>
          <w:tcPr>
            <w:tcW w:type="dxa" w:w="540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Controlled exports/API handoff of successful recruits for downstream HR onboarding.</w:t>
            </w:r>
          </w:p>
        </w:tc>
        <w:tc>
          <w:tcPr>
            <w:tcW w:type="dxa" w:w="540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Replacing downstream HR/personnel systems.</w:t>
            </w:r>
          </w:p>
        </w:tc>
      </w:tr>
    </w:tbl>
    <w:p>
      <w:pPr>
        <w:spacing w:after="20"/>
      </w:pPr>
    </w:p>
    <w:p>
      <w:pPr>
        <w:pStyle w:val="Heading1"/>
        <w:keepNext/>
        <w:spacing w:before="160" w:after="100" w:line="259" w:lineRule="auto"/>
      </w:pPr>
      <w:r>
        <w:rPr>
          <w:rFonts w:ascii="Carlito" w:hAnsi="Carlito"/>
          <w:b/>
          <w:color w:val="4B0B12"/>
          <w:sz w:val="30"/>
        </w:rPr>
        <w:t>2. Design Principles and Assumptions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Principle</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Specification</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Configurable by campaign</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Recruitment rules belong to campaign/post configuration and can vary by year and category.</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Offline resilient</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Recruitment operations must continue safely when a centre has intermittent or no internet.</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One system of record</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Applicant, application, verification, assessment and selection records remain linked throughout the lifecycle.</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Human-verifiable automation</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Automation flags, extracts and compares; authorised officers verify and approve sensitive decisions.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Least privilege</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Users only see data needed for their role, region, centre, panel, stage and task.</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Auditable and reproducible</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Every sensitive change and selection run can be reconstructed from immutable audit evidence.</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Low-bandwidth first</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Forms and operational screens shall remain usable on modest connectivity and common Android devices.</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Privacy by design</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NIN, identity documents, addresses and medical outcomes receive strong access, storage and retention controls.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Simple infrastructure</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Complexity is kept in domain rules rather than unnecessary microservices or orchestration.</w:t>
            </w:r>
          </w:p>
        </w:tc>
      </w:tr>
    </w:tbl>
    <w:p>
      <w:pPr>
        <w:spacing w:after="20"/>
      </w:pPr>
    </w:p>
    <w:p>
      <w:pPr>
        <w:pStyle w:val="Heading2"/>
        <w:keepNext/>
        <w:spacing w:before="100" w:after="60" w:line="259" w:lineRule="auto"/>
      </w:pPr>
      <w:r>
        <w:rPr>
          <w:rFonts w:ascii="Carlito" w:hAnsi="Carlito"/>
          <w:b/>
          <w:color w:val="6E0F1A"/>
          <w:sz w:val="24"/>
        </w:rPr>
        <w:t>2.1 Reference-data assumption</w:t>
      </w:r>
    </w:p>
    <w:p>
      <w:pPr>
        <w:spacing w:before="0" w:after="120" w:line="259" w:lineRule="auto"/>
      </w:pPr>
      <w:r>
        <w:rPr>
          <w:rFonts w:ascii="Carlito" w:hAnsi="Carlito"/>
          <w:i w:val="0"/>
          <w:color w:val="2E2E2E"/>
        </w:rPr>
        <w:t>Region counts, recruitment centres, districts, district-to-centre jurisdiction and panel counts shall be reference data. The system shall not hard-code “18 centres”, “19 regions” or any other fixed count. Current UPS structures can be configured, and future administrative changes can be versioned per recruitment campaign.</w:t>
      </w:r>
    </w:p>
    <w:p>
      <w:pPr>
        <w:pStyle w:val="Heading1"/>
        <w:keepNext/>
        <w:spacing w:before="160" w:after="100" w:line="259" w:lineRule="auto"/>
      </w:pPr>
      <w:r>
        <w:rPr>
          <w:rFonts w:ascii="Carlito" w:hAnsi="Carlito"/>
          <w:b/>
          <w:color w:val="4B0B12"/>
          <w:sz w:val="30"/>
        </w:rPr>
        <w:t>3. Recruitment Model and Campaign Configuration</w:t>
      </w:r>
    </w:p>
    <w:p>
      <w:pPr>
        <w:spacing w:before="0" w:after="120" w:line="259" w:lineRule="auto"/>
      </w:pPr>
      <w:r>
        <w:rPr>
          <w:rFonts w:ascii="Carlito" w:hAnsi="Carlito"/>
          <w:i w:val="0"/>
          <w:color w:val="2E2E2E"/>
        </w:rPr>
        <w:t>The platform shall model recruitment through Recruitment Campaigns, Recruitment Posts and configurable stages. A campaign can contain one or more posts and may reuse a template from an earlier exercise.</w:t>
      </w:r>
    </w:p>
    <w:p>
      <w:pPr>
        <w:spacing w:before="40" w:after="160" w:line="259" w:lineRule="auto"/>
        <w:jc w:val="center"/>
      </w:pPr>
      <w:r>
        <w:rPr>
          <w:rFonts w:ascii="Carlito" w:hAnsi="Carlito"/>
          <w:b/>
          <w:color w:val="6E0F1A"/>
          <w:sz w:val="19"/>
        </w:rPr>
        <w:t>Recruitment Template</w:t>
      </w:r>
      <w:r>
        <w:rPr>
          <w:rFonts w:ascii="Carlito" w:hAnsi="Carlito"/>
          <w:b/>
          <w:color w:val="C7A434"/>
          <w:sz w:val="20"/>
        </w:rPr>
        <w:t xml:space="preserve">  →  </w:t>
      </w:r>
      <w:r>
        <w:rPr>
          <w:rFonts w:ascii="Carlito" w:hAnsi="Carlito"/>
          <w:b w:val="0"/>
          <w:color w:val="2E2E2E"/>
          <w:sz w:val="19"/>
        </w:rPr>
        <w:t>Campaign</w:t>
      </w:r>
      <w:r>
        <w:rPr>
          <w:rFonts w:ascii="Carlito" w:hAnsi="Carlito"/>
          <w:b/>
          <w:color w:val="C7A434"/>
          <w:sz w:val="20"/>
        </w:rPr>
        <w:t xml:space="preserve">  →  </w:t>
      </w:r>
      <w:r>
        <w:rPr>
          <w:rFonts w:ascii="Carlito" w:hAnsi="Carlito"/>
          <w:b w:val="0"/>
          <w:color w:val="2E2E2E"/>
          <w:sz w:val="19"/>
        </w:rPr>
        <w:t>Post(s)</w:t>
      </w:r>
      <w:r>
        <w:rPr>
          <w:rFonts w:ascii="Carlito" w:hAnsi="Carlito"/>
          <w:b/>
          <w:color w:val="C7A434"/>
          <w:sz w:val="20"/>
        </w:rPr>
        <w:t xml:space="preserve">  →  </w:t>
      </w:r>
      <w:r>
        <w:rPr>
          <w:rFonts w:ascii="Carlito" w:hAnsi="Carlito"/>
          <w:b w:val="0"/>
          <w:color w:val="2E2E2E"/>
          <w:sz w:val="19"/>
        </w:rPr>
        <w:t>Rules &amp; Documents</w:t>
      </w:r>
      <w:r>
        <w:rPr>
          <w:rFonts w:ascii="Carlito" w:hAnsi="Carlito"/>
          <w:b/>
          <w:color w:val="C7A434"/>
          <w:sz w:val="20"/>
        </w:rPr>
        <w:t xml:space="preserve">  →  </w:t>
      </w:r>
      <w:r>
        <w:rPr>
          <w:rFonts w:ascii="Carlito" w:hAnsi="Carlito"/>
          <w:b w:val="0"/>
          <w:color w:val="2E2E2E"/>
          <w:sz w:val="19"/>
        </w:rPr>
        <w:t>Stages &amp; Assessments</w:t>
      </w:r>
      <w:r>
        <w:rPr>
          <w:rFonts w:ascii="Carlito" w:hAnsi="Carlito"/>
          <w:b/>
          <w:color w:val="C7A434"/>
          <w:sz w:val="20"/>
        </w:rPr>
        <w:t xml:space="preserve">  →  </w:t>
      </w:r>
      <w:r>
        <w:rPr>
          <w:rFonts w:ascii="Carlito" w:hAnsi="Carlito"/>
          <w:b w:val="0"/>
          <w:color w:val="2E2E2E"/>
          <w:sz w:val="19"/>
        </w:rPr>
        <w:t>Quotas</w:t>
      </w:r>
      <w:r>
        <w:rPr>
          <w:rFonts w:ascii="Carlito" w:hAnsi="Carlito"/>
          <w:b/>
          <w:color w:val="C7A434"/>
          <w:sz w:val="20"/>
        </w:rPr>
        <w:t xml:space="preserve">  →  </w:t>
      </w:r>
      <w:r>
        <w:rPr>
          <w:rFonts w:ascii="Carlito" w:hAnsi="Carlito"/>
          <w:b/>
          <w:color w:val="6E0F1A"/>
          <w:sz w:val="19"/>
        </w:rPr>
        <w:t>Published Exercise</w:t>
      </w:r>
    </w:p>
    <w:p>
      <w:pPr>
        <w:pStyle w:val="Heading2"/>
        <w:keepNext/>
        <w:spacing w:before="100" w:after="60" w:line="259" w:lineRule="auto"/>
      </w:pPr>
      <w:r>
        <w:rPr>
          <w:rFonts w:ascii="Carlito" w:hAnsi="Carlito"/>
          <w:b/>
          <w:color w:val="6E0F1A"/>
          <w:sz w:val="24"/>
        </w:rPr>
        <w:t>3.1 Campaign configuration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FR-CAM-001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Create, edit, clone, activate, close, archive and report on recruitment campaigns.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FR-CAM-002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Define one or more recruitment posts/categories within a campaign, including Warder/Wardress, CPO, CASP or future categories.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FR-CAM-003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Configure opening/closing dates, hard-copy deadline, age cut-off date, interview windows, medical windows and training reporting dates.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FR-CAM-004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Configure required personal fields, education levels, employment history, professional registration and special-skill sections per post.</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FR-CAM-005</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Configure required/optional document types, number of files, allowed formats, size limits and whether originals/hard copies are mandatory.</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FR-CAM-006</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Configure eligibility rules, score components, weights, pass marks, aggregation method, tie-break rules, quotas and special-skill reservations.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FR-CAM-007</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Configure permitted LC-letter source policy: Origin only, Residence only, Origin or Residence, or another approved rule.</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FR-CAM-008</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Version campaign settings so that changes made after publication can be traced and historical decisions reproduced.</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bl>
    <w:p>
      <w:pPr>
        <w:spacing w:after="20"/>
      </w:pPr>
    </w:p>
    <w:p>
      <w:pPr>
        <w:pStyle w:val="Heading2"/>
        <w:keepNext/>
        <w:spacing w:before="100" w:after="60" w:line="259" w:lineRule="auto"/>
      </w:pPr>
      <w:r>
        <w:rPr>
          <w:rFonts w:ascii="Carlito" w:hAnsi="Carlito"/>
          <w:b/>
          <w:color w:val="6E0F1A"/>
          <w:sz w:val="24"/>
        </w:rPr>
        <w:t>3.2 Example configuration flexibility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Capability</w:t>
            </w:r>
          </w:p>
        </w:tc>
        <w:tc>
          <w:tcPr>
            <w:tcW w:type="dxa" w:w="417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Warder/Wardress example</w:t>
            </w:r>
          </w:p>
        </w:tc>
        <w:tc>
          <w:tcPr>
            <w:tcW w:type="dxa" w:w="43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Future CPO/CASP example</w:t>
            </w:r>
          </w:p>
        </w:tc>
      </w:tr>
      <w:tr>
        <w:trPr>
          <w:cantSplit/>
        </w:trPr>
        <w:tc>
          <w:tcPr>
            <w:tcW w:type="dxa" w:w="230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Education</w:t>
            </w:r>
          </w:p>
        </w:tc>
        <w:tc>
          <w:tcPr>
            <w:tcW w:type="dxa" w:w="41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UCE/O-Level requirements; specific English/Mathematics rule.</w:t>
            </w:r>
          </w:p>
        </w:tc>
        <w:tc>
          <w:tcPr>
            <w:tcW w:type="dxa" w:w="43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Diploma/degree/professional requirements as applicable.</w:t>
            </w:r>
          </w:p>
        </w:tc>
      </w:tr>
      <w:tr>
        <w:trPr>
          <w:cantSplit/>
        </w:trPr>
        <w:tc>
          <w:tcPr>
            <w:tcW w:type="dxa" w:w="230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Assessment stages</w:t>
            </w:r>
          </w:p>
        </w:tc>
        <w:tc>
          <w:tcPr>
            <w:tcW w:type="dxa" w:w="41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Written + Oral + Medical.</w:t>
            </w:r>
          </w:p>
        </w:tc>
        <w:tc>
          <w:tcPr>
            <w:tcW w:type="dxa" w:w="43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Aptitude, technical/practical, oral board, medical or other configured combination.</w:t>
            </w:r>
          </w:p>
        </w:tc>
      </w:tr>
      <w:tr>
        <w:trPr>
          <w:cantSplit/>
        </w:trPr>
        <w:tc>
          <w:tcPr>
            <w:tcW w:type="dxa" w:w="230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Documents</w:t>
            </w:r>
          </w:p>
        </w:tc>
        <w:tc>
          <w:tcPr>
            <w:tcW w:type="dxa" w:w="41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National ID, application letter, LC recommendation, UCE evidence, photo, skills certificates.</w:t>
            </w:r>
          </w:p>
        </w:tc>
        <w:tc>
          <w:tcPr>
            <w:tcW w:type="dxa" w:w="43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National ID, CV, degree/diploma, transcripts, professional licence, experience evidence and other campaign-specific documents.</w:t>
            </w:r>
          </w:p>
        </w:tc>
      </w:tr>
      <w:tr>
        <w:trPr>
          <w:cantSplit/>
        </w:trPr>
        <w:tc>
          <w:tcPr>
            <w:tcW w:type="dxa" w:w="230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Selection</w:t>
            </w:r>
          </w:p>
        </w:tc>
        <w:tc>
          <w:tcPr>
            <w:tcW w:type="dxa" w:w="41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District/region/gender quotas and verified special-skill rules.</w:t>
            </w:r>
          </w:p>
        </w:tc>
        <w:tc>
          <w:tcPr>
            <w:tcW w:type="dxa" w:w="43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Any approved merit/quota policy configured for the campaign.</w:t>
            </w:r>
          </w:p>
        </w:tc>
      </w:tr>
    </w:tbl>
    <w:p>
      <w:pPr>
        <w:spacing w:after="20"/>
      </w:pPr>
    </w:p>
    <w:p>
      <w:pPr>
        <w:pStyle w:val="Heading1"/>
        <w:keepNext/>
        <w:spacing w:before="160" w:after="100" w:line="259" w:lineRule="auto"/>
      </w:pPr>
      <w:r>
        <w:rPr>
          <w:rFonts w:ascii="Carlito" w:hAnsi="Carlito"/>
          <w:b/>
          <w:color w:val="4B0B12"/>
          <w:sz w:val="30"/>
        </w:rPr>
        <w:t>4. Users, Roles and Access Scope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Role</w:t>
            </w:r>
          </w:p>
        </w:tc>
        <w:tc>
          <w:tcPr>
            <w:tcW w:type="dxa" w:w="777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Core permissions</w:t>
            </w:r>
          </w:p>
        </w:tc>
      </w:tr>
      <w:tr>
        <w:trPr>
          <w:cantSplit/>
        </w:trPr>
        <w:tc>
          <w:tcPr>
            <w:tcW w:type="dxa" w:w="30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Applicant</w:t>
            </w:r>
          </w:p>
        </w:tc>
        <w:tc>
          <w:tcPr>
            <w:tcW w:type="dxa" w:w="77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Register, apply, upload/capture documents, resolve pre-submission discrepancies, submit, track, download letters, receive notifications, raise enquiries/appeals.</w:t>
            </w:r>
          </w:p>
        </w:tc>
      </w:tr>
      <w:tr>
        <w:trPr>
          <w:cantSplit/>
        </w:trPr>
        <w:tc>
          <w:tcPr>
            <w:tcW w:type="dxa" w:w="30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Assisted Application Officer</w:t>
            </w:r>
          </w:p>
        </w:tc>
        <w:tc>
          <w:tcPr>
            <w:tcW w:type="dxa" w:w="77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Create or assist applications on behalf of applicants where an approved assisted-service process exists; actions remain attributable.</w:t>
            </w:r>
          </w:p>
        </w:tc>
      </w:tr>
      <w:tr>
        <w:trPr>
          <w:cantSplit/>
        </w:trPr>
        <w:tc>
          <w:tcPr>
            <w:tcW w:type="dxa" w:w="30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Hard-Copy Receiving Officer</w:t>
            </w:r>
          </w:p>
        </w:tc>
        <w:tc>
          <w:tcPr>
            <w:tcW w:type="dxa" w:w="77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Scan/enter application reference; record physical checklist, receipt location/time and discrepancies.</w:t>
            </w:r>
          </w:p>
        </w:tc>
      </w:tr>
      <w:tr>
        <w:trPr>
          <w:cantSplit/>
        </w:trPr>
        <w:tc>
          <w:tcPr>
            <w:tcW w:type="dxa" w:w="30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Verification Officer / Data Clerk</w:t>
            </w:r>
          </w:p>
        </w:tc>
        <w:tc>
          <w:tcPr>
            <w:tcW w:type="dxa" w:w="77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Review application data and documents; verify extracted values; request clearer copies; record verified data and eligibility evidence.</w:t>
            </w:r>
          </w:p>
        </w:tc>
      </w:tr>
      <w:tr>
        <w:trPr>
          <w:cantSplit/>
        </w:trPr>
        <w:tc>
          <w:tcPr>
            <w:tcW w:type="dxa" w:w="30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Panel Member</w:t>
            </w:r>
          </w:p>
        </w:tc>
        <w:tc>
          <w:tcPr>
            <w:tcW w:type="dxa" w:w="77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View assigned candidates only; record own authorised assessment scores/notes; work offline within assigned data pack.</w:t>
            </w:r>
          </w:p>
        </w:tc>
      </w:tr>
      <w:tr>
        <w:trPr>
          <w:cantSplit/>
        </w:trPr>
        <w:tc>
          <w:tcPr>
            <w:tcW w:type="dxa" w:w="30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Panel Head</w:t>
            </w:r>
          </w:p>
        </w:tc>
        <w:tc>
          <w:tcPr>
            <w:tcW w:type="dxa" w:w="77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Review panel work, resolve panel-level issues, adjudicate where policy permits, lock/close panel sessions and approve corrections.</w:t>
            </w:r>
          </w:p>
        </w:tc>
      </w:tr>
      <w:tr>
        <w:trPr>
          <w:cantSplit/>
        </w:trPr>
        <w:tc>
          <w:tcPr>
            <w:tcW w:type="dxa" w:w="30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Centre Coordinator / Regional Recruitment Officer</w:t>
            </w:r>
          </w:p>
        </w:tc>
        <w:tc>
          <w:tcPr>
            <w:tcW w:type="dxa" w:w="77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Manage centre schedule, panels, attendance, offline packs and centre progress; scoped to assigned centre/region.</w:t>
            </w:r>
          </w:p>
        </w:tc>
      </w:tr>
      <w:tr>
        <w:trPr>
          <w:cantSplit/>
        </w:trPr>
        <w:tc>
          <w:tcPr>
            <w:tcW w:type="dxa" w:w="30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Written Examination Officer</w:t>
            </w:r>
          </w:p>
        </w:tc>
        <w:tc>
          <w:tcPr>
            <w:tcW w:type="dxa" w:w="77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Manage written score imports/entry and validation where used.</w:t>
            </w:r>
          </w:p>
        </w:tc>
      </w:tr>
      <w:tr>
        <w:trPr>
          <w:cantSplit/>
        </w:trPr>
        <w:tc>
          <w:tcPr>
            <w:tcW w:type="dxa" w:w="30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Medical Officer</w:t>
            </w:r>
          </w:p>
        </w:tc>
        <w:tc>
          <w:tcPr>
            <w:tcW w:type="dxa" w:w="77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View medical roster and record Fit / Not Fit / Deferred / Further Assessment / No Show with minimum necessary notes.</w:t>
            </w:r>
          </w:p>
        </w:tc>
      </w:tr>
      <w:tr>
        <w:trPr>
          <w:cantSplit/>
        </w:trPr>
        <w:tc>
          <w:tcPr>
            <w:tcW w:type="dxa" w:w="30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Training/PATS Officer</w:t>
            </w:r>
          </w:p>
        </w:tc>
        <w:tc>
          <w:tcPr>
            <w:tcW w:type="dxa" w:w="77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Record reporting, verification, admission, no-show, replacement and intake statistics.</w:t>
            </w:r>
          </w:p>
        </w:tc>
      </w:tr>
      <w:tr>
        <w:trPr>
          <w:cantSplit/>
        </w:trPr>
        <w:tc>
          <w:tcPr>
            <w:tcW w:type="dxa" w:w="30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HQ Recruitment Administrator / Prisons Council Secretariat</w:t>
            </w:r>
          </w:p>
        </w:tc>
        <w:tc>
          <w:tcPr>
            <w:tcW w:type="dxa" w:w="77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Campaign setup, quotas, ranking/capping, override approval, publications, official letters, reporting and national oversight.</w:t>
            </w:r>
          </w:p>
        </w:tc>
      </w:tr>
      <w:tr>
        <w:trPr>
          <w:cantSplit/>
        </w:trPr>
        <w:tc>
          <w:tcPr>
            <w:tcW w:type="dxa" w:w="30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Executive Viewer</w:t>
            </w:r>
          </w:p>
        </w:tc>
        <w:tc>
          <w:tcPr>
            <w:tcW w:type="dxa" w:w="77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Read-only dashboards/reports within assigned scope.</w:t>
            </w:r>
          </w:p>
        </w:tc>
      </w:tr>
      <w:tr>
        <w:trPr>
          <w:cantSplit/>
        </w:trPr>
        <w:tc>
          <w:tcPr>
            <w:tcW w:type="dxa" w:w="30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Auditor / Inspector</w:t>
            </w:r>
          </w:p>
        </w:tc>
        <w:tc>
          <w:tcPr>
            <w:tcW w:type="dxa" w:w="77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Read-only access to evidence, selection runs, overrides and audit logs; no operational edit permissions.</w:t>
            </w:r>
          </w:p>
        </w:tc>
      </w:tr>
      <w:tr>
        <w:trPr>
          <w:cantSplit/>
        </w:trPr>
        <w:tc>
          <w:tcPr>
            <w:tcW w:type="dxa" w:w="30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System / IT Administrator</w:t>
            </w:r>
          </w:p>
        </w:tc>
        <w:tc>
          <w:tcPr>
            <w:tcW w:type="dxa" w:w="77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Accounts, roles, reference data, system configuration, device management, backup/technical administration; no unaudited recruitment-decision powers.</w:t>
            </w:r>
          </w:p>
        </w:tc>
      </w:tr>
    </w:tbl>
    <w:p>
      <w:pPr>
        <w:spacing w:after="20"/>
      </w:pPr>
    </w:p>
    <w:p>
      <w:pPr>
        <w:pStyle w:val="Heading2"/>
        <w:keepNext/>
        <w:spacing w:before="100" w:after="60" w:line="259" w:lineRule="auto"/>
      </w:pPr>
      <w:r>
        <w:rPr>
          <w:rFonts w:ascii="Carlito" w:hAnsi="Carlito"/>
          <w:b/>
          <w:color w:val="6E0F1A"/>
          <w:sz w:val="24"/>
        </w:rPr>
        <w:t>4.1 Access-control principles</w:t>
      </w:r>
    </w:p>
    <w:p>
      <w:pPr>
        <w:pStyle w:val="ListBullet"/>
        <w:spacing w:before="0" w:after="60" w:line="259" w:lineRule="auto"/>
      </w:pPr>
      <w:r>
        <w:rPr>
          <w:rFonts w:ascii="Carlito" w:hAnsi="Carlito"/>
          <w:color w:val="2E2E2E"/>
        </w:rPr>
        <w:t>Permissions shall be role-based and scope-aware (national, region, centre, panel, campaign, post and stage).</w:t>
      </w:r>
    </w:p>
    <w:p>
      <w:pPr>
        <w:pStyle w:val="ListBullet"/>
        <w:spacing w:before="0" w:after="60" w:line="259" w:lineRule="auto"/>
      </w:pPr>
      <w:r>
        <w:rPr>
          <w:rFonts w:ascii="Carlito" w:hAnsi="Carlito"/>
          <w:color w:val="2E2E2E"/>
        </w:rPr>
        <w:t>Panel users shall not automatically see candidates outside their panel.</w:t>
      </w:r>
    </w:p>
    <w:p>
      <w:pPr>
        <w:pStyle w:val="ListBullet"/>
        <w:spacing w:before="0" w:after="60" w:line="259" w:lineRule="auto"/>
      </w:pPr>
      <w:r>
        <w:rPr>
          <w:rFonts w:ascii="Carlito" w:hAnsi="Carlito"/>
          <w:color w:val="2E2E2E"/>
        </w:rPr>
        <w:t>Regional users shall not automatically see another region.</w:t>
      </w:r>
    </w:p>
    <w:p>
      <w:pPr>
        <w:pStyle w:val="ListBullet"/>
        <w:spacing w:before="0" w:after="60" w:line="259" w:lineRule="auto"/>
      </w:pPr>
      <w:r>
        <w:rPr>
          <w:rFonts w:ascii="Carlito" w:hAnsi="Carlito"/>
          <w:color w:val="2E2E2E"/>
        </w:rPr>
        <w:t>Detailed medical information, where captured at all, shall be restricted to authorised medical users; general recruitment users see only the permitted outcome.</w:t>
      </w:r>
    </w:p>
    <w:p>
      <w:pPr>
        <w:pStyle w:val="ListBullet"/>
        <w:spacing w:before="0" w:after="60" w:line="259" w:lineRule="auto"/>
      </w:pPr>
      <w:r>
        <w:rPr>
          <w:rFonts w:ascii="Carlito" w:hAnsi="Carlito"/>
          <w:color w:val="2E2E2E"/>
        </w:rPr>
        <w:t>All privileged staff accounts shall use multi-factor authentication.</w:t>
      </w:r>
    </w:p>
    <w:p>
      <w:pPr>
        <w:pStyle w:val="ListBullet"/>
        <w:spacing w:before="0" w:after="60" w:line="259" w:lineRule="auto"/>
      </w:pPr>
      <w:r>
        <w:rPr>
          <w:rFonts w:ascii="Carlito" w:hAnsi="Carlito"/>
          <w:color w:val="2E2E2E"/>
        </w:rPr>
        <w:t>Staff access shall be revocable immediately; offline data packs shall expire and be revocable on next contact with the server.</w:t>
      </w:r>
    </w:p>
    <w:p>
      <w:pPr>
        <w:pStyle w:val="Heading1"/>
        <w:keepNext/>
        <w:spacing w:before="160" w:after="100" w:line="259" w:lineRule="auto"/>
      </w:pPr>
      <w:r>
        <w:rPr>
          <w:rFonts w:ascii="Carlito" w:hAnsi="Carlito"/>
          <w:b/>
          <w:color w:val="4B0B12"/>
          <w:sz w:val="30"/>
        </w:rPr>
        <w:t>5. End-to-End Recruitment Workflow</w:t>
      </w:r>
    </w:p>
    <w:p>
      <w:pPr>
        <w:spacing w:before="40" w:after="160" w:line="259" w:lineRule="auto"/>
        <w:jc w:val="center"/>
      </w:pPr>
      <w:r>
        <w:rPr>
          <w:rFonts w:ascii="Carlito" w:hAnsi="Carlito"/>
          <w:b/>
          <w:color w:val="6E0F1A"/>
          <w:sz w:val="19"/>
        </w:rPr>
        <w:t>Advert / Campaign</w:t>
      </w:r>
      <w:r>
        <w:rPr>
          <w:rFonts w:ascii="Carlito" w:hAnsi="Carlito"/>
          <w:b/>
          <w:color w:val="C7A434"/>
          <w:sz w:val="20"/>
        </w:rPr>
        <w:t xml:space="preserve">  →  </w:t>
      </w:r>
      <w:r>
        <w:rPr>
          <w:rFonts w:ascii="Carlito" w:hAnsi="Carlito"/>
          <w:b w:val="0"/>
          <w:color w:val="2E2E2E"/>
          <w:sz w:val="19"/>
        </w:rPr>
        <w:t>Online Application</w:t>
      </w:r>
      <w:r>
        <w:rPr>
          <w:rFonts w:ascii="Carlito" w:hAnsi="Carlito"/>
          <w:b/>
          <w:color w:val="C7A434"/>
          <w:sz w:val="20"/>
        </w:rPr>
        <w:t xml:space="preserve">  →  </w:t>
      </w:r>
      <w:r>
        <w:rPr>
          <w:rFonts w:ascii="Carlito" w:hAnsi="Carlito"/>
          <w:b w:val="0"/>
          <w:color w:val="2E2E2E"/>
          <w:sz w:val="19"/>
        </w:rPr>
        <w:t>Document Cross-Validation</w:t>
      </w:r>
      <w:r>
        <w:rPr>
          <w:rFonts w:ascii="Carlito" w:hAnsi="Carlito"/>
          <w:b/>
          <w:color w:val="C7A434"/>
          <w:sz w:val="20"/>
        </w:rPr>
        <w:t xml:space="preserve">  →  </w:t>
      </w:r>
      <w:r>
        <w:rPr>
          <w:rFonts w:ascii="Carlito" w:hAnsi="Carlito"/>
          <w:b w:val="0"/>
          <w:color w:val="2E2E2E"/>
          <w:sz w:val="19"/>
        </w:rPr>
        <w:t>Reference Issued</w:t>
      </w:r>
      <w:r>
        <w:rPr>
          <w:rFonts w:ascii="Carlito" w:hAnsi="Carlito"/>
          <w:b/>
          <w:color w:val="C7A434"/>
          <w:sz w:val="20"/>
        </w:rPr>
        <w:t xml:space="preserve">  →  </w:t>
      </w:r>
      <w:r>
        <w:rPr>
          <w:rFonts w:ascii="Carlito" w:hAnsi="Carlito"/>
          <w:b w:val="0"/>
          <w:color w:val="2E2E2E"/>
          <w:sz w:val="19"/>
        </w:rPr>
        <w:t>Hard Copies</w:t>
      </w:r>
      <w:r>
        <w:rPr>
          <w:rFonts w:ascii="Carlito" w:hAnsi="Carlito"/>
          <w:b/>
          <w:color w:val="C7A434"/>
          <w:sz w:val="20"/>
        </w:rPr>
        <w:t xml:space="preserve">  →  </w:t>
      </w:r>
      <w:r>
        <w:rPr>
          <w:rFonts w:ascii="Carlito" w:hAnsi="Carlito"/>
          <w:b w:val="0"/>
          <w:color w:val="2E2E2E"/>
          <w:sz w:val="19"/>
        </w:rPr>
        <w:t>Verification</w:t>
      </w:r>
      <w:r>
        <w:rPr>
          <w:rFonts w:ascii="Carlito" w:hAnsi="Carlito"/>
          <w:b/>
          <w:color w:val="C7A434"/>
          <w:sz w:val="20"/>
        </w:rPr>
        <w:t xml:space="preserve">  →  </w:t>
      </w:r>
      <w:r>
        <w:rPr>
          <w:rFonts w:ascii="Carlito" w:hAnsi="Carlito"/>
          <w:b w:val="0"/>
          <w:color w:val="2E2E2E"/>
          <w:sz w:val="19"/>
        </w:rPr>
        <w:t>Interview</w:t>
      </w:r>
      <w:r>
        <w:rPr>
          <w:rFonts w:ascii="Carlito" w:hAnsi="Carlito"/>
          <w:b/>
          <w:color w:val="C7A434"/>
          <w:sz w:val="20"/>
        </w:rPr>
        <w:t xml:space="preserve">  →  </w:t>
      </w:r>
      <w:r>
        <w:rPr>
          <w:rFonts w:ascii="Carlito" w:hAnsi="Carlito"/>
          <w:b w:val="0"/>
          <w:color w:val="2E2E2E"/>
          <w:sz w:val="19"/>
        </w:rPr>
        <w:t>Ranking &amp; Quotas</w:t>
      </w:r>
      <w:r>
        <w:rPr>
          <w:rFonts w:ascii="Carlito" w:hAnsi="Carlito"/>
          <w:b/>
          <w:color w:val="C7A434"/>
          <w:sz w:val="20"/>
        </w:rPr>
        <w:t xml:space="preserve">  →  </w:t>
      </w:r>
      <w:r>
        <w:rPr>
          <w:rFonts w:ascii="Carlito" w:hAnsi="Carlito"/>
          <w:b w:val="0"/>
          <w:color w:val="2E2E2E"/>
          <w:sz w:val="19"/>
        </w:rPr>
        <w:t>Medical</w:t>
      </w:r>
      <w:r>
        <w:rPr>
          <w:rFonts w:ascii="Carlito" w:hAnsi="Carlito"/>
          <w:b/>
          <w:color w:val="C7A434"/>
          <w:sz w:val="20"/>
        </w:rPr>
        <w:t xml:space="preserve">  →  </w:t>
      </w:r>
      <w:r>
        <w:rPr>
          <w:rFonts w:ascii="Carlito" w:hAnsi="Carlito"/>
          <w:b w:val="0"/>
          <w:color w:val="2E2E2E"/>
          <w:sz w:val="19"/>
        </w:rPr>
        <w:t>Final Selection</w:t>
      </w:r>
      <w:r>
        <w:rPr>
          <w:rFonts w:ascii="Carlito" w:hAnsi="Carlito"/>
          <w:b/>
          <w:color w:val="C7A434"/>
          <w:sz w:val="20"/>
        </w:rPr>
        <w:t xml:space="preserve">  →  </w:t>
      </w:r>
      <w:r>
        <w:rPr>
          <w:rFonts w:ascii="Carlito" w:hAnsi="Carlito"/>
          <w:b/>
          <w:color w:val="6E0F1A"/>
          <w:sz w:val="19"/>
        </w:rPr>
        <w:t>Training Reporting</w:t>
      </w:r>
    </w:p>
    <w:p>
      <w:pPr>
        <w:pStyle w:val="Heading2"/>
        <w:keepNext/>
        <w:spacing w:before="100" w:after="60" w:line="259" w:lineRule="auto"/>
      </w:pPr>
      <w:r>
        <w:rPr>
          <w:rFonts w:ascii="Carlito" w:hAnsi="Carlito"/>
          <w:b/>
          <w:color w:val="6E0F1A"/>
          <w:sz w:val="24"/>
        </w:rPr>
        <w:t>5.1 Standard application statuses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Status group</w:t>
            </w:r>
          </w:p>
        </w:tc>
        <w:tc>
          <w:tcPr>
            <w:tcW w:type="dxa" w:w="849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Representative statuses</w:t>
            </w:r>
          </w:p>
        </w:tc>
      </w:tr>
      <w:tr>
        <w:trPr>
          <w:cantSplit/>
        </w:trPr>
        <w:tc>
          <w:tcPr>
            <w:tcW w:type="dxa" w:w="230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Application</w:t>
            </w:r>
          </w:p>
        </w:tc>
        <w:tc>
          <w:tcPr>
            <w:tcW w:type="dxa" w:w="849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Draft, Submitted Online, Awaiting Hard Copies, Hard Copies Received, Under Verification, Query / Review Required, Eligible, Ineligible</w:t>
            </w:r>
          </w:p>
        </w:tc>
      </w:tr>
      <w:tr>
        <w:trPr>
          <w:cantSplit/>
        </w:trPr>
        <w:tc>
          <w:tcPr>
            <w:tcW w:type="dxa" w:w="230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Interview</w:t>
            </w:r>
          </w:p>
        </w:tc>
        <w:tc>
          <w:tcPr>
            <w:tcW w:type="dxa" w:w="849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Shortlisted for Interview, Interview Scheduled, Checked In, Written Completed, Oral Completed, Scoring Complete, Ranked</w:t>
            </w:r>
          </w:p>
        </w:tc>
      </w:tr>
      <w:tr>
        <w:trPr>
          <w:cantSplit/>
        </w:trPr>
        <w:tc>
          <w:tcPr>
            <w:tcW w:type="dxa" w:w="230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Selection/Medical</w:t>
            </w:r>
          </w:p>
        </w:tc>
        <w:tc>
          <w:tcPr>
            <w:tcW w:type="dxa" w:w="849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Provisionally Selected, Reserve / Waiting List, Medical Invited, Medically Fit, Medical Deferred, Not Fit, Final Selected</w:t>
            </w:r>
          </w:p>
        </w:tc>
      </w:tr>
      <w:tr>
        <w:trPr>
          <w:cantSplit/>
        </w:trPr>
        <w:tc>
          <w:tcPr>
            <w:tcW w:type="dxa" w:w="230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Final/Training</w:t>
            </w:r>
          </w:p>
        </w:tc>
        <w:tc>
          <w:tcPr>
            <w:tcW w:type="dxa" w:w="849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Training Invited, Reported for Training, Admitted to Training, No Show, Withdrawn, Disqualified, Not Selected</w:t>
            </w:r>
          </w:p>
        </w:tc>
      </w:tr>
    </w:tbl>
    <w:p>
      <w:pPr>
        <w:spacing w:after="20"/>
      </w:pPr>
    </w:p>
    <w:p>
      <w:pPr>
        <w:pStyle w:val="Heading1"/>
        <w:keepNext/>
        <w:spacing w:before="160" w:after="100" w:line="259" w:lineRule="auto"/>
      </w:pPr>
      <w:r>
        <w:rPr>
          <w:rFonts w:ascii="Carlito" w:hAnsi="Carlito"/>
          <w:b/>
          <w:color w:val="4B0B12"/>
          <w:sz w:val="30"/>
        </w:rPr>
        <w:t>6. Applicant Portal and Application Submission</w:t>
      </w:r>
    </w:p>
    <w:p>
      <w:pPr>
        <w:pStyle w:val="Heading2"/>
        <w:keepNext/>
        <w:spacing w:before="100" w:after="60" w:line="259" w:lineRule="auto"/>
      </w:pPr>
      <w:r>
        <w:rPr>
          <w:rFonts w:ascii="Carlito" w:hAnsi="Carlito"/>
          <w:b/>
          <w:color w:val="6E0F1A"/>
          <w:sz w:val="24"/>
        </w:rPr>
        <w:t>6.1 Registration and account access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FR-APP-001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Register using mobile number, NIN and additional campaign-required identity/contact data; email may be required or optional by campaign.</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FR-APP-002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Verify mobile/email using OTP or verification link where configured; support secure recovery without making SMS the only recovery method.</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FR-APP-003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Enforce one active application per NIN per applicable recruitment post/campaign unless an authorised exception exists.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FR-APP-004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Autosave each form step and support resume on the same or another authorised device.</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bl>
    <w:p>
      <w:pPr>
        <w:spacing w:after="20"/>
      </w:pPr>
    </w:p>
    <w:p>
      <w:pPr>
        <w:pStyle w:val="Heading2"/>
        <w:keepNext/>
        <w:spacing w:before="100" w:after="60" w:line="259" w:lineRule="auto"/>
      </w:pPr>
      <w:r>
        <w:rPr>
          <w:rFonts w:ascii="Carlito" w:hAnsi="Carlito"/>
          <w:b/>
          <w:color w:val="6E0F1A"/>
          <w:sz w:val="24"/>
        </w:rPr>
        <w:t>6.2 Dynamic application form</w:t>
      </w:r>
    </w:p>
    <w:p>
      <w:pPr>
        <w:spacing w:before="0" w:after="120" w:line="259" w:lineRule="auto"/>
      </w:pPr>
      <w:r>
        <w:rPr>
          <w:rFonts w:ascii="Carlito" w:hAnsi="Carlito"/>
          <w:i w:val="0"/>
          <w:color w:val="2E2E2E"/>
        </w:rPr>
        <w:t>The applicant form shall be a multi-step wizard whose visible sections depend on the campaign/post configuration.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Section</w:t>
            </w:r>
          </w:p>
        </w:tc>
        <w:tc>
          <w:tcPr>
            <w:tcW w:type="dxa" w:w="83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Core fields</w:t>
            </w:r>
          </w:p>
        </w:tc>
      </w:tr>
      <w:tr>
        <w:trPr>
          <w:cantSplit/>
        </w:trPr>
        <w:tc>
          <w:tcPr>
            <w:tcW w:type="dxa" w:w="244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Personal identity</w:t>
            </w:r>
          </w:p>
        </w:tc>
        <w:tc>
          <w:tcPr>
            <w:tcW w:type="dxa" w:w="83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First Name, Middle/Other Names where applicable, Last Name, DOB, Sex, Nationality, NIN, passport photo.</w:t>
            </w:r>
          </w:p>
        </w:tc>
      </w:tr>
      <w:tr>
        <w:trPr>
          <w:cantSplit/>
        </w:trPr>
        <w:tc>
          <w:tcPr>
            <w:tcW w:type="dxa" w:w="244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Origin address</w:t>
            </w:r>
          </w:p>
        </w:tc>
        <w:tc>
          <w:tcPr>
            <w:tcW w:type="dxa" w:w="83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District → County → Subcounty → Parish → Village.</w:t>
            </w:r>
          </w:p>
        </w:tc>
      </w:tr>
      <w:tr>
        <w:trPr>
          <w:cantSplit/>
        </w:trPr>
        <w:tc>
          <w:tcPr>
            <w:tcW w:type="dxa" w:w="244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Residence address</w:t>
            </w:r>
          </w:p>
        </w:tc>
        <w:tc>
          <w:tcPr>
            <w:tcW w:type="dxa" w:w="83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District → County → Subcounty → Parish → Village; optional residence duration/physical address if required.</w:t>
            </w:r>
          </w:p>
        </w:tc>
      </w:tr>
      <w:tr>
        <w:trPr>
          <w:cantSplit/>
        </w:trPr>
        <w:tc>
          <w:tcPr>
            <w:tcW w:type="dxa" w:w="244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Contacts</w:t>
            </w:r>
          </w:p>
        </w:tc>
        <w:tc>
          <w:tcPr>
            <w:tcW w:type="dxa" w:w="83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Primary phone, alternative phone, email.</w:t>
            </w:r>
          </w:p>
        </w:tc>
      </w:tr>
      <w:tr>
        <w:trPr>
          <w:cantSplit/>
        </w:trPr>
        <w:tc>
          <w:tcPr>
            <w:tcW w:type="dxa" w:w="244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Education history</w:t>
            </w:r>
          </w:p>
        </w:tc>
        <w:tc>
          <w:tcPr>
            <w:tcW w:type="dxa" w:w="83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Education level, institution/school, examining body, index/certificate number, year, subject/grade grid where applicable, result/class.</w:t>
            </w:r>
          </w:p>
        </w:tc>
      </w:tr>
      <w:tr>
        <w:trPr>
          <w:cantSplit/>
        </w:trPr>
        <w:tc>
          <w:tcPr>
            <w:tcW w:type="dxa" w:w="244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Employment history</w:t>
            </w:r>
          </w:p>
        </w:tc>
        <w:tc>
          <w:tcPr>
            <w:tcW w:type="dxa" w:w="83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Enabled only for campaigns that require it.</w:t>
            </w:r>
          </w:p>
        </w:tc>
      </w:tr>
      <w:tr>
        <w:trPr>
          <w:cantSplit/>
        </w:trPr>
        <w:tc>
          <w:tcPr>
            <w:tcW w:type="dxa" w:w="244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Professional registration</w:t>
            </w:r>
          </w:p>
        </w:tc>
        <w:tc>
          <w:tcPr>
            <w:tcW w:type="dxa" w:w="83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Professional body, registration/licence number, date, expiry, evidence, where required.</w:t>
            </w:r>
          </w:p>
        </w:tc>
      </w:tr>
      <w:tr>
        <w:trPr>
          <w:cantSplit/>
        </w:trPr>
        <w:tc>
          <w:tcPr>
            <w:tcW w:type="dxa" w:w="244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Special skills</w:t>
            </w:r>
          </w:p>
        </w:tc>
        <w:tc>
          <w:tcPr>
            <w:tcW w:type="dxa" w:w="83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Admin-maintained skill category, title, institution, certificate number, date and uploaded evidence.</w:t>
            </w:r>
          </w:p>
        </w:tc>
      </w:tr>
      <w:tr>
        <w:trPr>
          <w:cantSplit/>
        </w:trPr>
        <w:tc>
          <w:tcPr>
            <w:tcW w:type="dxa" w:w="244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LC recommendation</w:t>
            </w:r>
          </w:p>
        </w:tc>
        <w:tc>
          <w:tcPr>
            <w:tcW w:type="dxa" w:w="83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Document upload plus source policy and structured location fields as required.</w:t>
            </w:r>
          </w:p>
        </w:tc>
      </w:tr>
      <w:tr>
        <w:trPr>
          <w:cantSplit/>
        </w:trPr>
        <w:tc>
          <w:tcPr>
            <w:tcW w:type="dxa" w:w="244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Declarations</w:t>
            </w:r>
          </w:p>
        </w:tc>
        <w:tc>
          <w:tcPr>
            <w:tcW w:type="dxa" w:w="83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Truthfulness, document ownership, conduct/fitness statements where policy permits, privacy notice acknowledgement and hard-copy requirement acknowledgement.</w:t>
            </w:r>
          </w:p>
        </w:tc>
      </w:tr>
    </w:tbl>
    <w:p>
      <w:pPr>
        <w:spacing w:after="20"/>
      </w:pPr>
    </w:p>
    <w:p>
      <w:pPr>
        <w:pStyle w:val="Heading2"/>
        <w:keepNext/>
        <w:spacing w:before="100" w:after="60" w:line="259" w:lineRule="auto"/>
      </w:pPr>
      <w:r>
        <w:rPr>
          <w:rFonts w:ascii="Carlito" w:hAnsi="Carlito"/>
          <w:b/>
          <w:color w:val="6E0F1A"/>
          <w:sz w:val="24"/>
        </w:rPr>
        <w:t>6.3 Permanent application reference</w:t>
      </w:r>
    </w:p>
    <w:tbl>
      <w:tblPr>
        <w:tblW w:type="auto" w:w="0"/>
        <w:jc w:val="center"/>
        <w:tblLayout w:type="autofit"/>
        <w:tblLook w:firstColumn="1" w:firstRow="1" w:lastColumn="0" w:lastRow="0" w:noHBand="0" w:noVBand="1" w:val="04A0"/>
      </w:tblPr>
      <w:tblGrid>
        <w:gridCol w:w="10166"/>
      </w:tblGrid>
      <w:tr>
        <w:tc>
          <w:tcPr>
            <w:tcW w:type="dxa" w:w="10166"/>
            <w:shd w:fill="F8F9FA"/>
            <w:tcBorders>
              <w:top w:val="single" w:sz="8" w:color="6E0F1A"/>
              <w:left w:val="single" w:sz="12" w:color="6E0F1A"/>
              <w:bottom w:val="single" w:sz="8" w:color="6E0F1A"/>
              <w:right w:val="single" w:sz="8" w:color="6E0F1A"/>
            </w:tcBorders>
            <w:tcMar>
              <w:top w:w="140" w:type="dxa"/>
              <w:start w:w="160" w:type="dxa"/>
              <w:bottom w:w="140" w:type="dxa"/>
              <w:end w:w="160" w:type="dxa"/>
            </w:tcMar>
          </w:tcPr>
          <w:p>
            <w:pPr>
              <w:spacing w:before="0" w:after="60" w:line="259" w:lineRule="auto"/>
            </w:pPr>
            <w:r>
              <w:rPr>
                <w:rFonts w:ascii="Carlito" w:hAnsi="Carlito"/>
                <w:b/>
                <w:color w:val="4B0B12"/>
                <w:sz w:val="21"/>
              </w:rPr>
              <w:t>Recommended format</w:t>
            </w:r>
          </w:p>
          <w:p>
            <w:pPr>
              <w:spacing w:before="0" w:after="0" w:line="259" w:lineRule="auto"/>
            </w:pPr>
            <w:r>
              <w:rPr>
                <w:rFonts w:ascii="Carlito" w:hAnsi="Carlito"/>
                <w:color w:val="2E2E2E"/>
                <w:sz w:val="19"/>
              </w:rPr>
              <w:t>Use a stable campaign/post reference such as UPS/2027/RW/000381, UPS/2027/CPO/000054 or UPS/2027/CASP/000127. Do not encode interview centre because centre assignment can be corrected or changed later.</w:t>
            </w:r>
          </w:p>
        </w:tc>
      </w:tr>
    </w:tbl>
    <w:p>
      <w:pPr>
        <w:spacing w:after="0"/>
      </w:pPr>
    </w:p>
    <w:p>
      <w:pPr>
        <w:spacing w:before="0" w:after="120" w:line="259" w:lineRule="auto"/>
      </w:pPr>
      <w:r>
        <w:rPr>
          <w:rFonts w:ascii="Carlito" w:hAnsi="Carlito"/>
          <w:i w:val="0"/>
          <w:color w:val="2E2E2E"/>
        </w:rPr>
        <w:t>On final online submission the system shall issue the unique application number, generate a QR code, create a downloadable acknowledgement slip, and trigger configured notification channels. The acknowledgement shall state that online submission does not replace the required hard-copy step where the campaign requires physical documents.</w:t>
      </w:r>
    </w:p>
    <w:p>
      <w:pPr>
        <w:pStyle w:val="Heading1"/>
        <w:keepNext/>
        <w:spacing w:before="160" w:after="100" w:line="259" w:lineRule="auto"/>
      </w:pPr>
      <w:r>
        <w:rPr>
          <w:rFonts w:ascii="Carlito" w:hAnsi="Carlito"/>
          <w:b/>
          <w:color w:val="4B0B12"/>
          <w:sz w:val="30"/>
        </w:rPr>
        <w:t>7. Document Intelligence and Multi-Source Cross-Validation</w:t>
      </w:r>
    </w:p>
    <w:p>
      <w:pPr>
        <w:spacing w:before="0" w:after="120" w:line="259" w:lineRule="auto"/>
      </w:pPr>
      <w:r>
        <w:rPr>
          <w:rFonts w:ascii="Carlito" w:hAnsi="Carlito"/>
          <w:i w:val="0"/>
          <w:color w:val="2E2E2E"/>
        </w:rPr>
        <w:t>Document intelligence is a core validation and reviewer-assistance module. It shall not be limited to comparing applicant-entered data with each uploaded file separately. The engine shall compare values across all available evidence sources and highlight both form-to-document and document-to-document discrepancies.</w:t>
      </w:r>
    </w:p>
    <w:p>
      <w:pPr>
        <w:spacing w:before="40" w:after="160" w:line="259" w:lineRule="auto"/>
        <w:jc w:val="center"/>
      </w:pPr>
      <w:r>
        <w:rPr>
          <w:rFonts w:ascii="Carlito" w:hAnsi="Carlito"/>
          <w:b/>
          <w:color w:val="6E0F1A"/>
          <w:sz w:val="19"/>
        </w:rPr>
        <w:t>Entered Data</w:t>
      </w:r>
      <w:r>
        <w:rPr>
          <w:rFonts w:ascii="Carlito" w:hAnsi="Carlito"/>
          <w:b/>
          <w:color w:val="C7A434"/>
          <w:sz w:val="20"/>
        </w:rPr>
        <w:t xml:space="preserve">  →  </w:t>
      </w:r>
      <w:r>
        <w:rPr>
          <w:rFonts w:ascii="Carlito" w:hAnsi="Carlito"/>
          <w:b w:val="0"/>
          <w:color w:val="2E2E2E"/>
          <w:sz w:val="19"/>
        </w:rPr>
        <w:t>ID &amp; Documents Captured</w:t>
      </w:r>
      <w:r>
        <w:rPr>
          <w:rFonts w:ascii="Carlito" w:hAnsi="Carlito"/>
          <w:b/>
          <w:color w:val="C7A434"/>
          <w:sz w:val="20"/>
        </w:rPr>
        <w:t xml:space="preserve">  →  </w:t>
      </w:r>
      <w:r>
        <w:rPr>
          <w:rFonts w:ascii="Carlito" w:hAnsi="Carlito"/>
          <w:b w:val="0"/>
          <w:color w:val="2E2E2E"/>
          <w:sz w:val="19"/>
        </w:rPr>
        <w:t>OCR / Field Extraction</w:t>
      </w:r>
      <w:r>
        <w:rPr>
          <w:rFonts w:ascii="Carlito" w:hAnsi="Carlito"/>
          <w:b/>
          <w:color w:val="C7A434"/>
          <w:sz w:val="20"/>
        </w:rPr>
        <w:t xml:space="preserve">  →  </w:t>
      </w:r>
      <w:r>
        <w:rPr>
          <w:rFonts w:ascii="Carlito" w:hAnsi="Carlito"/>
          <w:b w:val="0"/>
          <w:color w:val="2E2E2E"/>
          <w:sz w:val="19"/>
        </w:rPr>
        <w:t>Cross-Source Comparison</w:t>
      </w:r>
      <w:r>
        <w:rPr>
          <w:rFonts w:ascii="Carlito" w:hAnsi="Carlito"/>
          <w:b/>
          <w:color w:val="C7A434"/>
          <w:sz w:val="20"/>
        </w:rPr>
        <w:t xml:space="preserve">  →  </w:t>
      </w:r>
      <w:r>
        <w:rPr>
          <w:rFonts w:ascii="Carlito" w:hAnsi="Carlito"/>
          <w:b w:val="0"/>
          <w:color w:val="2E2E2E"/>
          <w:sz w:val="19"/>
        </w:rPr>
        <w:t>Discrepancy Flags</w:t>
      </w:r>
      <w:r>
        <w:rPr>
          <w:rFonts w:ascii="Carlito" w:hAnsi="Carlito"/>
          <w:b/>
          <w:color w:val="C7A434"/>
          <w:sz w:val="20"/>
        </w:rPr>
        <w:t xml:space="preserve">  →  </w:t>
      </w:r>
      <w:r>
        <w:rPr>
          <w:rFonts w:ascii="Carlito" w:hAnsi="Carlito"/>
          <w:b w:val="0"/>
          <w:color w:val="2E2E2E"/>
          <w:sz w:val="19"/>
        </w:rPr>
        <w:t>Officer Verification</w:t>
      </w:r>
      <w:r>
        <w:rPr>
          <w:rFonts w:ascii="Carlito" w:hAnsi="Carlito"/>
          <w:b/>
          <w:color w:val="C7A434"/>
          <w:sz w:val="20"/>
        </w:rPr>
        <w:t xml:space="preserve">  →  </w:t>
      </w:r>
      <w:r>
        <w:rPr>
          <w:rFonts w:ascii="Carlito" w:hAnsi="Carlito"/>
          <w:b/>
          <w:color w:val="6E0F1A"/>
          <w:sz w:val="19"/>
        </w:rPr>
        <w:t>Verified Data Layer</w:t>
      </w:r>
    </w:p>
    <w:p>
      <w:pPr>
        <w:pStyle w:val="Heading2"/>
        <w:keepNext/>
        <w:spacing w:before="100" w:after="60" w:line="259" w:lineRule="auto"/>
      </w:pPr>
      <w:r>
        <w:rPr>
          <w:rFonts w:ascii="Carlito" w:hAnsi="Carlito"/>
          <w:b/>
          <w:color w:val="6E0F1A"/>
          <w:sz w:val="24"/>
        </w:rPr>
        <w:t>7.1 Document ingestion pipeline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FR-DOC-001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Accept configured PDF/JPG/JPEG/PNG and other approved formats with server-side MIME validation and size limits.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FR-DOC-002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Support camera capture with edge detection/cropping, rotation and compression where technically practical.</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Should</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FR-DOC-003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Perform document quality checks for blur, glare, low resolution, clipping/cropping and unreadable orientation before or immediately after upload.</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FR-DOC-004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Malware-scan uploads, calculate file checksum/hash, store originals securely and prevent executable/unsafe content.</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FR-DOC-005</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Classify document type and extract available text/fields using OCR/document processing.</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FR-DOC-006</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Store extraction engine/version, raw extracted text, structured values, confidence values, document page/region coordinates and processing status.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FR-DOC-007</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Never automatically reject an applicant solely because OCR is uncertain or fails.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bl>
    <w:p>
      <w:pPr>
        <w:spacing w:after="20"/>
      </w:pPr>
    </w:p>
    <w:p>
      <w:pPr>
        <w:pStyle w:val="Heading2"/>
        <w:keepNext/>
        <w:spacing w:before="100" w:after="60" w:line="259" w:lineRule="auto"/>
      </w:pPr>
      <w:r>
        <w:rPr>
          <w:rFonts w:ascii="Carlito" w:hAnsi="Carlito"/>
          <w:b/>
          <w:color w:val="6E0F1A"/>
          <w:sz w:val="24"/>
        </w:rPr>
        <w:t>7.2 Fields to cross-validate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Evidence source</w:t>
            </w:r>
          </w:p>
        </w:tc>
        <w:tc>
          <w:tcPr>
            <w:tcW w:type="dxa" w:w="756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Typical extracted/captured values</w:t>
            </w:r>
          </w:p>
        </w:tc>
      </w:tr>
      <w:tr>
        <w:trPr>
          <w:cantSplit/>
        </w:trPr>
        <w:tc>
          <w:tcPr>
            <w:tcW w:type="dxa" w:w="32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National ID</w:t>
            </w:r>
          </w:p>
        </w:tc>
        <w:tc>
          <w:tcPr>
            <w:tcW w:type="dxa" w:w="756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Names, NIN, DOB, sex and other reliably printed identity fields.</w:t>
            </w:r>
          </w:p>
        </w:tc>
      </w:tr>
      <w:tr>
        <w:trPr>
          <w:cantSplit/>
        </w:trPr>
        <w:tc>
          <w:tcPr>
            <w:tcW w:type="dxa" w:w="32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UCE/O-Level or other academic document</w:t>
            </w:r>
          </w:p>
        </w:tc>
        <w:tc>
          <w:tcPr>
            <w:tcW w:type="dxa" w:w="756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Candidate name, index/certificate number, year, subjects, grades/results and other available identity fields.</w:t>
            </w:r>
          </w:p>
        </w:tc>
      </w:tr>
      <w:tr>
        <w:trPr>
          <w:cantSplit/>
        </w:trPr>
        <w:tc>
          <w:tcPr>
            <w:tcW w:type="dxa" w:w="32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LC recommendation</w:t>
            </w:r>
          </w:p>
        </w:tc>
        <w:tc>
          <w:tcPr>
            <w:tcW w:type="dxa" w:w="756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Applicant name, NIN if present, village/parish/subcounty/district, date and named officials where legible.</w:t>
            </w:r>
          </w:p>
        </w:tc>
      </w:tr>
      <w:tr>
        <w:trPr>
          <w:cantSplit/>
        </w:trPr>
        <w:tc>
          <w:tcPr>
            <w:tcW w:type="dxa" w:w="32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Application letter</w:t>
            </w:r>
          </w:p>
        </w:tc>
        <w:tc>
          <w:tcPr>
            <w:tcW w:type="dxa" w:w="756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Applicant name, NIN/DOB/district/post/reference where written and reliably extractable; handwriting remains review-oriented.</w:t>
            </w:r>
          </w:p>
        </w:tc>
      </w:tr>
      <w:tr>
        <w:trPr>
          <w:cantSplit/>
        </w:trPr>
        <w:tc>
          <w:tcPr>
            <w:tcW w:type="dxa" w:w="32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Special-skill / professional certificate</w:t>
            </w:r>
          </w:p>
        </w:tc>
        <w:tc>
          <w:tcPr>
            <w:tcW w:type="dxa" w:w="756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Applicant name, qualification/skill, institution/body, certificate/registration number, dates.</w:t>
            </w:r>
          </w:p>
        </w:tc>
      </w:tr>
      <w:tr>
        <w:trPr>
          <w:cantSplit/>
        </w:trPr>
        <w:tc>
          <w:tcPr>
            <w:tcW w:type="dxa" w:w="32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Other campaign documents</w:t>
            </w:r>
          </w:p>
        </w:tc>
        <w:tc>
          <w:tcPr>
            <w:tcW w:type="dxa" w:w="756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Configured fields relevant to identity, qualification, experience or eligibility.</w:t>
            </w:r>
          </w:p>
        </w:tc>
      </w:tr>
    </w:tbl>
    <w:p>
      <w:pPr>
        <w:spacing w:after="20"/>
      </w:pPr>
    </w:p>
    <w:p>
      <w:pPr>
        <w:pStyle w:val="Heading2"/>
        <w:keepNext/>
        <w:spacing w:before="100" w:after="60" w:line="259" w:lineRule="auto"/>
      </w:pPr>
      <w:r>
        <w:rPr>
          <w:rFonts w:ascii="Carlito" w:hAnsi="Carlito"/>
          <w:b/>
          <w:color w:val="6E0F1A"/>
          <w:sz w:val="24"/>
        </w:rPr>
        <w:t>7.3 Cross-source comparison rules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Status</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Meaning</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VERIFIED / CONSISTENT</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Relevant values agree across available sources and/or have been confirmed by an authorised UPS reviewer.</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PROBABLE MATCH</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Minor differences such as name order or abbreviation exist; review may still be required under campaign policy.</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DISCREPANCY</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A material conflict exists between sources and must be resolved before the affected field is treated as verified.</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UNREADABLE / LOW CONFIDENCE</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The document engine cannot reliably capture the value. Human review or a clearer upload is required.</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NOT AVAILABLE</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The field is not present on that source; absence is not itself treated as a discrepancy.</w:t>
            </w:r>
          </w:p>
        </w:tc>
      </w:tr>
    </w:tbl>
    <w:p>
      <w:pPr>
        <w:spacing w:after="20"/>
      </w:pPr>
    </w:p>
    <w:p>
      <w:pPr>
        <w:spacing w:before="0" w:after="120" w:line="259" w:lineRule="auto"/>
      </w:pPr>
      <w:r>
        <w:rPr>
          <w:rFonts w:ascii="Carlito" w:hAnsi="Carlito"/>
          <w:i w:val="0"/>
          <w:color w:val="2E2E2E"/>
        </w:rPr>
        <w:t>Names shall use token/order-aware comparison for likely rearrangements and abbreviations, while retaining human review for material differences. NIN should normally require an exact normalised match wherever it appears. DOB and grades shall be compared exactly after format normalisation. Missing fields shall not be treated as mismatches.</w:t>
      </w:r>
    </w:p>
    <w:p>
      <w:pPr>
        <w:pStyle w:val="Heading2"/>
        <w:keepNext/>
        <w:spacing w:before="100" w:after="60" w:line="259" w:lineRule="auto"/>
      </w:pPr>
      <w:r>
        <w:rPr>
          <w:rFonts w:ascii="Carlito" w:hAnsi="Carlito"/>
          <w:b/>
          <w:color w:val="6E0F1A"/>
          <w:sz w:val="24"/>
        </w:rPr>
        <w:t>7.4 Example evidence matrix</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224"/>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5"/>
              </w:rPr>
              <w:t>Attribute</w:t>
            </w:r>
          </w:p>
        </w:tc>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5"/>
              </w:rPr>
              <w:t>Entered Form</w:t>
            </w:r>
          </w:p>
        </w:tc>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5"/>
              </w:rPr>
              <w:t>National ID</w:t>
            </w:r>
          </w:p>
        </w:tc>
        <w:tc>
          <w:tcPr>
            <w:tcW w:type="dxa" w:w="187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5"/>
              </w:rPr>
              <w:t>Academic Document</w:t>
            </w:r>
          </w:p>
        </w:tc>
        <w:tc>
          <w:tcPr>
            <w:tcW w:type="dxa" w:w="144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5"/>
              </w:rPr>
              <w:t>LC Letter</w:t>
            </w:r>
          </w:p>
        </w:tc>
        <w:tc>
          <w:tcPr>
            <w:tcW w:type="dxa" w:w="1728"/>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5"/>
              </w:rPr>
              <w:t>Application Letter</w:t>
            </w:r>
          </w:p>
        </w:tc>
        <w:tc>
          <w:tcPr>
            <w:tcW w:type="dxa" w:w="1584"/>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5"/>
              </w:rPr>
              <w:t>Outcome</w:t>
            </w:r>
          </w:p>
        </w:tc>
      </w:tr>
      <w:tr>
        <w:trPr>
          <w:cantSplit/>
        </w:trPr>
        <w:tc>
          <w:tcPr>
            <w:tcW w:type="dxa" w:w="12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5"/>
              </w:rPr>
              <w:t>Name</w:t>
            </w:r>
          </w:p>
        </w:tc>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AKELLO SARAH GRACE</w:t>
            </w:r>
          </w:p>
        </w:tc>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AKELLO SARAH GRACE</w:t>
            </w:r>
          </w:p>
        </w:tc>
        <w:tc>
          <w:tcPr>
            <w:tcW w:type="dxa" w:w="187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AKELLO SARAH G.</w:t>
            </w:r>
          </w:p>
        </w:tc>
        <w:tc>
          <w:tcPr>
            <w:tcW w:type="dxa" w:w="14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SARAH GRACE AKELLO</w:t>
            </w:r>
          </w:p>
        </w:tc>
        <w:tc>
          <w:tcPr>
            <w:tcW w:type="dxa" w:w="172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AKELLO SARAH GRACE</w:t>
            </w:r>
          </w:p>
        </w:tc>
        <w:tc>
          <w:tcPr>
            <w:tcW w:type="dxa" w:w="158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Probable/consistent after review</w:t>
            </w:r>
          </w:p>
        </w:tc>
      </w:tr>
      <w:tr>
        <w:trPr>
          <w:cantSplit/>
        </w:trPr>
        <w:tc>
          <w:tcPr>
            <w:tcW w:type="dxa" w:w="12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5"/>
              </w:rPr>
              <w:t>NIN</w:t>
            </w:r>
          </w:p>
        </w:tc>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CM92…8AB</w:t>
            </w:r>
          </w:p>
        </w:tc>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CM92…8AB</w:t>
            </w:r>
          </w:p>
        </w:tc>
        <w:tc>
          <w:tcPr>
            <w:tcW w:type="dxa" w:w="187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w:t>
            </w:r>
          </w:p>
        </w:tc>
        <w:tc>
          <w:tcPr>
            <w:tcW w:type="dxa" w:w="14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CM92…8AB</w:t>
            </w:r>
          </w:p>
        </w:tc>
        <w:tc>
          <w:tcPr>
            <w:tcW w:type="dxa" w:w="172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CM92…8AB</w:t>
            </w:r>
          </w:p>
        </w:tc>
        <w:tc>
          <w:tcPr>
            <w:tcW w:type="dxa" w:w="158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Exact across available sources</w:t>
            </w:r>
          </w:p>
        </w:tc>
      </w:tr>
      <w:tr>
        <w:trPr>
          <w:cantSplit/>
        </w:trPr>
        <w:tc>
          <w:tcPr>
            <w:tcW w:type="dxa" w:w="12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5"/>
              </w:rPr>
              <w:t>DOB</w:t>
            </w:r>
          </w:p>
        </w:tc>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13/08/2002</w:t>
            </w:r>
          </w:p>
        </w:tc>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13/08/2002</w:t>
            </w:r>
          </w:p>
        </w:tc>
        <w:tc>
          <w:tcPr>
            <w:tcW w:type="dxa" w:w="187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13/08/2001</w:t>
            </w:r>
          </w:p>
        </w:tc>
        <w:tc>
          <w:tcPr>
            <w:tcW w:type="dxa" w:w="14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w:t>
            </w:r>
          </w:p>
        </w:tc>
        <w:tc>
          <w:tcPr>
            <w:tcW w:type="dxa" w:w="172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13/08/2002</w:t>
            </w:r>
          </w:p>
        </w:tc>
        <w:tc>
          <w:tcPr>
            <w:tcW w:type="dxa" w:w="158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Discrepancy — human verification required</w:t>
            </w:r>
          </w:p>
        </w:tc>
      </w:tr>
      <w:tr>
        <w:trPr>
          <w:cantSplit/>
        </w:trPr>
        <w:tc>
          <w:tcPr>
            <w:tcW w:type="dxa" w:w="12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5"/>
              </w:rPr>
              <w:t>English</w:t>
            </w:r>
          </w:p>
        </w:tc>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C4</w:t>
            </w:r>
          </w:p>
        </w:tc>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w:t>
            </w:r>
          </w:p>
        </w:tc>
        <w:tc>
          <w:tcPr>
            <w:tcW w:type="dxa" w:w="187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C4</w:t>
            </w:r>
          </w:p>
        </w:tc>
        <w:tc>
          <w:tcPr>
            <w:tcW w:type="dxa" w:w="14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w:t>
            </w:r>
          </w:p>
        </w:tc>
        <w:tc>
          <w:tcPr>
            <w:tcW w:type="dxa" w:w="172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w:t>
            </w:r>
          </w:p>
        </w:tc>
        <w:tc>
          <w:tcPr>
            <w:tcW w:type="dxa" w:w="158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Consistent</w:t>
            </w:r>
          </w:p>
        </w:tc>
      </w:tr>
      <w:tr>
        <w:trPr>
          <w:cantSplit/>
        </w:trPr>
        <w:tc>
          <w:tcPr>
            <w:tcW w:type="dxa" w:w="12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5"/>
              </w:rPr>
              <w:t>Mathematics</w:t>
            </w:r>
          </w:p>
        </w:tc>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D7</w:t>
            </w:r>
          </w:p>
        </w:tc>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w:t>
            </w:r>
          </w:p>
        </w:tc>
        <w:tc>
          <w:tcPr>
            <w:tcW w:type="dxa" w:w="187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D7</w:t>
            </w:r>
          </w:p>
        </w:tc>
        <w:tc>
          <w:tcPr>
            <w:tcW w:type="dxa" w:w="14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w:t>
            </w:r>
          </w:p>
        </w:tc>
        <w:tc>
          <w:tcPr>
            <w:tcW w:type="dxa" w:w="172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w:t>
            </w:r>
          </w:p>
        </w:tc>
        <w:tc>
          <w:tcPr>
            <w:tcW w:type="dxa" w:w="158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5"/>
              </w:rPr>
              <w:t>Consistent</w:t>
            </w:r>
          </w:p>
        </w:tc>
      </w:tr>
    </w:tbl>
    <w:p>
      <w:pPr>
        <w:spacing w:after="20"/>
      </w:pPr>
    </w:p>
    <w:p>
      <w:pPr>
        <w:pStyle w:val="Heading2"/>
        <w:keepNext/>
        <w:spacing w:before="100" w:after="60" w:line="259" w:lineRule="auto"/>
      </w:pPr>
      <w:r>
        <w:rPr>
          <w:rFonts w:ascii="Carlito" w:hAnsi="Carlito"/>
          <w:b/>
          <w:color w:val="6E0F1A"/>
          <w:sz w:val="24"/>
        </w:rPr>
        <w:t>7.5 Verification authority and data lineage</w:t>
      </w:r>
    </w:p>
    <w:tbl>
      <w:tblPr>
        <w:tblW w:type="auto" w:w="0"/>
        <w:jc w:val="center"/>
        <w:tblLayout w:type="autofit"/>
        <w:tblLook w:firstColumn="1" w:firstRow="1" w:lastColumn="0" w:lastRow="0" w:noHBand="0" w:noVBand="1" w:val="04A0"/>
      </w:tblPr>
      <w:tblGrid>
        <w:gridCol w:w="10166"/>
      </w:tblGrid>
      <w:tr>
        <w:tc>
          <w:tcPr>
            <w:tcW w:type="dxa" w:w="10166"/>
            <w:shd w:fill="F3ECD2"/>
            <w:tcBorders>
              <w:top w:val="single" w:sz="8" w:color="C7A434"/>
              <w:left w:val="single" w:sz="12" w:color="C7A434"/>
              <w:bottom w:val="single" w:sz="8" w:color="C7A434"/>
              <w:right w:val="single" w:sz="8" w:color="C7A434"/>
            </w:tcBorders>
            <w:tcMar>
              <w:top w:w="140" w:type="dxa"/>
              <w:start w:w="160" w:type="dxa"/>
              <w:bottom w:w="140" w:type="dxa"/>
              <w:end w:w="160" w:type="dxa"/>
            </w:tcMar>
          </w:tcPr>
          <w:p>
            <w:pPr>
              <w:spacing w:before="0" w:after="60" w:line="259" w:lineRule="auto"/>
            </w:pPr>
            <w:r>
              <w:rPr>
                <w:rFonts w:ascii="Carlito" w:hAnsi="Carlito"/>
                <w:b/>
                <w:color w:val="4B0B12"/>
                <w:sz w:val="21"/>
              </w:rPr>
              <w:t>Three-layer evidence model</w:t>
            </w:r>
          </w:p>
          <w:p>
            <w:pPr>
              <w:spacing w:before="0" w:after="0" w:line="259" w:lineRule="auto"/>
            </w:pPr>
            <w:r>
              <w:rPr>
                <w:rFonts w:ascii="Carlito" w:hAnsi="Carlito"/>
                <w:color w:val="2E2E2E"/>
                <w:sz w:val="19"/>
              </w:rPr>
              <w:t>SOURCE DATA = what each form/document says.  COMPARISON DATA = where those sources agree or differ.  VERIFIED DATA = the value formally accepted by an authorised UPS reviewer after available evidence and/or original documents are reviewed. Eligibility and selection shall consume Verified Data wherever verification is required.</w:t>
            </w:r>
          </w:p>
        </w:tc>
      </w:tr>
    </w:tbl>
    <w:p>
      <w:pPr>
        <w:spacing w:after="0"/>
      </w:pPr>
    </w:p>
    <w:p>
      <w:pPr>
        <w:spacing w:before="0" w:after="120" w:line="259" w:lineRule="auto"/>
      </w:pPr>
      <w:r>
        <w:rPr>
          <w:rFonts w:ascii="Carlito" w:hAnsi="Carlito"/>
          <w:i w:val="0"/>
          <w:color w:val="2E2E2E"/>
        </w:rPr>
        <w:t>Where an authoritative NIRA check is available in a future approved integration, it may become an additional evidence source. No UNEB verification system shall be assumed, designed or required. Academic verification remains OCR-assisted plus UPS human/original-document verification.</w:t>
      </w:r>
    </w:p>
    <w:p>
      <w:pPr>
        <w:pStyle w:val="Heading1"/>
        <w:keepNext/>
        <w:spacing w:before="160" w:after="100" w:line="259" w:lineRule="auto"/>
      </w:pPr>
      <w:r>
        <w:rPr>
          <w:rFonts w:ascii="Carlito" w:hAnsi="Carlito"/>
          <w:b/>
          <w:color w:val="4B0B12"/>
          <w:sz w:val="30"/>
        </w:rPr>
        <w:t>8. Staff Verification Workbench — Same-Viewport Review</w:t>
      </w:r>
    </w:p>
    <w:p>
      <w:pPr>
        <w:spacing w:before="0" w:after="120" w:line="259" w:lineRule="auto"/>
      </w:pPr>
      <w:r>
        <w:rPr>
          <w:rFonts w:ascii="Carlito" w:hAnsi="Carlito"/>
          <w:i w:val="0"/>
          <w:color w:val="2E2E2E"/>
        </w:rPr>
        <w:t>The verification interface shall be specifically optimised for fast visual review. The selected scanned document and the document-captured/extracted data shall be visible in the same viewport, eliminating the need to navigate between pages or windows to compare evidence.</w:t>
      </w:r>
    </w:p>
    <w:p>
      <w:pPr>
        <w:pStyle w:val="Heading2"/>
        <w:keepNext/>
        <w:spacing w:before="100" w:after="60" w:line="259" w:lineRule="auto"/>
      </w:pPr>
      <w:r>
        <w:rPr>
          <w:rFonts w:ascii="Carlito" w:hAnsi="Carlito"/>
          <w:b/>
          <w:color w:val="6E0F1A"/>
          <w:sz w:val="24"/>
        </w:rPr>
        <w:t>8.1 Desktop/tablet layout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40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Left pane — Scanned evidence</w:t>
            </w:r>
          </w:p>
        </w:tc>
        <w:tc>
          <w:tcPr>
            <w:tcW w:type="dxa" w:w="540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Right pane — Captured data &amp; review controls</w:t>
            </w:r>
          </w:p>
        </w:tc>
      </w:tr>
      <w:tr>
        <w:trPr>
          <w:cantSplit/>
        </w:trPr>
        <w:tc>
          <w:tcPr>
            <w:tcW w:type="dxa" w:w="540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Selected document preview (ID, academic result, LC letter, application letter, skill certificate, etc.).</w:t>
            </w:r>
          </w:p>
        </w:tc>
        <w:tc>
          <w:tcPr>
            <w:tcW w:type="dxa" w:w="540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Extracted fields with OCR values, confidence, source badges, entered value and cross-document comparison status.</w:t>
            </w:r>
          </w:p>
        </w:tc>
      </w:tr>
      <w:tr>
        <w:trPr>
          <w:cantSplit/>
        </w:trPr>
        <w:tc>
          <w:tcPr>
            <w:tcW w:type="dxa" w:w="540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Page thumbnails, next/previous page, zoom, pan, rotate, fit-width, brightness/contrast where supported.</w:t>
            </w:r>
          </w:p>
        </w:tc>
        <w:tc>
          <w:tcPr>
            <w:tcW w:type="dxa" w:w="540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Reviewer decision per field: Verify, Flag, Correct with reason, Request clearer copy, Mark unreadable/not present.</w:t>
            </w:r>
          </w:p>
        </w:tc>
      </w:tr>
      <w:tr>
        <w:trPr>
          <w:cantSplit/>
        </w:trPr>
        <w:tc>
          <w:tcPr>
            <w:tcW w:type="dxa" w:w="540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Highlight/bounding box around the document area from which the selected value was extracted.</w:t>
            </w:r>
          </w:p>
        </w:tc>
        <w:tc>
          <w:tcPr>
            <w:tcW w:type="dxa" w:w="540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Discrepancy reason, notes, final verified value, evidence source and audit attribution.</w:t>
            </w:r>
          </w:p>
        </w:tc>
      </w:tr>
      <w:tr>
        <w:trPr>
          <w:cantSplit/>
        </w:trPr>
        <w:tc>
          <w:tcPr>
            <w:tcW w:type="dxa" w:w="540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Source tabs to switch documents without leaving the workbench.</w:t>
            </w:r>
          </w:p>
        </w:tc>
        <w:tc>
          <w:tcPr>
            <w:tcW w:type="dxa" w:w="540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Applicant-wide evidence matrix summarising what every source says about Name, NIN, DOB, grades, district and other relevant attributes.</w:t>
            </w:r>
          </w:p>
        </w:tc>
      </w:tr>
    </w:tbl>
    <w:p>
      <w:pPr>
        <w:spacing w:after="20"/>
      </w:pPr>
    </w:p>
    <w:p>
      <w:pPr>
        <w:pStyle w:val="Heading2"/>
        <w:keepNext/>
        <w:spacing w:before="100" w:after="60" w:line="259" w:lineRule="auto"/>
      </w:pPr>
      <w:r>
        <w:rPr>
          <w:rFonts w:ascii="Carlito" w:hAnsi="Carlito"/>
          <w:b/>
          <w:color w:val="6E0F1A"/>
          <w:sz w:val="24"/>
        </w:rPr>
        <w:t>8.2 Interaction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At viewport widths suitable for officer review (target ≥1024 px), show document preview and captured-data review panel side by side on one screen.</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Provide a resizable divider; preserve the reviewer’s pane size preference for the session/device where practical.</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Should</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Clicking an extracted field shall focus/highlight the corresponding region on the scanned document when coordinate data is available.</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Clicking a source value in the cross-document matrix shall switch the preview to that source and position the relevant page/region.</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FR-REV-005</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Show entered value, selected-document extracted value, values from other documents, confidence, comparison outcome and final verified value without leaving the workbench.</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FR-REV-006</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Allow discrepancy reporting with category, structured reason, free-text note, reviewer identity and timestamp.</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FR-REV-007</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Allow request for replacement/clearer upload without destroying the original file or its audit history.</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FR-REV-008</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Allow the review workbench to operate offline for authorised downloaded cases and sync verification events later.</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FR-REV-009</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On narrower tablets, use a same-page top/bottom split or collapsible panes; full verification on phones may be restricted if the viewport is inadequate.</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Should</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FR-REV-010</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Provide keyboard shortcuts for common review actions where safe, and ensure all actions are keyboard-accessible.</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Should</w:t>
            </w:r>
          </w:p>
        </w:tc>
      </w:tr>
    </w:tbl>
    <w:p>
      <w:pPr>
        <w:spacing w:after="20"/>
      </w:pPr>
    </w:p>
    <w:p>
      <w:pPr>
        <w:pStyle w:val="Heading2"/>
        <w:keepNext/>
        <w:spacing w:before="100" w:after="60" w:line="259" w:lineRule="auto"/>
      </w:pPr>
      <w:r>
        <w:rPr>
          <w:rFonts w:ascii="Carlito" w:hAnsi="Carlito"/>
          <w:b/>
          <w:color w:val="6E0F1A"/>
          <w:sz w:val="24"/>
        </w:rPr>
        <w:t>8.3 Review outcome</w:t>
      </w:r>
    </w:p>
    <w:p>
      <w:pPr>
        <w:spacing w:before="0" w:after="120" w:line="259" w:lineRule="auto"/>
      </w:pPr>
      <w:r>
        <w:rPr>
          <w:rFonts w:ascii="Carlito" w:hAnsi="Carlito"/>
          <w:i w:val="0"/>
          <w:color w:val="2E2E2E"/>
        </w:rPr>
        <w:t>A verification officer shall be able to complete a candidate review without opening separate windows: visually inspect the scan, compare captured values against entered and other-document values, resolve discrepancies, record verified values, and proceed to the eligibility decision. All corrections shall retain the original value and reason.</w:t>
      </w:r>
    </w:p>
    <w:p>
      <w:pPr>
        <w:pStyle w:val="Heading1"/>
        <w:keepNext/>
        <w:spacing w:before="160" w:after="100" w:line="259" w:lineRule="auto"/>
      </w:pPr>
      <w:r>
        <w:rPr>
          <w:rFonts w:ascii="Carlito" w:hAnsi="Carlito"/>
          <w:b/>
          <w:color w:val="4B0B12"/>
          <w:sz w:val="30"/>
        </w:rPr>
        <w:t>9. Hard-Copy Reception and Physical Document Reconciliation</w:t>
      </w:r>
    </w:p>
    <w:p>
      <w:pPr>
        <w:spacing w:before="0" w:after="120" w:line="259" w:lineRule="auto"/>
      </w:pPr>
      <w:r>
        <w:rPr>
          <w:rFonts w:ascii="Carlito" w:hAnsi="Carlito"/>
          <w:i w:val="0"/>
          <w:color w:val="2E2E2E"/>
        </w:rPr>
        <w:t>Where the campaign requires hard copies, the acknowledgement shall instruct the applicant to write the generated online application reference clearly on top of the application letter and submit the required physical documents to the nearest designated Prisons unit, Regional Office or Headquarters by the stated deadline.</w:t>
      </w:r>
    </w:p>
    <w:p>
      <w:pPr>
        <w:spacing w:before="40" w:after="160" w:line="259" w:lineRule="auto"/>
        <w:jc w:val="center"/>
      </w:pPr>
      <w:r>
        <w:rPr>
          <w:rFonts w:ascii="Carlito" w:hAnsi="Carlito"/>
          <w:b/>
          <w:color w:val="6E0F1A"/>
          <w:sz w:val="19"/>
        </w:rPr>
        <w:t>Online Submission</w:t>
      </w:r>
      <w:r>
        <w:rPr>
          <w:rFonts w:ascii="Carlito" w:hAnsi="Carlito"/>
          <w:b/>
          <w:color w:val="C7A434"/>
          <w:sz w:val="20"/>
        </w:rPr>
        <w:t xml:space="preserve">  →  </w:t>
      </w:r>
      <w:r>
        <w:rPr>
          <w:rFonts w:ascii="Carlito" w:hAnsi="Carlito"/>
          <w:b w:val="0"/>
          <w:color w:val="2E2E2E"/>
          <w:sz w:val="19"/>
        </w:rPr>
        <w:t>Reference + QR</w:t>
      </w:r>
      <w:r>
        <w:rPr>
          <w:rFonts w:ascii="Carlito" w:hAnsi="Carlito"/>
          <w:b/>
          <w:color w:val="C7A434"/>
          <w:sz w:val="20"/>
        </w:rPr>
        <w:t xml:space="preserve">  →  </w:t>
      </w:r>
      <w:r>
        <w:rPr>
          <w:rFonts w:ascii="Carlito" w:hAnsi="Carlito"/>
          <w:b w:val="0"/>
          <w:color w:val="2E2E2E"/>
          <w:sz w:val="19"/>
        </w:rPr>
        <w:t>Physical Submission</w:t>
      </w:r>
      <w:r>
        <w:rPr>
          <w:rFonts w:ascii="Carlito" w:hAnsi="Carlito"/>
          <w:b/>
          <w:color w:val="C7A434"/>
          <w:sz w:val="20"/>
        </w:rPr>
        <w:t xml:space="preserve">  →  </w:t>
      </w:r>
      <w:r>
        <w:rPr>
          <w:rFonts w:ascii="Carlito" w:hAnsi="Carlito"/>
          <w:b w:val="0"/>
          <w:color w:val="2E2E2E"/>
          <w:sz w:val="19"/>
        </w:rPr>
        <w:t>Reference Scan/Entry</w:t>
      </w:r>
      <w:r>
        <w:rPr>
          <w:rFonts w:ascii="Carlito" w:hAnsi="Carlito"/>
          <w:b/>
          <w:color w:val="C7A434"/>
          <w:sz w:val="20"/>
        </w:rPr>
        <w:t xml:space="preserve">  →  </w:t>
      </w:r>
      <w:r>
        <w:rPr>
          <w:rFonts w:ascii="Carlito" w:hAnsi="Carlito"/>
          <w:b w:val="0"/>
          <w:color w:val="2E2E2E"/>
          <w:sz w:val="19"/>
        </w:rPr>
        <w:t>Checklist</w:t>
      </w:r>
      <w:r>
        <w:rPr>
          <w:rFonts w:ascii="Carlito" w:hAnsi="Carlito"/>
          <w:b/>
          <w:color w:val="C7A434"/>
          <w:sz w:val="20"/>
        </w:rPr>
        <w:t xml:space="preserve">  →  </w:t>
      </w:r>
      <w:r>
        <w:rPr>
          <w:rFonts w:ascii="Carlito" w:hAnsi="Carlito"/>
          <w:b w:val="0"/>
          <w:color w:val="2E2E2E"/>
          <w:sz w:val="19"/>
        </w:rPr>
        <w:t>Online ↔ Physical Reconciliation</w:t>
      </w:r>
      <w:r>
        <w:rPr>
          <w:rFonts w:ascii="Carlito" w:hAnsi="Carlito"/>
          <w:b/>
          <w:color w:val="C7A434"/>
          <w:sz w:val="20"/>
        </w:rPr>
        <w:t xml:space="preserve">  →  </w:t>
      </w:r>
      <w:r>
        <w:rPr>
          <w:rFonts w:ascii="Carlito" w:hAnsi="Carlito"/>
          <w:b/>
          <w:color w:val="6E0F1A"/>
          <w:sz w:val="19"/>
        </w:rPr>
        <w:t>Receipt Confirmed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FR-HC-001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Search/scan an application by reference number or QR code at the receiving location.</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FR-HC-002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Record receiving unit/office, officer, date/time and hard-copy checklist.</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FR-HC-003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Record Match / Different Document / Missing / Unreadable / Original Required at Interview for each configured item.</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FR-HC-004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Compare the physical document presented with the online upload and capture discrepancies without overwriting online evidence.</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FR-HC-005</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Generate/record a receipt and notify the applicant of hard-copy receipt where contact channels permit.</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FR-HC-006</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Support offline hard-copy reception and later sync at remote units.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bl>
    <w:p>
      <w:pPr>
        <w:spacing w:after="20"/>
      </w:pPr>
    </w:p>
    <w:p>
      <w:pPr>
        <w:pStyle w:val="Heading1"/>
        <w:keepNext/>
        <w:spacing w:before="160" w:after="100" w:line="259" w:lineRule="auto"/>
      </w:pPr>
      <w:r>
        <w:rPr>
          <w:rFonts w:ascii="Carlito" w:hAnsi="Carlito"/>
          <w:b/>
          <w:color w:val="4B0B12"/>
          <w:sz w:val="30"/>
        </w:rPr>
        <w:t>10. Eligibility and Qualification Engine</w:t>
      </w:r>
    </w:p>
    <w:p>
      <w:pPr>
        <w:spacing w:before="0" w:after="120" w:line="259" w:lineRule="auto"/>
      </w:pPr>
      <w:r>
        <w:rPr>
          <w:rFonts w:ascii="Carlito" w:hAnsi="Carlito"/>
          <w:i w:val="0"/>
          <w:color w:val="2E2E2E"/>
        </w:rPr>
        <w:t>Eligibility shall be campaign-specific and rule-driven. Each rule produces PASS, FLAG/REVIEW or FAIL with an explanation. OCR uncertainty produces a review flag, not automatic failure.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Rule category</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Examples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Identity/citizenship</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NIN presence/format; nationality/citizenship declarations; optional NIRA evidence when approved.</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Age</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DOB verified against configured age cut-off date and campaign minimum/maximum.</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Academic</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Required level, subject grades, number of credits/passes, qualification class or other post-specific requirements.</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Document completeness</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Required uploads/hard copies/originals present and acceptable.</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LC recommendation</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Required source/location rule satisfied and routing district resolved.</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Professional/special skills</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Required or reserved-skill evidence verified.</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Other declarations</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Campaign-defined declarations and mandatory acknowledgements.</w:t>
            </w:r>
          </w:p>
        </w:tc>
      </w:tr>
    </w:tbl>
    <w:p>
      <w:pPr>
        <w:spacing w:after="20"/>
      </w:pPr>
    </w:p>
    <w:p>
      <w:pPr>
        <w:spacing w:before="0" w:after="120" w:line="259" w:lineRule="auto"/>
      </w:pPr>
      <w:r>
        <w:rPr>
          <w:rFonts w:ascii="Carlito" w:hAnsi="Carlito"/>
          <w:i w:val="0"/>
          <w:color w:val="2E2E2E"/>
        </w:rPr>
        <w:t>Equivalent or unusual qualifications shall be routable to a manual review queue rather than silently rejected. The engine shall record which verified values and rule version produced the outcome.</w:t>
      </w:r>
    </w:p>
    <w:p>
      <w:pPr>
        <w:pStyle w:val="Heading1"/>
        <w:keepNext/>
        <w:spacing w:before="160" w:after="100" w:line="259" w:lineRule="auto"/>
      </w:pPr>
      <w:r>
        <w:rPr>
          <w:rFonts w:ascii="Carlito" w:hAnsi="Carlito"/>
          <w:b/>
          <w:color w:val="4B0B12"/>
          <w:sz w:val="30"/>
        </w:rPr>
        <w:t>11. Administrative Geography, LC Routing, Regions and Interview Centres</w:t>
      </w:r>
    </w:p>
    <w:p>
      <w:pPr>
        <w:pStyle w:val="Heading2"/>
        <w:keepNext/>
        <w:spacing w:before="100" w:after="60" w:line="259" w:lineRule="auto"/>
      </w:pPr>
      <w:r>
        <w:rPr>
          <w:rFonts w:ascii="Carlito" w:hAnsi="Carlito"/>
          <w:b/>
          <w:color w:val="6E0F1A"/>
          <w:sz w:val="24"/>
        </w:rPr>
        <w:t>11.1 Structured administrative hierarchy</w:t>
      </w:r>
    </w:p>
    <w:p>
      <w:pPr>
        <w:spacing w:before="0" w:after="120" w:line="259" w:lineRule="auto"/>
      </w:pPr>
      <w:r>
        <w:rPr>
          <w:rFonts w:ascii="Carlito" w:hAnsi="Carlito"/>
          <w:i w:val="0"/>
          <w:color w:val="2E2E2E"/>
        </w:rPr>
        <w:t>Origin and residence shall use structured reference data: District → County → Subcounty → Parish → Village. Reference data must be administrator-maintainable and versionable as administrative boundaries change.</w:t>
      </w:r>
    </w:p>
    <w:p>
      <w:pPr>
        <w:pStyle w:val="Heading2"/>
        <w:keepNext/>
        <w:spacing w:before="100" w:after="60" w:line="259" w:lineRule="auto"/>
      </w:pPr>
      <w:r>
        <w:rPr>
          <w:rFonts w:ascii="Carlito" w:hAnsi="Carlito"/>
          <w:b/>
          <w:color w:val="6E0F1A"/>
          <w:sz w:val="24"/>
        </w:rPr>
        <w:t>11.2 LC routing</w:t>
      </w:r>
    </w:p>
    <w:p>
      <w:pPr>
        <w:spacing w:before="0" w:after="120" w:line="259" w:lineRule="auto"/>
      </w:pPr>
      <w:r>
        <w:rPr>
          <w:rFonts w:ascii="Carlito" w:hAnsi="Carlito"/>
          <w:i w:val="0"/>
          <w:color w:val="2E2E2E"/>
        </w:rPr>
        <w:t>The campaign specifies which LC-letter source is permitted. If Origin/Residence choice is allowed, the selected/verified LC source determines the recruitment district. OCR-extracted location data shall be compared with the selected address and flagged if inconsistent.</w:t>
      </w:r>
    </w:p>
    <w:p>
      <w:pPr>
        <w:spacing w:before="40" w:after="160" w:line="259" w:lineRule="auto"/>
        <w:jc w:val="center"/>
      </w:pPr>
      <w:r>
        <w:rPr>
          <w:rFonts w:ascii="Carlito" w:hAnsi="Carlito"/>
          <w:b/>
          <w:color w:val="6E0F1A"/>
          <w:sz w:val="19"/>
        </w:rPr>
        <w:t>Verified LC Source</w:t>
      </w:r>
      <w:r>
        <w:rPr>
          <w:rFonts w:ascii="Carlito" w:hAnsi="Carlito"/>
          <w:b/>
          <w:color w:val="C7A434"/>
          <w:sz w:val="20"/>
        </w:rPr>
        <w:t xml:space="preserve">  →  </w:t>
      </w:r>
      <w:r>
        <w:rPr>
          <w:rFonts w:ascii="Carlito" w:hAnsi="Carlito"/>
          <w:b w:val="0"/>
          <w:color w:val="2E2E2E"/>
          <w:sz w:val="19"/>
        </w:rPr>
        <w:t>Verified Recruitment District</w:t>
      </w:r>
      <w:r>
        <w:rPr>
          <w:rFonts w:ascii="Carlito" w:hAnsi="Carlito"/>
          <w:b/>
          <w:color w:val="C7A434"/>
          <w:sz w:val="20"/>
        </w:rPr>
        <w:t xml:space="preserve">  →  </w:t>
      </w:r>
      <w:r>
        <w:rPr>
          <w:rFonts w:ascii="Carlito" w:hAnsi="Carlito"/>
          <w:b w:val="0"/>
          <w:color w:val="2E2E2E"/>
          <w:sz w:val="19"/>
        </w:rPr>
        <w:t>District Jurisdiction Mapping</w:t>
      </w:r>
      <w:r>
        <w:rPr>
          <w:rFonts w:ascii="Carlito" w:hAnsi="Carlito"/>
          <w:b/>
          <w:color w:val="C7A434"/>
          <w:sz w:val="20"/>
        </w:rPr>
        <w:t xml:space="preserve">  →  </w:t>
      </w:r>
      <w:r>
        <w:rPr>
          <w:rFonts w:ascii="Carlito" w:hAnsi="Carlito"/>
          <w:b w:val="0"/>
          <w:color w:val="2E2E2E"/>
          <w:sz w:val="19"/>
        </w:rPr>
        <w:t>Interview Centre</w:t>
      </w:r>
      <w:r>
        <w:rPr>
          <w:rFonts w:ascii="Carlito" w:hAnsi="Carlito"/>
          <w:b/>
          <w:color w:val="C7A434"/>
          <w:sz w:val="20"/>
        </w:rPr>
        <w:t xml:space="preserve">  →  </w:t>
      </w:r>
      <w:r>
        <w:rPr>
          <w:rFonts w:ascii="Carlito" w:hAnsi="Carlito"/>
          <w:b/>
          <w:color w:val="6E0F1A"/>
          <w:sz w:val="19"/>
        </w:rPr>
        <w:t>Panel/Session Assignment</w:t>
      </w:r>
    </w:p>
    <w:p>
      <w:pPr>
        <w:pStyle w:val="Heading2"/>
        <w:keepNext/>
        <w:spacing w:before="100" w:after="60" w:line="259" w:lineRule="auto"/>
      </w:pPr>
      <w:r>
        <w:rPr>
          <w:rFonts w:ascii="Carlito" w:hAnsi="Carlito"/>
          <w:b/>
          <w:color w:val="6E0F1A"/>
          <w:sz w:val="24"/>
        </w:rPr>
        <w:t>11.3 Centre configuration</w:t>
      </w:r>
    </w:p>
    <w:p>
      <w:pPr>
        <w:pStyle w:val="ListBullet"/>
        <w:spacing w:before="0" w:after="60" w:line="259" w:lineRule="auto"/>
      </w:pPr>
      <w:r>
        <w:rPr>
          <w:rFonts w:ascii="Carlito" w:hAnsi="Carlito"/>
          <w:color w:val="2E2E2E"/>
        </w:rPr>
        <w:t>Centre name, region, physical location/address, contact, active dates and daily capacity.</w:t>
      </w:r>
    </w:p>
    <w:p>
      <w:pPr>
        <w:pStyle w:val="ListBullet"/>
        <w:spacing w:before="0" w:after="60" w:line="259" w:lineRule="auto"/>
      </w:pPr>
      <w:r>
        <w:rPr>
          <w:rFonts w:ascii="Carlito" w:hAnsi="Carlito"/>
          <w:color w:val="2E2E2E"/>
        </w:rPr>
        <w:t>Many districts may map to one interview centre; mappings are effective-dated per campaign.</w:t>
      </w:r>
    </w:p>
    <w:p>
      <w:pPr>
        <w:pStyle w:val="ListBullet"/>
        <w:spacing w:before="0" w:after="60" w:line="259" w:lineRule="auto"/>
      </w:pPr>
      <w:r>
        <w:rPr>
          <w:rFonts w:ascii="Carlito" w:hAnsi="Carlito"/>
          <w:color w:val="2E2E2E"/>
        </w:rPr>
        <w:t>A centre may contain multiple panels and rooms/sessions.</w:t>
      </w:r>
    </w:p>
    <w:p>
      <w:pPr>
        <w:pStyle w:val="ListBullet"/>
        <w:spacing w:before="0" w:after="60" w:line="259" w:lineRule="auto"/>
      </w:pPr>
      <w:r>
        <w:rPr>
          <w:rFonts w:ascii="Carlito" w:hAnsi="Carlito"/>
          <w:color w:val="2E2E2E"/>
        </w:rPr>
        <w:t>No “nearest neighbouring district” automatic fallback shall silently assign an unmapped district; unmapped jurisdiction should enter an admin-resolution queue.</w:t>
      </w:r>
    </w:p>
    <w:p>
      <w:pPr>
        <w:pStyle w:val="Heading1"/>
        <w:keepNext/>
        <w:spacing w:before="160" w:after="100" w:line="259" w:lineRule="auto"/>
      </w:pPr>
      <w:r>
        <w:rPr>
          <w:rFonts w:ascii="Carlito" w:hAnsi="Carlito"/>
          <w:b/>
          <w:color w:val="4B0B12"/>
          <w:sz w:val="30"/>
        </w:rPr>
        <w:t>12. Interview Scheduling, Panels and Attendance</w:t>
      </w:r>
    </w:p>
    <w:p>
      <w:pPr>
        <w:pStyle w:val="Heading2"/>
        <w:keepNext/>
        <w:spacing w:before="100" w:after="60" w:line="259" w:lineRule="auto"/>
      </w:pPr>
      <w:r>
        <w:rPr>
          <w:rFonts w:ascii="Carlito" w:hAnsi="Carlito"/>
          <w:b/>
          <w:color w:val="6E0F1A"/>
          <w:sz w:val="24"/>
        </w:rPr>
        <w:t>12.1 Panel model</w:t>
      </w:r>
    </w:p>
    <w:p>
      <w:pPr>
        <w:spacing w:before="0" w:after="120" w:line="259" w:lineRule="auto"/>
      </w:pPr>
      <w:r>
        <w:rPr>
          <w:rFonts w:ascii="Carlito" w:hAnsi="Carlito"/>
          <w:i w:val="0"/>
          <w:color w:val="2E2E2E"/>
        </w:rPr>
        <w:t>Each panel belongs to a recruitment centre/session and has a Panel Head plus one or more members. A Panel Secretary may be configured where needed. Panel membership is time-bounded and auditable.</w:t>
      </w:r>
    </w:p>
    <w:p>
      <w:pPr>
        <w:pStyle w:val="Heading2"/>
        <w:keepNext/>
        <w:spacing w:before="100" w:after="60" w:line="259" w:lineRule="auto"/>
      </w:pPr>
      <w:r>
        <w:rPr>
          <w:rFonts w:ascii="Carlito" w:hAnsi="Carlito"/>
          <w:b/>
          <w:color w:val="6E0F1A"/>
          <w:sz w:val="24"/>
        </w:rPr>
        <w:t>12.2 Scheduling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FR-INT-001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Create interview dates/sessions, reporting times, room/panel capacities and candidate limits.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FR-INT-002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Auto-distribute eligible candidates by capacity using a deterministic method; allow authorised manual reassignment with audit reason.</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FR-INT-003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Generate interview invitation with reference, centre, venue, date, reporting time, panel/session if policy allows disclosure, instructions and QR code.</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FR-INT-004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Support batch PDF/print and electronic notification of invitations.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FR-INT-005</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Record attendance via QR/reference search as Present, Absent, Late, Referred, Disqualified or configured equivalent.</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FR-INT-006</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Prevent normal scoring for a candidate who is not checked in unless an authorised exception is recorded.</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bl>
    <w:p>
      <w:pPr>
        <w:spacing w:after="20"/>
      </w:pPr>
    </w:p>
    <w:p>
      <w:pPr>
        <w:pStyle w:val="Heading1"/>
        <w:keepNext/>
        <w:spacing w:before="160" w:after="100" w:line="259" w:lineRule="auto"/>
      </w:pPr>
      <w:r>
        <w:rPr>
          <w:rFonts w:ascii="Carlito" w:hAnsi="Carlito"/>
          <w:b/>
          <w:color w:val="4B0B12"/>
          <w:sz w:val="30"/>
        </w:rPr>
        <w:t>13. Offline PWA Operations and Synchronisation</w:t>
      </w:r>
    </w:p>
    <w:p>
      <w:pPr>
        <w:spacing w:before="0" w:after="120" w:line="259" w:lineRule="auto"/>
      </w:pPr>
      <w:r>
        <w:rPr>
          <w:rFonts w:ascii="Carlito" w:hAnsi="Carlito"/>
          <w:i w:val="0"/>
          <w:color w:val="2E2E2E"/>
        </w:rPr>
        <w:t>Offline capability is a core system requirement. Recruitment officers shall be able to download authorised operational data for their assigned recruitment centre/panel/task, continue work without internet, and synchronise changes when connectivity returns.</w:t>
      </w:r>
    </w:p>
    <w:p>
      <w:pPr>
        <w:pStyle w:val="Heading2"/>
        <w:keepNext/>
        <w:spacing w:before="100" w:after="60" w:line="259" w:lineRule="auto"/>
      </w:pPr>
      <w:r>
        <w:rPr>
          <w:rFonts w:ascii="Carlito" w:hAnsi="Carlito"/>
          <w:b/>
          <w:color w:val="6E0F1A"/>
          <w:sz w:val="24"/>
        </w:rPr>
        <w:t>13.1 Offline data packs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Pack type</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Example content</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Panel pack</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Assigned candidates, photos, verified eligibility summary, attendance, assessment forms and minimum necessary biodata.</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Verification pack</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Assigned applications plus authorised document previews/extracted data and review forms.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Centre coordinator pack</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Centre roster, panels, schedules, attendance and progress data.</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Medical pack</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Medical roster and minimum necessary identity/recruitment fields; no unrelated application data.</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Hard-copy reception pack</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Expected/known application references, receipt checklist and sync queue.</w:t>
            </w:r>
          </w:p>
        </w:tc>
      </w:tr>
    </w:tbl>
    <w:p>
      <w:pPr>
        <w:spacing w:after="20"/>
      </w:pPr>
    </w:p>
    <w:p>
      <w:pPr>
        <w:pStyle w:val="Heading2"/>
        <w:keepNext/>
        <w:spacing w:before="100" w:after="60" w:line="259" w:lineRule="auto"/>
      </w:pPr>
      <w:r>
        <w:rPr>
          <w:rFonts w:ascii="Carlito" w:hAnsi="Carlito"/>
          <w:b/>
          <w:color w:val="6E0F1A"/>
          <w:sz w:val="24"/>
        </w:rPr>
        <w:t>13.2 Offline functional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Installable PWA shall cache the application shell and authorised offline data using service-worker/IndexedDB or equivalent browser-supported mechanisms.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Users shall explicitly download a scoped offline data pack; the system shall never require or permit ordinary panel users to download the national dataset.</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Support offline candidate search, QR check-in, attendance, hard-copy checklist, verification, panel scoring, notes and panel-head review within authorised scope.</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Show connection state, last sync time, pending changes, conflicts and pack expiry prominently.</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FR-OFF-005</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Queue offline changes as uniquely identified events/transactions and synchronise automatically when possible, with a visible Sync Now control.</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FR-OFF-006</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Make sync idempotent so retrying the same offline event does not duplicate attendance, scores or other transactions.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FR-OFF-007</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Do not silently use last-write-wins for conflicting sensitive data; route conflicting score/status/verification changes to authorised conflict resolution.</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FR-OFF-008</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Encrypt/protect locally stored offline data, enforce local inactivity lock/PIN where appropriate, and expire/purge data packs after configured validity or confirmed sync.</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FR-OFF-009</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Track registered device, pack owner, scope, issue time, expiry, last sync, outstanding events and revocation status.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FR-OFF-010</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HQ shall have an Offline Operations dashboard showing centres/devices, last sync, pending transactions, conflicts, expired/revoked packs and unresolved risks.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bl>
    <w:p>
      <w:pPr>
        <w:spacing w:after="20"/>
      </w:pPr>
    </w:p>
    <w:p>
      <w:pPr>
        <w:pStyle w:val="Heading2"/>
        <w:keepNext/>
        <w:spacing w:before="100" w:after="60" w:line="259" w:lineRule="auto"/>
      </w:pPr>
      <w:r>
        <w:rPr>
          <w:rFonts w:ascii="Carlito" w:hAnsi="Carlito"/>
          <w:b/>
          <w:color w:val="6E0F1A"/>
          <w:sz w:val="24"/>
        </w:rPr>
        <w:t>13.3 Conflict policy</w:t>
      </w:r>
    </w:p>
    <w:p>
      <w:pPr>
        <w:spacing w:before="0" w:after="120" w:line="259" w:lineRule="auto"/>
      </w:pPr>
      <w:r>
        <w:rPr>
          <w:rFonts w:ascii="Carlito" w:hAnsi="Carlito"/>
          <w:i w:val="0"/>
          <w:color w:val="2E2E2E"/>
        </w:rPr>
        <w:t>Independent fields may merge automatically (for example, attendance recorded on one device and original-ID verification recorded on another). Two edits to the same assessor score, eligibility decision, candidate status or other protected field shall produce a conflict requiring an authorised resolution. The resolution itself is auditable.</w:t>
      </w:r>
    </w:p>
    <w:tbl>
      <w:tblPr>
        <w:tblW w:type="auto" w:w="0"/>
        <w:jc w:val="center"/>
        <w:tblLayout w:type="autofit"/>
        <w:tblLook w:firstColumn="1" w:firstRow="1" w:lastColumn="0" w:lastRow="0" w:noHBand="0" w:noVBand="1" w:val="04A0"/>
      </w:tblPr>
      <w:tblGrid>
        <w:gridCol w:w="10166"/>
      </w:tblGrid>
      <w:tr>
        <w:tc>
          <w:tcPr>
            <w:tcW w:type="dxa" w:w="10166"/>
            <w:shd w:fill="F3ECD2"/>
            <w:tcBorders>
              <w:top w:val="single" w:sz="8" w:color="C7A434"/>
              <w:left w:val="single" w:sz="12" w:color="C7A434"/>
              <w:bottom w:val="single" w:sz="8" w:color="C7A434"/>
              <w:right w:val="single" w:sz="8" w:color="C7A434"/>
            </w:tcBorders>
            <w:tcMar>
              <w:top w:w="140" w:type="dxa"/>
              <w:start w:w="160" w:type="dxa"/>
              <w:bottom w:w="140" w:type="dxa"/>
              <w:end w:w="160" w:type="dxa"/>
            </w:tcMar>
          </w:tcPr>
          <w:p>
            <w:pPr>
              <w:spacing w:before="0" w:after="60" w:line="259" w:lineRule="auto"/>
            </w:pPr>
            <w:r>
              <w:rPr>
                <w:rFonts w:ascii="Carlito" w:hAnsi="Carlito"/>
                <w:b/>
                <w:color w:val="4B0B12"/>
                <w:sz w:val="21"/>
              </w:rPr>
              <w:t>Ranking safeguard</w:t>
            </w:r>
          </w:p>
          <w:p>
            <w:pPr>
              <w:spacing w:before="0" w:after="0" w:line="259" w:lineRule="auto"/>
            </w:pPr>
            <w:r>
              <w:rPr>
                <w:rFonts w:ascii="Carlito" w:hAnsi="Carlito"/>
                <w:color w:val="2E2E2E"/>
                <w:sz w:val="19"/>
              </w:rPr>
              <w:t>An official ranking/selection run shall warn or block certification while required panel/assessment records remain unsynchronised. An exceptional override, if permitted, requires an explicit reason and audit record.</w:t>
            </w:r>
          </w:p>
        </w:tc>
      </w:tr>
    </w:tbl>
    <w:p>
      <w:pPr>
        <w:spacing w:after="0"/>
      </w:pPr>
    </w:p>
    <w:p>
      <w:pPr>
        <w:pStyle w:val="Heading1"/>
        <w:keepNext/>
        <w:spacing w:before="160" w:after="100" w:line="259" w:lineRule="auto"/>
      </w:pPr>
      <w:r>
        <w:rPr>
          <w:rFonts w:ascii="Carlito" w:hAnsi="Carlito"/>
          <w:b/>
          <w:color w:val="4B0B12"/>
          <w:sz w:val="30"/>
        </w:rPr>
        <w:t>14. Assessment, Scoring and Panel Closure</w:t>
      </w:r>
    </w:p>
    <w:p>
      <w:pPr>
        <w:spacing w:before="0" w:after="120" w:line="259" w:lineRule="auto"/>
      </w:pPr>
      <w:r>
        <w:rPr>
          <w:rFonts w:ascii="Carlito" w:hAnsi="Carlito"/>
          <w:i w:val="0"/>
          <w:color w:val="2E2E2E"/>
        </w:rPr>
        <w:t>Assessment shall be generic rather than limited to database columns named “written_score” and “oral_score”. A campaign may configure Written Examination, Oral Interview, Aptitude Test, Technical Test, Practical Assessment, Presentation, Physical Assessment or other approved components.</w:t>
      </w:r>
    </w:p>
    <w:p>
      <w:pPr>
        <w:pStyle w:val="Heading2"/>
        <w:keepNext/>
        <w:spacing w:before="100" w:after="60" w:line="259" w:lineRule="auto"/>
      </w:pPr>
      <w:r>
        <w:rPr>
          <w:rFonts w:ascii="Carlito" w:hAnsi="Carlito"/>
          <w:b/>
          <w:color w:val="6E0F1A"/>
          <w:sz w:val="24"/>
        </w:rPr>
        <w:t>14.1 Assessment configuration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Property</w:t>
            </w:r>
          </w:p>
        </w:tc>
        <w:tc>
          <w:tcPr>
            <w:tcW w:type="dxa" w:w="83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Specification</w:t>
            </w:r>
          </w:p>
        </w:tc>
      </w:tr>
      <w:tr>
        <w:trPr>
          <w:cantSplit/>
        </w:trPr>
        <w:tc>
          <w:tcPr>
            <w:tcW w:type="dxa" w:w="244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Component</w:t>
            </w:r>
          </w:p>
        </w:tc>
        <w:tc>
          <w:tcPr>
            <w:tcW w:type="dxa" w:w="83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Name/type, maximum mark, pass mark and whether mandatory.</w:t>
            </w:r>
          </w:p>
        </w:tc>
      </w:tr>
      <w:tr>
        <w:trPr>
          <w:cantSplit/>
        </w:trPr>
        <w:tc>
          <w:tcPr>
            <w:tcW w:type="dxa" w:w="244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Weight</w:t>
            </w:r>
          </w:p>
        </w:tc>
        <w:tc>
          <w:tcPr>
            <w:tcW w:type="dxa" w:w="83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Percentage contribution to aggregate score where applicable.</w:t>
            </w:r>
          </w:p>
        </w:tc>
      </w:tr>
      <w:tr>
        <w:trPr>
          <w:cantSplit/>
        </w:trPr>
        <w:tc>
          <w:tcPr>
            <w:tcW w:type="dxa" w:w="244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Assessors</w:t>
            </w:r>
          </w:p>
        </w:tc>
        <w:tc>
          <w:tcPr>
            <w:tcW w:type="dxa" w:w="83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Single score, multiple independent assessors, panel consensus or adjudicated result as configured.</w:t>
            </w:r>
          </w:p>
        </w:tc>
      </w:tr>
      <w:tr>
        <w:trPr>
          <w:cantSplit/>
        </w:trPr>
        <w:tc>
          <w:tcPr>
            <w:tcW w:type="dxa" w:w="244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Aggregation</w:t>
            </w:r>
          </w:p>
        </w:tc>
        <w:tc>
          <w:tcPr>
            <w:tcW w:type="dxa" w:w="83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Mean/average, sum, weighted result, panel-head adjudication or other approved deterministic method.</w:t>
            </w:r>
          </w:p>
        </w:tc>
      </w:tr>
      <w:tr>
        <w:trPr>
          <w:cantSplit/>
        </w:trPr>
        <w:tc>
          <w:tcPr>
            <w:tcW w:type="dxa" w:w="244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Divergence rule</w:t>
            </w:r>
          </w:p>
        </w:tc>
        <w:tc>
          <w:tcPr>
            <w:tcW w:type="dxa" w:w="83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Optional threshold to flag unusually wide differences between oral assessors.</w:t>
            </w:r>
          </w:p>
        </w:tc>
      </w:tr>
      <w:tr>
        <w:trPr>
          <w:cantSplit/>
        </w:trPr>
        <w:tc>
          <w:tcPr>
            <w:tcW w:type="dxa" w:w="244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Locking</w:t>
            </w:r>
          </w:p>
        </w:tc>
        <w:tc>
          <w:tcPr>
            <w:tcW w:type="dxa" w:w="83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Panel Head closes/locks a session/batch. Post-lock edits require authorised reopen/override with reason.</w:t>
            </w:r>
          </w:p>
        </w:tc>
      </w:tr>
    </w:tbl>
    <w:p>
      <w:pPr>
        <w:spacing w:after="20"/>
      </w:pPr>
    </w:p>
    <w:p>
      <w:pPr>
        <w:pStyle w:val="Heading2"/>
        <w:keepNext/>
        <w:spacing w:before="100" w:after="60" w:line="259" w:lineRule="auto"/>
      </w:pPr>
      <w:r>
        <w:rPr>
          <w:rFonts w:ascii="Carlito" w:hAnsi="Carlito"/>
          <w:b/>
          <w:color w:val="6E0F1A"/>
          <w:sz w:val="24"/>
        </w:rPr>
        <w:t>14.2 Bulk written-score import</w:t>
      </w:r>
    </w:p>
    <w:p>
      <w:pPr>
        <w:spacing w:before="0" w:after="120" w:line="259" w:lineRule="auto"/>
      </w:pPr>
      <w:r>
        <w:rPr>
          <w:rFonts w:ascii="Carlito" w:hAnsi="Carlito"/>
          <w:i w:val="0"/>
          <w:color w:val="2E2E2E"/>
        </w:rPr>
        <w:t>Where written scores are marked outside the portal, authorised users may import Excel/CSV files. Import validation shall reject unknown references, duplicates, scores outside maximum, wrong-centre candidates and invalid formats, with a downloadable error report. Successful imports remain attributable to the importing user and source file.</w:t>
      </w:r>
    </w:p>
    <w:p>
      <w:pPr>
        <w:pStyle w:val="Heading1"/>
        <w:keepNext/>
        <w:spacing w:before="160" w:after="100" w:line="259" w:lineRule="auto"/>
      </w:pPr>
      <w:r>
        <w:rPr>
          <w:rFonts w:ascii="Carlito" w:hAnsi="Carlito"/>
          <w:b/>
          <w:color w:val="4B0B12"/>
          <w:sz w:val="30"/>
        </w:rPr>
        <w:t>15. Ranking, Quotas, Capping, Special Skills and Overrides</w:t>
      </w:r>
    </w:p>
    <w:p>
      <w:pPr>
        <w:pStyle w:val="Heading2"/>
        <w:keepNext/>
        <w:spacing w:before="100" w:after="60" w:line="259" w:lineRule="auto"/>
      </w:pPr>
      <w:r>
        <w:rPr>
          <w:rFonts w:ascii="Carlito" w:hAnsi="Carlito"/>
          <w:b/>
          <w:color w:val="6E0F1A"/>
          <w:sz w:val="24"/>
        </w:rPr>
        <w:t>15.1 Ranking</w:t>
      </w:r>
    </w:p>
    <w:p>
      <w:pPr>
        <w:spacing w:before="0" w:after="120" w:line="259" w:lineRule="auto"/>
      </w:pPr>
      <w:r>
        <w:rPr>
          <w:rFonts w:ascii="Carlito" w:hAnsi="Carlito"/>
          <w:i w:val="0"/>
          <w:color w:val="2E2E2E"/>
        </w:rPr>
        <w:t>The system shall rank candidates by the approved aggregate within configurable scopes such as district, region, centre, gender, post, skill category and national view. Ranking results shall be versioned or associated with a reproducible ranking/selection run.</w:t>
      </w:r>
    </w:p>
    <w:p>
      <w:pPr>
        <w:pStyle w:val="Heading2"/>
        <w:keepNext/>
        <w:spacing w:before="100" w:after="60" w:line="259" w:lineRule="auto"/>
      </w:pPr>
      <w:r>
        <w:rPr>
          <w:rFonts w:ascii="Carlito" w:hAnsi="Carlito"/>
          <w:b/>
          <w:color w:val="6E0F1A"/>
          <w:sz w:val="24"/>
        </w:rPr>
        <w:t>15.2 Quota configuration</w:t>
      </w:r>
    </w:p>
    <w:p>
      <w:pPr>
        <w:pStyle w:val="ListBullet"/>
        <w:spacing w:before="0" w:after="60" w:line="259" w:lineRule="auto"/>
      </w:pPr>
      <w:r>
        <w:rPr>
          <w:rFonts w:ascii="Carlito" w:hAnsi="Carlito"/>
          <w:color w:val="2E2E2E"/>
        </w:rPr>
        <w:t>National authorised vacancy total.</w:t>
      </w:r>
    </w:p>
    <w:p>
      <w:pPr>
        <w:pStyle w:val="ListBullet"/>
        <w:spacing w:before="0" w:after="60" w:line="259" w:lineRule="auto"/>
      </w:pPr>
      <w:r>
        <w:rPr>
          <w:rFonts w:ascii="Carlito" w:hAnsi="Carlito"/>
          <w:color w:val="2E2E2E"/>
        </w:rPr>
        <w:t>Region allocation.</w:t>
      </w:r>
    </w:p>
    <w:p>
      <w:pPr>
        <w:pStyle w:val="ListBullet"/>
        <w:spacing w:before="0" w:after="60" w:line="259" w:lineRule="auto"/>
      </w:pPr>
      <w:r>
        <w:rPr>
          <w:rFonts w:ascii="Carlito" w:hAnsi="Carlito"/>
          <w:color w:val="2E2E2E"/>
        </w:rPr>
        <w:t>District allocation within a region where policy requires it.</w:t>
      </w:r>
    </w:p>
    <w:p>
      <w:pPr>
        <w:pStyle w:val="ListBullet"/>
        <w:spacing w:before="0" w:after="60" w:line="259" w:lineRule="auto"/>
      </w:pPr>
      <w:r>
        <w:rPr>
          <w:rFonts w:ascii="Carlito" w:hAnsi="Carlito"/>
          <w:color w:val="2E2E2E"/>
        </w:rPr>
        <w:t>Male/female or other legally approved gender allocation.</w:t>
      </w:r>
    </w:p>
    <w:p>
      <w:pPr>
        <w:pStyle w:val="ListBullet"/>
        <w:spacing w:before="0" w:after="60" w:line="259" w:lineRule="auto"/>
      </w:pPr>
      <w:r>
        <w:rPr>
          <w:rFonts w:ascii="Carlito" w:hAnsi="Carlito"/>
          <w:color w:val="2E2E2E"/>
        </w:rPr>
        <w:t>Verified special-skill reservation/sub-quota and minimum score, where expressly approved.</w:t>
      </w:r>
    </w:p>
    <w:p>
      <w:pPr>
        <w:pStyle w:val="ListBullet"/>
        <w:spacing w:before="0" w:after="60" w:line="259" w:lineRule="auto"/>
      </w:pPr>
      <w:r>
        <w:rPr>
          <w:rFonts w:ascii="Carlito" w:hAnsi="Carlito"/>
          <w:color w:val="2E2E2E"/>
        </w:rPr>
        <w:t>Fallback/unfilled-quota handling rule.</w:t>
      </w:r>
    </w:p>
    <w:p>
      <w:pPr>
        <w:pStyle w:val="ListBullet"/>
        <w:spacing w:before="0" w:after="60" w:line="259" w:lineRule="auto"/>
      </w:pPr>
      <w:r>
        <w:rPr>
          <w:rFonts w:ascii="Carlito" w:hAnsi="Carlito"/>
          <w:color w:val="2E2E2E"/>
        </w:rPr>
        <w:t>Reserve/waiting-list size and replacement policy.</w:t>
      </w:r>
    </w:p>
    <w:p>
      <w:pPr>
        <w:pStyle w:val="Heading2"/>
        <w:keepNext/>
        <w:spacing w:before="100" w:after="60" w:line="259" w:lineRule="auto"/>
      </w:pPr>
      <w:r>
        <w:rPr>
          <w:rFonts w:ascii="Carlito" w:hAnsi="Carlito"/>
          <w:b/>
          <w:color w:val="6E0F1A"/>
          <w:sz w:val="24"/>
        </w:rPr>
        <w:t>15.3 Special skills</w:t>
      </w:r>
    </w:p>
    <w:p>
      <w:pPr>
        <w:spacing w:before="0" w:after="120" w:line="259" w:lineRule="auto"/>
      </w:pPr>
      <w:r>
        <w:rPr>
          <w:rFonts w:ascii="Carlito" w:hAnsi="Carlito"/>
          <w:i w:val="0"/>
          <w:color w:val="2E2E2E"/>
        </w:rPr>
        <w:t>A claimed special skill shall not influence capping until its evidence is verified. The record shall distinguish CLAIMED, DOCUMENT UPLOADED, OCR/IDENTITY CHECKED and VERIFIED. Skill categories are administrator-maintained (e.g., medical, tailoring, welding/metal work, carpentry/woodwork, ICT, driving, agriculture, electrical, plumbing, music/band, sports or other approved categories).</w:t>
      </w:r>
    </w:p>
    <w:tbl>
      <w:tblPr>
        <w:tblW w:type="auto" w:w="0"/>
        <w:jc w:val="center"/>
        <w:tblLayout w:type="autofit"/>
        <w:tblLook w:firstColumn="1" w:firstRow="1" w:lastColumn="0" w:lastRow="0" w:noHBand="0" w:noVBand="1" w:val="04A0"/>
      </w:tblPr>
      <w:tblGrid>
        <w:gridCol w:w="10166"/>
      </w:tblGrid>
      <w:tr>
        <w:tc>
          <w:tcPr>
            <w:tcW w:type="dxa" w:w="10166"/>
            <w:shd w:fill="F8F9FA"/>
            <w:tcBorders>
              <w:top w:val="single" w:sz="8" w:color="6E0F1A"/>
              <w:left w:val="single" w:sz="12" w:color="6E0F1A"/>
              <w:bottom w:val="single" w:sz="8" w:color="6E0F1A"/>
              <w:right w:val="single" w:sz="8" w:color="6E0F1A"/>
            </w:tcBorders>
            <w:tcMar>
              <w:top w:w="140" w:type="dxa"/>
              <w:start w:w="160" w:type="dxa"/>
              <w:bottom w:w="140" w:type="dxa"/>
              <w:end w:w="160" w:type="dxa"/>
            </w:tcMar>
          </w:tcPr>
          <w:p>
            <w:pPr>
              <w:spacing w:before="0" w:after="60" w:line="259" w:lineRule="auto"/>
            </w:pPr>
            <w:r>
              <w:rPr>
                <w:rFonts w:ascii="Carlito" w:hAnsi="Carlito"/>
                <w:b/>
                <w:color w:val="4B0B12"/>
                <w:sz w:val="21"/>
              </w:rPr>
              <w:t>No hidden AI/bonus scoring</w:t>
            </w:r>
          </w:p>
          <w:p>
            <w:pPr>
              <w:spacing w:before="0" w:after="0" w:line="259" w:lineRule="auto"/>
            </w:pPr>
            <w:r>
              <w:rPr>
                <w:rFonts w:ascii="Carlito" w:hAnsi="Carlito"/>
                <w:color w:val="2E2E2E"/>
                <w:sz w:val="19"/>
              </w:rPr>
              <w:t>Special skills shall not silently add marks unless a formally approved campaign rule explicitly defines such marks. The preferred mechanism is a transparent special-skill reservation/sub-quota or documented manual substitution under an authorised policy.</w:t>
            </w:r>
          </w:p>
        </w:tc>
      </w:tr>
    </w:tbl>
    <w:p>
      <w:pPr>
        <w:spacing w:after="0"/>
      </w:pPr>
    </w:p>
    <w:p>
      <w:pPr>
        <w:pStyle w:val="Heading2"/>
        <w:keepNext/>
        <w:spacing w:before="100" w:after="60" w:line="259" w:lineRule="auto"/>
      </w:pPr>
      <w:r>
        <w:rPr>
          <w:rFonts w:ascii="Carlito" w:hAnsi="Carlito"/>
          <w:b/>
          <w:color w:val="6E0F1A"/>
          <w:sz w:val="24"/>
        </w:rPr>
        <w:t>15.4 Selection/capping run</w:t>
      </w:r>
    </w:p>
    <w:p>
      <w:pPr>
        <w:spacing w:before="0" w:after="120" w:line="259" w:lineRule="auto"/>
      </w:pPr>
      <w:r>
        <w:rPr>
          <w:rFonts w:ascii="Carlito" w:hAnsi="Carlito"/>
          <w:i w:val="0"/>
          <w:color w:val="2E2E2E"/>
        </w:rPr>
        <w:t>Each official capping run shall store the input candidate dataset/version, score formula, qualifying threshold, quota parameters, skill rules, tie-break policy, operator, timestamp, results and output hash/fingerprint where practical. Re-running with different parameters creates a new run rather than overwriting the old result.</w:t>
      </w:r>
    </w:p>
    <w:p>
      <w:pPr>
        <w:pStyle w:val="Heading2"/>
        <w:keepNext/>
        <w:spacing w:before="100" w:after="60" w:line="259" w:lineRule="auto"/>
      </w:pPr>
      <w:r>
        <w:rPr>
          <w:rFonts w:ascii="Carlito" w:hAnsi="Carlito"/>
          <w:b/>
          <w:color w:val="6E0F1A"/>
          <w:sz w:val="24"/>
        </w:rPr>
        <w:t>15.5 Manual replacement/override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FR-SEL-001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Allow authorised promotion/demotion or replacement only through a controlled override workflow.</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FR-SEL-002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Require selected candidate, replaced candidate where applicable, reason code, free-text justification, operator, timestamp and approval according to role policy.</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FR-SEL-003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Display a visible “manual adjustment” indicator in authorised views and include overrides in audit/export reports.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FR-SEL-004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Never delete the original ranked outcome; preserve pre-override and post-override states.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FR-SEL-005</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Support tie-break rules in configured order and record the rule that resolved the tie; if policy requires committee decision, record that decision explicitly.</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bl>
    <w:p>
      <w:pPr>
        <w:spacing w:after="20"/>
      </w:pPr>
    </w:p>
    <w:p>
      <w:pPr>
        <w:pStyle w:val="Heading1"/>
        <w:keepNext/>
        <w:spacing w:before="160" w:after="100" w:line="259" w:lineRule="auto"/>
      </w:pPr>
      <w:r>
        <w:rPr>
          <w:rFonts w:ascii="Carlito" w:hAnsi="Carlito"/>
          <w:b/>
          <w:color w:val="4B0B12"/>
          <w:sz w:val="30"/>
        </w:rPr>
        <w:t>16. Medical Examination Management</w:t>
      </w:r>
    </w:p>
    <w:p>
      <w:pPr>
        <w:spacing w:before="0" w:after="120" w:line="259" w:lineRule="auto"/>
      </w:pPr>
      <w:r>
        <w:rPr>
          <w:rFonts w:ascii="Carlito" w:hAnsi="Carlito"/>
          <w:i w:val="0"/>
          <w:color w:val="2E2E2E"/>
        </w:rPr>
        <w:t>The medical module begins from the approved provisional shortlist. It creates facility/date rosters, invitations, attendance and minimum necessary outcomes. The recruitment platform should avoid storing detailed clinical histories unless UPS policy specifically requires them.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Medical outcome</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Meaning</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Fit</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Candidate satisfies the recruitment medical requirement.</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Not Fit</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Candidate does not satisfy the requirement under authorised medical assessment.</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Deferred</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Candidate requires re-examination at a later date.</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Further Assessment Required</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Additional authorised medical assessment is required before final status.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No Show</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Candidate did not attend the scheduled medical examination.</w:t>
            </w:r>
          </w:p>
        </w:tc>
      </w:tr>
    </w:tbl>
    <w:p>
      <w:pPr>
        <w:spacing w:after="20"/>
      </w:pPr>
    </w:p>
    <w:p>
      <w:pPr>
        <w:spacing w:before="0" w:after="120" w:line="259" w:lineRule="auto"/>
      </w:pPr>
      <w:r>
        <w:rPr>
          <w:rFonts w:ascii="Carlito" w:hAnsi="Carlito"/>
          <w:i w:val="0"/>
          <w:color w:val="2E2E2E"/>
        </w:rPr>
        <w:t>General recruitment officers shall normally see the permitted outcome only. Medical users may access the restricted notes/reference fields necessary for their role. Replacement from reserve lists following medical failure/no-show shall follow the configured quota bucket and approval workflow.</w:t>
      </w:r>
    </w:p>
    <w:p>
      <w:pPr>
        <w:pStyle w:val="Heading1"/>
        <w:keepNext/>
        <w:spacing w:before="160" w:after="100" w:line="259" w:lineRule="auto"/>
      </w:pPr>
      <w:r>
        <w:rPr>
          <w:rFonts w:ascii="Carlito" w:hAnsi="Carlito"/>
          <w:b/>
          <w:color w:val="4B0B12"/>
          <w:sz w:val="30"/>
        </w:rPr>
        <w:t>17. Final Selection, Reserve Lists and Training Reporting</w:t>
      </w:r>
    </w:p>
    <w:p>
      <w:pPr>
        <w:pStyle w:val="Heading2"/>
        <w:keepNext/>
        <w:spacing w:before="100" w:after="60" w:line="259" w:lineRule="auto"/>
      </w:pPr>
      <w:r>
        <w:rPr>
          <w:rFonts w:ascii="Carlito" w:hAnsi="Carlito"/>
          <w:b/>
          <w:color w:val="6E0F1A"/>
          <w:sz w:val="24"/>
        </w:rPr>
        <w:t>17.1 Final selection</w:t>
      </w:r>
    </w:p>
    <w:p>
      <w:pPr>
        <w:spacing w:before="0" w:after="120" w:line="259" w:lineRule="auto"/>
      </w:pPr>
      <w:r>
        <w:rPr>
          <w:rFonts w:ascii="Carlito" w:hAnsi="Carlito"/>
          <w:i w:val="0"/>
          <w:color w:val="2E2E2E"/>
        </w:rPr>
        <w:t>The final successful list shall derive from approved selection/quota outcome plus required medical outcome and final committee/administrative approval. Publication settings determine what limited information is public. Full NIN shall not be displayed on public result lists.</w:t>
      </w:r>
    </w:p>
    <w:p>
      <w:pPr>
        <w:pStyle w:val="Heading2"/>
        <w:keepNext/>
        <w:spacing w:before="100" w:after="60" w:line="259" w:lineRule="auto"/>
      </w:pPr>
      <w:r>
        <w:rPr>
          <w:rFonts w:ascii="Carlito" w:hAnsi="Carlito"/>
          <w:b/>
          <w:color w:val="6E0F1A"/>
          <w:sz w:val="24"/>
        </w:rPr>
        <w:t>17.2 Reserve list automation</w:t>
      </w:r>
    </w:p>
    <w:p>
      <w:pPr>
        <w:spacing w:before="0" w:after="120" w:line="259" w:lineRule="auto"/>
      </w:pPr>
      <w:r>
        <w:rPr>
          <w:rFonts w:ascii="Carlito" w:hAnsi="Carlito"/>
          <w:i w:val="0"/>
          <w:color w:val="2E2E2E"/>
        </w:rPr>
        <w:t>The system shall maintain the next eligible candidates below the selected cut-off within the relevant quota/selection bucket. If a selected candidate withdraws, fails medical, does not report, or otherwise creates a vacancy, the system may recommend the next eligible reserve candidate. Recommendation does not become final until authorised approval.</w:t>
      </w:r>
    </w:p>
    <w:p>
      <w:pPr>
        <w:pStyle w:val="Heading2"/>
        <w:keepNext/>
        <w:spacing w:before="100" w:after="60" w:line="259" w:lineRule="auto"/>
      </w:pPr>
      <w:r>
        <w:rPr>
          <w:rFonts w:ascii="Carlito" w:hAnsi="Carlito"/>
          <w:b/>
          <w:color w:val="6E0F1A"/>
          <w:sz w:val="24"/>
        </w:rPr>
        <w:t>17.3 Training reporting / PATS intake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FR-TRN-001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Generate official training reporting invitation with date, location, instructions, items/documents to carry, application reference and QR code.</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FR-TRN-002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Record Expected, Reported, Verified, Admitted, Late, Documentation Incomplete, No Show, Withdrawn and Replacement statuses as configured.</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FR-TRN-003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Provide intake dashboards by campaign/post, region, district, gender and special skill.</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FR-TRN-004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Export successful recruit data in a controlled format/API for downstream HR/personnel onboarding.</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Should</w:t>
            </w:r>
          </w:p>
        </w:tc>
      </w:tr>
    </w:tbl>
    <w:p>
      <w:pPr>
        <w:spacing w:after="20"/>
      </w:pPr>
    </w:p>
    <w:p>
      <w:pPr>
        <w:pStyle w:val="Heading1"/>
        <w:keepNext/>
        <w:spacing w:before="160" w:after="100" w:line="259" w:lineRule="auto"/>
      </w:pPr>
      <w:r>
        <w:rPr>
          <w:rFonts w:ascii="Carlito" w:hAnsi="Carlito"/>
          <w:b/>
          <w:color w:val="4B0B12"/>
          <w:sz w:val="30"/>
        </w:rPr>
        <w:t>18. Notifications, Tracking, Helpdesk and Appeals</w:t>
      </w:r>
    </w:p>
    <w:p>
      <w:pPr>
        <w:pStyle w:val="Heading2"/>
        <w:keepNext/>
        <w:spacing w:before="100" w:after="60" w:line="259" w:lineRule="auto"/>
      </w:pPr>
      <w:r>
        <w:rPr>
          <w:rFonts w:ascii="Carlito" w:hAnsi="Carlito"/>
          <w:b/>
          <w:color w:val="6E0F1A"/>
          <w:sz w:val="24"/>
        </w:rPr>
        <w:t>18.1 Notification channels</w:t>
      </w:r>
    </w:p>
    <w:p>
      <w:pPr>
        <w:spacing w:before="0" w:after="120" w:line="259" w:lineRule="auto"/>
      </w:pPr>
      <w:r>
        <w:rPr>
          <w:rFonts w:ascii="Carlito" w:hAnsi="Carlito"/>
          <w:i w:val="0"/>
          <w:color w:val="2E2E2E"/>
        </w:rPr>
        <w:t>Channels may include email, SMS through an approved gateway, in-portal notifications and PWA push where supported. Each campaign can configure which transitions trigger which channels. Delivery attempts, success/failure and retries shall be logged.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Trigger</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Typical notification</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Submission</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Application received, reference number, hard-copy instructions and acknowledgement link.</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Hard-copy receipt</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Receipt confirmation and any missing/queried items.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Verification</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Query/request for clearer document, eligibility result or next step.</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Interview</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Shortlist/invitation, reminder, reschedule/postponement.</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Medical</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Medical invitation/reminder/result-available notice where policy allows.</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Final selection</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Result available; successful candidate instructions.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Training</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Reporting invitation/reminders and replacement invitation where applicable.</w:t>
            </w:r>
          </w:p>
        </w:tc>
      </w:tr>
    </w:tbl>
    <w:p>
      <w:pPr>
        <w:spacing w:after="20"/>
      </w:pPr>
    </w:p>
    <w:p>
      <w:pPr>
        <w:pStyle w:val="Heading2"/>
        <w:keepNext/>
        <w:spacing w:before="100" w:after="60" w:line="259" w:lineRule="auto"/>
      </w:pPr>
      <w:r>
        <w:rPr>
          <w:rFonts w:ascii="Carlito" w:hAnsi="Carlito"/>
          <w:b/>
          <w:color w:val="6E0F1A"/>
          <w:sz w:val="24"/>
        </w:rPr>
        <w:t>18.2 Tracking</w:t>
      </w:r>
    </w:p>
    <w:p>
      <w:pPr>
        <w:spacing w:before="0" w:after="120" w:line="259" w:lineRule="auto"/>
      </w:pPr>
      <w:r>
        <w:rPr>
          <w:rFonts w:ascii="Carlito" w:hAnsi="Carlito"/>
          <w:i w:val="0"/>
          <w:color w:val="2E2E2E"/>
        </w:rPr>
        <w:t>Applicants shall have a secure status timeline. Public status lookup, if provided, shall not expose sensitive information through application number alone; use authenticated login, OTP or a rate-limited verification challenge.</w:t>
      </w:r>
    </w:p>
    <w:p>
      <w:pPr>
        <w:pStyle w:val="Heading2"/>
        <w:keepNext/>
        <w:spacing w:before="100" w:after="60" w:line="259" w:lineRule="auto"/>
      </w:pPr>
      <w:r>
        <w:rPr>
          <w:rFonts w:ascii="Carlito" w:hAnsi="Carlito"/>
          <w:b/>
          <w:color w:val="6E0F1A"/>
          <w:sz w:val="24"/>
        </w:rPr>
        <w:t>18.3 Helpdesk and appeals</w:t>
      </w:r>
    </w:p>
    <w:p>
      <w:pPr>
        <w:spacing w:before="0" w:after="120" w:line="259" w:lineRule="auto"/>
      </w:pPr>
      <w:r>
        <w:rPr>
          <w:rFonts w:ascii="Carlito" w:hAnsi="Carlito"/>
          <w:i w:val="0"/>
          <w:color w:val="2E2E2E"/>
        </w:rPr>
        <w:t>Applicants shall be able to submit structured enquiries or appeals linked to the application number, reason category, evidence and status. Appeals are campaign-policy dependent and shall be assigned to authorised reviewers. A successful appeal that changes verified eligibility data shall trigger the appropriate downstream recalculation/review with audit trace.</w:t>
      </w:r>
    </w:p>
    <w:p>
      <w:pPr>
        <w:pStyle w:val="Heading1"/>
        <w:keepNext/>
        <w:spacing w:before="160" w:after="100" w:line="259" w:lineRule="auto"/>
      </w:pPr>
      <w:r>
        <w:rPr>
          <w:rFonts w:ascii="Carlito" w:hAnsi="Carlito"/>
          <w:b/>
          <w:color w:val="4B0B12"/>
          <w:sz w:val="30"/>
        </w:rPr>
        <w:t>19. Dashboards, Reports, Export and Printing</w:t>
      </w:r>
    </w:p>
    <w:p>
      <w:pPr>
        <w:pStyle w:val="Heading2"/>
        <w:keepNext/>
        <w:spacing w:before="100" w:after="60" w:line="259" w:lineRule="auto"/>
      </w:pPr>
      <w:r>
        <w:rPr>
          <w:rFonts w:ascii="Carlito" w:hAnsi="Carlito"/>
          <w:b/>
          <w:color w:val="6E0F1A"/>
          <w:sz w:val="24"/>
        </w:rPr>
        <w:t>19.1 Executive dashboard</w:t>
      </w:r>
    </w:p>
    <w:p>
      <w:pPr>
        <w:pStyle w:val="ListBullet"/>
        <w:spacing w:before="0" w:after="60" w:line="259" w:lineRule="auto"/>
      </w:pPr>
      <w:r>
        <w:rPr>
          <w:rFonts w:ascii="Carlito" w:hAnsi="Carlito"/>
          <w:color w:val="2E2E2E"/>
        </w:rPr>
        <w:t>Applications registered/submitted by day, post, region, district and gender.</w:t>
      </w:r>
    </w:p>
    <w:p>
      <w:pPr>
        <w:pStyle w:val="ListBullet"/>
        <w:spacing w:before="0" w:after="60" w:line="259" w:lineRule="auto"/>
      </w:pPr>
      <w:r>
        <w:rPr>
          <w:rFonts w:ascii="Carlito" w:hAnsi="Carlito"/>
          <w:color w:val="2E2E2E"/>
        </w:rPr>
        <w:t>Hard-copy receipt rate and outstanding submissions.</w:t>
      </w:r>
    </w:p>
    <w:p>
      <w:pPr>
        <w:pStyle w:val="ListBullet"/>
        <w:spacing w:before="0" w:after="60" w:line="259" w:lineRule="auto"/>
      </w:pPr>
      <w:r>
        <w:rPr>
          <w:rFonts w:ascii="Carlito" w:hAnsi="Carlito"/>
          <w:color w:val="2E2E2E"/>
        </w:rPr>
        <w:t>Verification backlog and common discrepancy reasons.</w:t>
      </w:r>
    </w:p>
    <w:p>
      <w:pPr>
        <w:pStyle w:val="ListBullet"/>
        <w:spacing w:before="0" w:after="60" w:line="259" w:lineRule="auto"/>
      </w:pPr>
      <w:r>
        <w:rPr>
          <w:rFonts w:ascii="Carlito" w:hAnsi="Carlito"/>
          <w:color w:val="2E2E2E"/>
        </w:rPr>
        <w:t>Document intelligence: low-quality scans, name/NIN/DOB/grade mismatches, low-confidence extraction and unresolved reviews.</w:t>
      </w:r>
    </w:p>
    <w:p>
      <w:pPr>
        <w:pStyle w:val="ListBullet"/>
        <w:spacing w:before="0" w:after="60" w:line="259" w:lineRule="auto"/>
      </w:pPr>
      <w:r>
        <w:rPr>
          <w:rFonts w:ascii="Carlito" w:hAnsi="Carlito"/>
          <w:color w:val="2E2E2E"/>
        </w:rPr>
        <w:t>Eligibility pass/review/fail counts and rejection reasons.</w:t>
      </w:r>
    </w:p>
    <w:p>
      <w:pPr>
        <w:pStyle w:val="ListBullet"/>
        <w:spacing w:before="0" w:after="60" w:line="259" w:lineRule="auto"/>
      </w:pPr>
      <w:r>
        <w:rPr>
          <w:rFonts w:ascii="Carlito" w:hAnsi="Carlito"/>
          <w:color w:val="2E2E2E"/>
        </w:rPr>
        <w:t>Interview scheduled/attendance/no-show and panel completion.</w:t>
      </w:r>
    </w:p>
    <w:p>
      <w:pPr>
        <w:pStyle w:val="ListBullet"/>
        <w:spacing w:before="0" w:after="60" w:line="259" w:lineRule="auto"/>
      </w:pPr>
      <w:r>
        <w:rPr>
          <w:rFonts w:ascii="Carlito" w:hAnsi="Carlito"/>
          <w:color w:val="2E2E2E"/>
        </w:rPr>
        <w:t>Written/oral/other assessment score distributions and centre/region comparisons.</w:t>
      </w:r>
    </w:p>
    <w:p>
      <w:pPr>
        <w:pStyle w:val="ListBullet"/>
        <w:spacing w:before="0" w:after="60" w:line="259" w:lineRule="auto"/>
      </w:pPr>
      <w:r>
        <w:rPr>
          <w:rFonts w:ascii="Carlito" w:hAnsi="Carlito"/>
          <w:color w:val="2E2E2E"/>
        </w:rPr>
        <w:t>Quota allocated versus filled; selected/reserve counts; special-skill representation.</w:t>
      </w:r>
    </w:p>
    <w:p>
      <w:pPr>
        <w:pStyle w:val="ListBullet"/>
        <w:spacing w:before="0" w:after="60" w:line="259" w:lineRule="auto"/>
      </w:pPr>
      <w:r>
        <w:rPr>
          <w:rFonts w:ascii="Carlito" w:hAnsi="Carlito"/>
          <w:color w:val="2E2E2E"/>
        </w:rPr>
        <w:t>Medical outcomes and outstanding candidates.</w:t>
      </w:r>
    </w:p>
    <w:p>
      <w:pPr>
        <w:pStyle w:val="ListBullet"/>
        <w:spacing w:before="0" w:after="60" w:line="259" w:lineRule="auto"/>
      </w:pPr>
      <w:r>
        <w:rPr>
          <w:rFonts w:ascii="Carlito" w:hAnsi="Carlito"/>
          <w:color w:val="2E2E2E"/>
        </w:rPr>
        <w:t>Training expected/reported/admitted/no-show and replacement activity.</w:t>
      </w:r>
    </w:p>
    <w:p>
      <w:pPr>
        <w:pStyle w:val="ListBullet"/>
        <w:spacing w:before="0" w:after="60" w:line="259" w:lineRule="auto"/>
      </w:pPr>
      <w:r>
        <w:rPr>
          <w:rFonts w:ascii="Carlito" w:hAnsi="Carlito"/>
          <w:color w:val="2E2E2E"/>
        </w:rPr>
        <w:t>Offline operations: centre/device last sync, pending events, conflicts and expired packs.</w:t>
      </w:r>
    </w:p>
    <w:p>
      <w:pPr>
        <w:pStyle w:val="Heading2"/>
        <w:keepNext/>
        <w:spacing w:before="100" w:after="60" w:line="259" w:lineRule="auto"/>
      </w:pPr>
      <w:r>
        <w:rPr>
          <w:rFonts w:ascii="Carlito" w:hAnsi="Carlito"/>
          <w:b/>
          <w:color w:val="6E0F1A"/>
          <w:sz w:val="24"/>
        </w:rPr>
        <w:t>19.2 Export and print</w:t>
      </w:r>
    </w:p>
    <w:p>
      <w:pPr>
        <w:spacing w:before="0" w:after="120" w:line="259" w:lineRule="auto"/>
      </w:pPr>
      <w:r>
        <w:rPr>
          <w:rFonts w:ascii="Carlito" w:hAnsi="Carlito"/>
          <w:i w:val="0"/>
          <w:color w:val="2E2E2E"/>
        </w:rPr>
        <w:t>Authorised lists and reports shall support Excel (.xlsx), CSV where useful, PDF and print-friendly views. Bulk letter generation shall support merged interview, medical and training letters for centre-level printing. Export permissions must follow role/scope restrictions and sensitive-field masking rules.</w:t>
      </w:r>
    </w:p>
    <w:p>
      <w:pPr>
        <w:pStyle w:val="Heading1"/>
        <w:keepNext/>
        <w:spacing w:before="160" w:after="100" w:line="259" w:lineRule="auto"/>
      </w:pPr>
      <w:r>
        <w:rPr>
          <w:rFonts w:ascii="Carlito" w:hAnsi="Carlito"/>
          <w:b/>
          <w:color w:val="4B0B12"/>
          <w:sz w:val="30"/>
        </w:rPr>
        <w:t>20. Audit, Integrity and Recruitment Governance</w:t>
      </w:r>
    </w:p>
    <w:p>
      <w:pPr>
        <w:pStyle w:val="Heading2"/>
        <w:keepNext/>
        <w:spacing w:before="100" w:after="60" w:line="259" w:lineRule="auto"/>
      </w:pPr>
      <w:r>
        <w:rPr>
          <w:rFonts w:ascii="Carlito" w:hAnsi="Carlito"/>
          <w:b/>
          <w:color w:val="6E0F1A"/>
          <w:sz w:val="24"/>
        </w:rPr>
        <w:t>20.1 Immutable audit evidence</w:t>
      </w:r>
    </w:p>
    <w:p>
      <w:pPr>
        <w:spacing w:before="0" w:after="120" w:line="259" w:lineRule="auto"/>
      </w:pPr>
      <w:r>
        <w:rPr>
          <w:rFonts w:ascii="Carlito" w:hAnsi="Carlito"/>
          <w:i w:val="0"/>
          <w:color w:val="2E2E2E"/>
        </w:rPr>
        <w:t>Every sensitive write shall record actor, action, entity, before/after value where applicable, timestamp, device/session and reason/approval when required. Operational users shall not be able to erase audit records through the application interface.</w:t>
      </w:r>
    </w:p>
    <w:p>
      <w:pPr>
        <w:pStyle w:val="Heading2"/>
        <w:keepNext/>
        <w:spacing w:before="100" w:after="60" w:line="259" w:lineRule="auto"/>
      </w:pPr>
      <w:r>
        <w:rPr>
          <w:rFonts w:ascii="Carlito" w:hAnsi="Carlito"/>
          <w:b/>
          <w:color w:val="6E0F1A"/>
          <w:sz w:val="24"/>
        </w:rPr>
        <w:t>20.2 Integrity/anomaly monitoring</w:t>
      </w:r>
    </w:p>
    <w:p>
      <w:pPr>
        <w:pStyle w:val="ListBullet"/>
        <w:spacing w:before="0" w:after="60" w:line="259" w:lineRule="auto"/>
      </w:pPr>
      <w:r>
        <w:rPr>
          <w:rFonts w:ascii="Carlito" w:hAnsi="Carlito"/>
          <w:color w:val="2E2E2E"/>
        </w:rPr>
        <w:t>Duplicate NIN or repeated identifiers within a campaign.</w:t>
      </w:r>
    </w:p>
    <w:p>
      <w:pPr>
        <w:pStyle w:val="ListBullet"/>
        <w:spacing w:before="0" w:after="60" w:line="259" w:lineRule="auto"/>
      </w:pPr>
      <w:r>
        <w:rPr>
          <w:rFonts w:ascii="Carlito" w:hAnsi="Carlito"/>
          <w:color w:val="2E2E2E"/>
        </w:rPr>
        <w:t>Identical document hashes reused across different applicants.</w:t>
      </w:r>
    </w:p>
    <w:p>
      <w:pPr>
        <w:pStyle w:val="ListBullet"/>
        <w:spacing w:before="0" w:after="60" w:line="259" w:lineRule="auto"/>
      </w:pPr>
      <w:r>
        <w:rPr>
          <w:rFonts w:ascii="Carlito" w:hAnsi="Carlito"/>
          <w:color w:val="2E2E2E"/>
        </w:rPr>
        <w:t>Repeated academic index/certificate numbers or professional certificate numbers.</w:t>
      </w:r>
    </w:p>
    <w:p>
      <w:pPr>
        <w:pStyle w:val="ListBullet"/>
        <w:spacing w:before="0" w:after="60" w:line="259" w:lineRule="auto"/>
      </w:pPr>
      <w:r>
        <w:rPr>
          <w:rFonts w:ascii="Carlito" w:hAnsi="Carlito"/>
          <w:color w:val="2E2E2E"/>
        </w:rPr>
        <w:t>Material name/DOB/NIN conflicts across documents.</w:t>
      </w:r>
    </w:p>
    <w:p>
      <w:pPr>
        <w:pStyle w:val="ListBullet"/>
        <w:spacing w:before="0" w:after="60" w:line="259" w:lineRule="auto"/>
      </w:pPr>
      <w:r>
        <w:rPr>
          <w:rFonts w:ascii="Carlito" w:hAnsi="Carlito"/>
          <w:color w:val="2E2E2E"/>
        </w:rPr>
        <w:t>Scores changed after panel closure or unusually frequent score corrections.</w:t>
      </w:r>
    </w:p>
    <w:p>
      <w:pPr>
        <w:pStyle w:val="ListBullet"/>
        <w:spacing w:before="0" w:after="60" w:line="259" w:lineRule="auto"/>
      </w:pPr>
      <w:r>
        <w:rPr>
          <w:rFonts w:ascii="Carlito" w:hAnsi="Carlito"/>
          <w:color w:val="2E2E2E"/>
        </w:rPr>
        <w:t>Candidate selected below cut-off through an override.</w:t>
      </w:r>
    </w:p>
    <w:p>
      <w:pPr>
        <w:pStyle w:val="ListBullet"/>
        <w:spacing w:before="0" w:after="60" w:line="259" w:lineRule="auto"/>
      </w:pPr>
      <w:r>
        <w:rPr>
          <w:rFonts w:ascii="Carlito" w:hAnsi="Carlito"/>
          <w:color w:val="2E2E2E"/>
        </w:rPr>
        <w:t>Selection outside configured quota/jurisdiction.</w:t>
      </w:r>
    </w:p>
    <w:p>
      <w:pPr>
        <w:pStyle w:val="ListBullet"/>
        <w:spacing w:before="0" w:after="60" w:line="259" w:lineRule="auto"/>
      </w:pPr>
      <w:r>
        <w:rPr>
          <w:rFonts w:ascii="Carlito" w:hAnsi="Carlito"/>
          <w:color w:val="2E2E2E"/>
        </w:rPr>
        <w:t>Candidate progressed without required medical/eligibility stage.</w:t>
      </w:r>
    </w:p>
    <w:p>
      <w:pPr>
        <w:pStyle w:val="ListBullet"/>
        <w:spacing w:before="0" w:after="60" w:line="259" w:lineRule="auto"/>
      </w:pPr>
      <w:r>
        <w:rPr>
          <w:rFonts w:ascii="Carlito" w:hAnsi="Carlito"/>
          <w:color w:val="2E2E2E"/>
        </w:rPr>
        <w:t>Unsynchronised centre data at ranking time.</w:t>
      </w:r>
    </w:p>
    <w:p>
      <w:pPr>
        <w:pStyle w:val="ListBullet"/>
        <w:spacing w:before="0" w:after="60" w:line="259" w:lineRule="auto"/>
      </w:pPr>
      <w:r>
        <w:rPr>
          <w:rFonts w:ascii="Carlito" w:hAnsi="Carlito"/>
          <w:color w:val="2E2E2E"/>
        </w:rPr>
        <w:t>Access or exports outside expected user scope.</w:t>
      </w:r>
    </w:p>
    <w:p>
      <w:pPr>
        <w:spacing w:before="0" w:after="120" w:line="259" w:lineRule="auto"/>
      </w:pPr>
      <w:r>
        <w:rPr>
          <w:rFonts w:ascii="Carlito" w:hAnsi="Carlito"/>
          <w:i w:val="0"/>
          <w:color w:val="2E2E2E"/>
        </w:rPr>
        <w:t>Integrity detection shall create review indicators, not automatic accusations of fraud. Human investigation and documented outcomes are required.</w:t>
      </w:r>
    </w:p>
    <w:p>
      <w:pPr>
        <w:pStyle w:val="Heading1"/>
        <w:keepNext/>
        <w:spacing w:before="160" w:after="100" w:line="259" w:lineRule="auto"/>
      </w:pPr>
      <w:r>
        <w:rPr>
          <w:rFonts w:ascii="Carlito" w:hAnsi="Carlito"/>
          <w:b/>
          <w:color w:val="4B0B12"/>
          <w:sz w:val="30"/>
        </w:rPr>
        <w:t>21. Security, Privacy, Data Retention and Device Controls</w:t>
      </w:r>
    </w:p>
    <w:p>
      <w:pPr>
        <w:pStyle w:val="Heading2"/>
        <w:keepNext/>
        <w:spacing w:before="100" w:after="60" w:line="259" w:lineRule="auto"/>
      </w:pPr>
      <w:r>
        <w:rPr>
          <w:rFonts w:ascii="Carlito" w:hAnsi="Carlito"/>
          <w:b/>
          <w:color w:val="6E0F1A"/>
          <w:sz w:val="24"/>
        </w:rPr>
        <w:t>21.1 Security controls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79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Requirement</w:t>
            </w:r>
          </w:p>
        </w:tc>
        <w:tc>
          <w:tcPr>
            <w:tcW w:type="dxa" w:w="115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Priority</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NFR-SEC-001</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HTTPS/TLS for all network traffic; secure cookies/session settings and protection against common web attacks.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NFR-SEC-002</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MFA for privileged staff/admin users; rate limits and lockout controls for suspicious authentication activity.</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NFR-SEC-003</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Role/scope-based authorisation enforced server-side on every protected endpoint.</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NFR-SEC-004</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Encrypt sensitive server-side data at rest where appropriate, including protected document storage and encrypted backups.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NFR-SEC-005</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Malware scanning and strict upload validation.</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NFR-SEC-006</w:t>
            </w:r>
          </w:p>
        </w:tc>
        <w:tc>
          <w:tcPr>
            <w:tcW w:type="dxa" w:w="79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Registered-device and offline-pack controls for offline staff workflows.</w:t>
            </w:r>
          </w:p>
        </w:tc>
        <w:tc>
          <w:tcPr>
            <w:tcW w:type="dxa" w:w="115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r>
        <w:trPr>
          <w:cantSplit/>
        </w:trPr>
        <w:tc>
          <w:tcPr>
            <w:tcW w:type="dxa" w:w="165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NFR-SEC-007</w:t>
            </w:r>
          </w:p>
        </w:tc>
        <w:tc>
          <w:tcPr>
            <w:tcW w:type="dxa" w:w="79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Security testing and penetration testing before national go-live and after major changes.</w:t>
            </w:r>
          </w:p>
        </w:tc>
        <w:tc>
          <w:tcPr>
            <w:tcW w:type="dxa" w:w="115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Must</w:t>
            </w:r>
          </w:p>
        </w:tc>
      </w:tr>
    </w:tbl>
    <w:p>
      <w:pPr>
        <w:spacing w:after="20"/>
      </w:pPr>
    </w:p>
    <w:p>
      <w:pPr>
        <w:pStyle w:val="Heading2"/>
        <w:keepNext/>
        <w:spacing w:before="100" w:after="60" w:line="259" w:lineRule="auto"/>
      </w:pPr>
      <w:r>
        <w:rPr>
          <w:rFonts w:ascii="Carlito" w:hAnsi="Carlito"/>
          <w:b/>
          <w:color w:val="6E0F1A"/>
          <w:sz w:val="24"/>
        </w:rPr>
        <w:t>21.2 Data minimisation and privacy</w:t>
      </w:r>
    </w:p>
    <w:p>
      <w:pPr>
        <w:pStyle w:val="ListBullet"/>
        <w:spacing w:before="0" w:after="60" w:line="259" w:lineRule="auto"/>
      </w:pPr>
      <w:r>
        <w:rPr>
          <w:rFonts w:ascii="Carlito" w:hAnsi="Carlito"/>
          <w:color w:val="2E2E2E"/>
        </w:rPr>
        <w:t>Public results should use application number and limited approved identity information; never publish full NIN by default.</w:t>
      </w:r>
    </w:p>
    <w:p>
      <w:pPr>
        <w:pStyle w:val="ListBullet"/>
        <w:spacing w:before="0" w:after="60" w:line="259" w:lineRule="auto"/>
      </w:pPr>
      <w:r>
        <w:rPr>
          <w:rFonts w:ascii="Carlito" w:hAnsi="Carlito"/>
          <w:color w:val="2E2E2E"/>
        </w:rPr>
        <w:t>Panel/offline packs shall contain only the minimum fields needed for the assigned task.</w:t>
      </w:r>
    </w:p>
    <w:p>
      <w:pPr>
        <w:pStyle w:val="ListBullet"/>
        <w:spacing w:before="0" w:after="60" w:line="259" w:lineRule="auto"/>
      </w:pPr>
      <w:r>
        <w:rPr>
          <w:rFonts w:ascii="Carlito" w:hAnsi="Carlito"/>
          <w:color w:val="2E2E2E"/>
        </w:rPr>
        <w:t>Medical outcomes shall be access-restricted and detailed clinical data minimised.</w:t>
      </w:r>
    </w:p>
    <w:p>
      <w:pPr>
        <w:pStyle w:val="ListBullet"/>
        <w:spacing w:before="0" w:after="60" w:line="259" w:lineRule="auto"/>
      </w:pPr>
      <w:r>
        <w:rPr>
          <w:rFonts w:ascii="Carlito" w:hAnsi="Carlito"/>
          <w:color w:val="2E2E2E"/>
        </w:rPr>
        <w:t>Applicant-facing privacy notice shall explain purpose, lawful processing basis/authority, retention, sharing and contact/escalation route according to applicable UPS policy and Ugandan data-protection requirements.</w:t>
      </w:r>
    </w:p>
    <w:p>
      <w:pPr>
        <w:pStyle w:val="ListBullet"/>
        <w:spacing w:before="0" w:after="60" w:line="259" w:lineRule="auto"/>
      </w:pPr>
      <w:r>
        <w:rPr>
          <w:rFonts w:ascii="Carlito" w:hAnsi="Carlito"/>
          <w:color w:val="2E2E2E"/>
        </w:rPr>
        <w:t>Data retention periods shall be configurable by record category/campaign and support archive, legal hold where applicable, and controlled purge after approval.</w:t>
      </w:r>
    </w:p>
    <w:p>
      <w:pPr>
        <w:pStyle w:val="Heading2"/>
        <w:keepNext/>
        <w:spacing w:before="100" w:after="60" w:line="259" w:lineRule="auto"/>
      </w:pPr>
      <w:r>
        <w:rPr>
          <w:rFonts w:ascii="Carlito" w:hAnsi="Carlito"/>
          <w:b/>
          <w:color w:val="6E0F1A"/>
          <w:sz w:val="24"/>
        </w:rPr>
        <w:t>21.3 Offline device security</w:t>
      </w:r>
    </w:p>
    <w:p>
      <w:pPr>
        <w:spacing w:before="0" w:after="120" w:line="259" w:lineRule="auto"/>
      </w:pPr>
      <w:r>
        <w:rPr>
          <w:rFonts w:ascii="Carlito" w:hAnsi="Carlito"/>
          <w:i w:val="0"/>
          <w:color w:val="2E2E2E"/>
        </w:rPr>
        <w:t>Offline data can never be perfectly remotely wiped while a device is disconnected. The design therefore mitigates loss through encryption/protected local storage, app/device authentication, short pack expiry, least-data downloads, local purge after sync/expiry, revocation on next contact, registered-device inventory and preferably UPS-controlled devices for sensitive roles.</w:t>
      </w:r>
    </w:p>
    <w:p>
      <w:pPr>
        <w:pStyle w:val="Heading1"/>
        <w:keepNext/>
        <w:spacing w:before="160" w:after="100" w:line="259" w:lineRule="auto"/>
      </w:pPr>
      <w:r>
        <w:rPr>
          <w:rFonts w:ascii="Carlito" w:hAnsi="Carlito"/>
          <w:b/>
          <w:color w:val="4B0B12"/>
          <w:sz w:val="30"/>
        </w:rPr>
        <w:t>22. Non-Functional Requirements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Concern</w:t>
            </w:r>
          </w:p>
        </w:tc>
        <w:tc>
          <w:tcPr>
            <w:tcW w:type="dxa" w:w="8424"/>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Target / requirement</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Availability</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Target ≥99.5% during active national submission/operations windows, excluding agreed maintenance; graceful degradation for non-critical background functions.</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Peak load</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Load-test for campaign-specific peak projections and late-deadline surges; queue OCR, email/SMS, PDF and export jobs asynchronously.</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Performance</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Normal form/navigation interactions should feel responsive on common 3G/4G connections; target server response &lt;1.5 seconds for typical non-file actions under normal load.</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Uploads</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Resumable/chunked or retry-capable upload flow where practical; visible progress and recoverable failure.</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Offline</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Critical centre workflows remain usable without internet after an authorised pack is downloaded.</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Accessibility</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WCAG 2.1 AA-minded forms: labels, focus states, keyboard navigation, contrast, screen-reader compatibility and accessible error messages.</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Localisation readiness</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User-interface strings externalised so additional Ugandan languages can be introduced later without redesign.</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Auditability</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Every sensitive state change traceable; no hidden overwrite of ranking/capping runs or uploaded evidence.</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Backup/DR</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Encrypted backups with documented RPO/RTO, periodic restoration tests and object-storage/database consistency procedures.</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Maintainability</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One codebase, documented modules, automated tests, migrations and deployment runbook.</w:t>
            </w:r>
          </w:p>
        </w:tc>
      </w:tr>
    </w:tbl>
    <w:p>
      <w:pPr>
        <w:spacing w:after="20"/>
      </w:pPr>
    </w:p>
    <w:p>
      <w:pPr>
        <w:pStyle w:val="Heading1"/>
        <w:keepNext/>
        <w:spacing w:before="160" w:after="100" w:line="259" w:lineRule="auto"/>
      </w:pPr>
      <w:r>
        <w:rPr>
          <w:rFonts w:ascii="Carlito" w:hAnsi="Carlito"/>
          <w:b/>
          <w:color w:val="4B0B12"/>
          <w:sz w:val="30"/>
        </w:rPr>
        <w:t>23. Technical Architecture and Deployment</w:t>
      </w:r>
    </w:p>
    <w:p>
      <w:pPr>
        <w:pStyle w:val="Heading2"/>
        <w:keepNext/>
        <w:spacing w:before="100" w:after="60" w:line="259" w:lineRule="auto"/>
      </w:pPr>
      <w:r>
        <w:rPr>
          <w:rFonts w:ascii="Carlito" w:hAnsi="Carlito"/>
          <w:b/>
          <w:color w:val="6E0F1A"/>
          <w:sz w:val="24"/>
        </w:rPr>
        <w:t>23.1 Recommended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Layer</w:t>
            </w:r>
          </w:p>
        </w:tc>
        <w:tc>
          <w:tcPr>
            <w:tcW w:type="dxa" w:w="8424"/>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Recommendation</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Client layer</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Vue 3 + Vite PWA (or equivalent simple modern PWA), responsive applicant/staff/admin experiences, Service Worker, IndexedDB, Web Crypto-compatible protections.</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Application layer</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Laravel modular monolith: Auth/RBAC, Campaigns, Applications, Verification, Geography, Interview, Offline Sync, Assessments, Ranking/Quotas, Medical, Training, Notifications, Reporting, Audit.</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Document processing</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Small Python worker/service for OCR, image preprocessing, quality checks and structured extraction; asynchronous jobs only, not a separate business system.</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Database</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PostgreSQL as system of record.</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Object storage</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S3-compatible storage such as MinIO or approved equivalent for uploaded documents and generated artefacts; protected access.</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Queue/cache</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Redis or Laravel database queue initially; Redis preferred when scale/throughput justifies it.</w:t>
            </w:r>
          </w:p>
        </w:tc>
      </w:tr>
      <w:tr>
        <w:trPr>
          <w:cantSplit/>
        </w:trPr>
        <w:tc>
          <w:tcPr>
            <w:tcW w:type="dxa" w:w="237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Web tier</w:t>
            </w:r>
          </w:p>
        </w:tc>
        <w:tc>
          <w:tcPr>
            <w:tcW w:type="dxa" w:w="842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Nginx/reverse proxy + one or more application instances; horizontal scaling during peak campaigns if needed.</w:t>
            </w:r>
          </w:p>
        </w:tc>
      </w:tr>
      <w:tr>
        <w:trPr>
          <w:cantSplit/>
        </w:trPr>
        <w:tc>
          <w:tcPr>
            <w:tcW w:type="dxa" w:w="237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Deployment</w:t>
            </w:r>
          </w:p>
        </w:tc>
        <w:tc>
          <w:tcPr>
            <w:tcW w:type="dxa" w:w="842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Government/NITA-U or other approved environment; Docker/container packaging is recommended but Kubernetes is not an application requirement.</w:t>
            </w:r>
          </w:p>
        </w:tc>
      </w:tr>
    </w:tbl>
    <w:p>
      <w:pPr>
        <w:spacing w:after="20"/>
      </w:pPr>
    </w:p>
    <w:p>
      <w:pPr>
        <w:pStyle w:val="Heading2"/>
        <w:keepNext/>
        <w:spacing w:before="100" w:after="60" w:line="259" w:lineRule="auto"/>
      </w:pPr>
      <w:r>
        <w:rPr>
          <w:rFonts w:ascii="Carlito" w:hAnsi="Carlito"/>
          <w:b/>
          <w:color w:val="6E0F1A"/>
          <w:sz w:val="24"/>
        </w:rPr>
        <w:t>23.2 Architecture rationale</w:t>
      </w:r>
    </w:p>
    <w:p>
      <w:pPr>
        <w:spacing w:before="0" w:after="120" w:line="259" w:lineRule="auto"/>
      </w:pPr>
      <w:r>
        <w:rPr>
          <w:rFonts w:ascii="Carlito" w:hAnsi="Carlito"/>
          <w:i w:val="0"/>
          <w:color w:val="2E2E2E"/>
        </w:rPr>
        <w:t>A modular monolith provides strong transactional integrity for recruitment, simple deployment/backup, one authentication model and low operational overhead. Offline and OCR complexity is handled through bounded components rather than a network of microservices. The design remains capable of running more than one application instance behind a load balancer during high-volume submission periods.</w:t>
      </w:r>
    </w:p>
    <w:p>
      <w:pPr>
        <w:pStyle w:val="Heading1"/>
        <w:keepNext/>
        <w:spacing w:before="160" w:after="100" w:line="259" w:lineRule="auto"/>
      </w:pPr>
      <w:r>
        <w:rPr>
          <w:rFonts w:ascii="Carlito" w:hAnsi="Carlito"/>
          <w:b/>
          <w:color w:val="4B0B12"/>
          <w:sz w:val="30"/>
        </w:rPr>
        <w:t>24. Core Data Model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Domain</w:t>
            </w:r>
          </w:p>
        </w:tc>
        <w:tc>
          <w:tcPr>
            <w:tcW w:type="dxa" w:w="8568"/>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Representative entities/tables</w:t>
            </w:r>
          </w:p>
        </w:tc>
      </w:tr>
      <w:tr>
        <w:trPr>
          <w:cantSplit/>
        </w:trPr>
        <w:tc>
          <w:tcPr>
            <w:tcW w:type="dxa" w:w="22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Recruitment</w:t>
            </w:r>
          </w:p>
        </w:tc>
        <w:tc>
          <w:tcPr>
            <w:tcW w:type="dxa" w:w="85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recruitment_templates, recruitment_campaigns, recruitment_posts, campaign_stages, campaign_rules, campaign_document_requirements, assessment_definitions</w:t>
            </w:r>
          </w:p>
        </w:tc>
      </w:tr>
      <w:tr>
        <w:trPr>
          <w:cantSplit/>
        </w:trPr>
        <w:tc>
          <w:tcPr>
            <w:tcW w:type="dxa" w:w="22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Applicant</w:t>
            </w:r>
          </w:p>
        </w:tc>
        <w:tc>
          <w:tcPr>
            <w:tcW w:type="dxa" w:w="85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applicants, applications, application_status_history, applicant_addresses, education_records, subject_results, employment_records, professional_registrations, applicant_skills</w:t>
            </w:r>
          </w:p>
        </w:tc>
      </w:tr>
      <w:tr>
        <w:trPr>
          <w:cantSplit/>
        </w:trPr>
        <w:tc>
          <w:tcPr>
            <w:tcW w:type="dxa" w:w="22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Documents</w:t>
            </w:r>
          </w:p>
        </w:tc>
        <w:tc>
          <w:tcPr>
            <w:tcW w:type="dxa" w:w="85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documents, document_extractions, extracted_fields, document_comparisons, document_verifications, physical_document_checks</w:t>
            </w:r>
          </w:p>
        </w:tc>
      </w:tr>
      <w:tr>
        <w:trPr>
          <w:cantSplit/>
        </w:trPr>
        <w:tc>
          <w:tcPr>
            <w:tcW w:type="dxa" w:w="22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Geography</w:t>
            </w:r>
          </w:p>
        </w:tc>
        <w:tc>
          <w:tcPr>
            <w:tcW w:type="dxa" w:w="85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administrative_units, prison_regions, recruitment_centres, district_centre_mappings, centre_sessions</w:t>
            </w:r>
          </w:p>
        </w:tc>
      </w:tr>
      <w:tr>
        <w:trPr>
          <w:cantSplit/>
        </w:trPr>
        <w:tc>
          <w:tcPr>
            <w:tcW w:type="dxa" w:w="22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Interview</w:t>
            </w:r>
          </w:p>
        </w:tc>
        <w:tc>
          <w:tcPr>
            <w:tcW w:type="dxa" w:w="85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panels, panel_members, interview_assignments, attendance, assessment_scores, score_adjustments, panel_closures</w:t>
            </w:r>
          </w:p>
        </w:tc>
      </w:tr>
      <w:tr>
        <w:trPr>
          <w:cantSplit/>
        </w:trPr>
        <w:tc>
          <w:tcPr>
            <w:tcW w:type="dxa" w:w="22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Offline</w:t>
            </w:r>
          </w:p>
        </w:tc>
        <w:tc>
          <w:tcPr>
            <w:tcW w:type="dxa" w:w="85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registered_devices, offline_packages, offline_package_records, offline_events, sync_batches, sync_conflicts</w:t>
            </w:r>
          </w:p>
        </w:tc>
      </w:tr>
      <w:tr>
        <w:trPr>
          <w:cantSplit/>
        </w:trPr>
        <w:tc>
          <w:tcPr>
            <w:tcW w:type="dxa" w:w="22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Selection</w:t>
            </w:r>
          </w:p>
        </w:tc>
        <w:tc>
          <w:tcPr>
            <w:tcW w:type="dxa" w:w="85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quotas, skill_reservation_rules, ranking_runs, ranking_results, selection_runs, selection_outcomes, selection_overrides, reserve_lists</w:t>
            </w:r>
          </w:p>
        </w:tc>
      </w:tr>
      <w:tr>
        <w:trPr>
          <w:cantSplit/>
        </w:trPr>
        <w:tc>
          <w:tcPr>
            <w:tcW w:type="dxa" w:w="22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Medical/Training</w:t>
            </w:r>
          </w:p>
        </w:tc>
        <w:tc>
          <w:tcPr>
            <w:tcW w:type="dxa" w:w="85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medical_schedules, medical_results, final_selections, training_invites, training_reporting</w:t>
            </w:r>
          </w:p>
        </w:tc>
      </w:tr>
      <w:tr>
        <w:trPr>
          <w:cantSplit/>
        </w:trPr>
        <w:tc>
          <w:tcPr>
            <w:tcW w:type="dxa" w:w="22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Communication</w:t>
            </w:r>
          </w:p>
        </w:tc>
        <w:tc>
          <w:tcPr>
            <w:tcW w:type="dxa" w:w="85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notification_templates, notifications, helpdesk_tickets, appeals</w:t>
            </w:r>
          </w:p>
        </w:tc>
      </w:tr>
      <w:tr>
        <w:trPr>
          <w:cantSplit/>
        </w:trPr>
        <w:tc>
          <w:tcPr>
            <w:tcW w:type="dxa" w:w="22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Governance</w:t>
            </w:r>
          </w:p>
        </w:tc>
        <w:tc>
          <w:tcPr>
            <w:tcW w:type="dxa" w:w="85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users, roles, permissions, user_scopes, audit_logs, exports, configuration_versions</w:t>
            </w:r>
          </w:p>
        </w:tc>
      </w:tr>
    </w:tbl>
    <w:p>
      <w:pPr>
        <w:spacing w:after="20"/>
      </w:pPr>
    </w:p>
    <w:p>
      <w:pPr>
        <w:pStyle w:val="Heading2"/>
        <w:keepNext/>
        <w:spacing w:before="100" w:after="60" w:line="259" w:lineRule="auto"/>
      </w:pPr>
      <w:r>
        <w:rPr>
          <w:rFonts w:ascii="Carlito" w:hAnsi="Carlito"/>
          <w:b/>
          <w:color w:val="6E0F1A"/>
          <w:sz w:val="24"/>
        </w:rPr>
        <w:t>24.1 Verified-data model</w:t>
      </w:r>
    </w:p>
    <w:p>
      <w:pPr>
        <w:spacing w:before="0" w:after="120" w:line="259" w:lineRule="auto"/>
      </w:pPr>
      <w:r>
        <w:rPr>
          <w:rFonts w:ascii="Carlito" w:hAnsi="Carlito"/>
          <w:i w:val="0"/>
          <w:color w:val="2E2E2E"/>
        </w:rPr>
        <w:t>The application shall retain raw applicant-entered values and document-extracted values even after correction. A verified-value record should include field name, verified value, verification method/source, reviewer, timestamp and evidence references. Eligibility shall reference the applicable verified value/rule version so that decisions remain reproducible.</w:t>
      </w:r>
    </w:p>
    <w:p>
      <w:pPr>
        <w:pStyle w:val="Heading1"/>
        <w:keepNext/>
        <w:spacing w:before="160" w:after="100" w:line="259" w:lineRule="auto"/>
      </w:pPr>
      <w:r>
        <w:rPr>
          <w:rFonts w:ascii="Carlito" w:hAnsi="Carlito"/>
          <w:b/>
          <w:color w:val="4B0B12"/>
          <w:sz w:val="30"/>
        </w:rPr>
        <w:t>25. Interfaces and Integration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Interface</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Position in v1.0</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Email SMTP/gateway</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Required for configured email notifications.</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SMS gateway</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Supported through an approved provider where budget/contract exists; the core app must still work if SMS is temporarily unavailable.</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PWA push</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Optional channel where browser/device support permits.</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NIRA</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Optional future integration only if lawful, approved and technically available. Core identity workflow does not depend on it.</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UNEB</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Explicitly not planned. No UNEB API, verification adapter or future dependency.</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UPS public website/CMS</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Optional link/publish integration; the recruitment platform can also expose public campaign/notices pages directly.</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Downstream HR/personnel system</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Controlled export/API of finally admitted recruits may be added; direct database sharing is not recommended.</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Payments</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Not part of this specification unless a future official policy explicitly introduces a fee and separate requirements are approved.</w:t>
            </w:r>
          </w:p>
        </w:tc>
      </w:tr>
    </w:tbl>
    <w:p>
      <w:pPr>
        <w:spacing w:after="20"/>
      </w:pPr>
    </w:p>
    <w:p>
      <w:pPr>
        <w:pStyle w:val="Heading1"/>
        <w:keepNext/>
        <w:spacing w:before="160" w:after="100" w:line="259" w:lineRule="auto"/>
      </w:pPr>
      <w:r>
        <w:rPr>
          <w:rFonts w:ascii="Carlito" w:hAnsi="Carlito"/>
          <w:b/>
          <w:color w:val="4B0B12"/>
          <w:sz w:val="30"/>
        </w:rPr>
        <w:t>26. UI/UX, Branding, Accessibility and Low-Bandwidth Design</w:t>
      </w:r>
    </w:p>
    <w:p>
      <w:pPr>
        <w:pStyle w:val="Heading2"/>
        <w:keepNext/>
        <w:spacing w:before="100" w:after="60" w:line="259" w:lineRule="auto"/>
      </w:pPr>
      <w:r>
        <w:rPr>
          <w:rFonts w:ascii="Carlito" w:hAnsi="Carlito"/>
          <w:b/>
          <w:color w:val="6E0F1A"/>
          <w:sz w:val="24"/>
        </w:rPr>
        <w:t>26.1 UPS identity</w:t>
      </w:r>
    </w:p>
    <w:p>
      <w:pPr>
        <w:spacing w:before="0" w:after="120" w:line="259" w:lineRule="auto"/>
      </w:pPr>
      <w:r>
        <w:rPr>
          <w:rFonts w:ascii="Carlito" w:hAnsi="Carlito"/>
          <w:i w:val="0"/>
          <w:color w:val="2E2E2E"/>
        </w:rPr>
        <w:t>The portal shall visually align with Uganda Prisons Service identity: authoritative maroon/deep burgundy primary colour, restrained gold/yellow accents, white/off-white surfaces and charcoal text. Official UPS crest/approved national symbols shall be used only from authorised brand assets and shall not be distorted. Exact production colour values should be confirmed from approved UPS artwork rather than inferred from compressed images.</w:t>
      </w:r>
    </w:p>
    <w:p>
      <w:pPr>
        <w:pStyle w:val="Heading2"/>
        <w:keepNext/>
        <w:spacing w:before="100" w:after="60" w:line="259" w:lineRule="auto"/>
      </w:pPr>
      <w:r>
        <w:rPr>
          <w:rFonts w:ascii="Carlito" w:hAnsi="Carlito"/>
          <w:b/>
          <w:color w:val="6E0F1A"/>
          <w:sz w:val="24"/>
        </w:rPr>
        <w:t>26.2 Applicant UX</w:t>
      </w:r>
    </w:p>
    <w:p>
      <w:pPr>
        <w:pStyle w:val="ListBullet"/>
        <w:spacing w:before="0" w:after="60" w:line="259" w:lineRule="auto"/>
      </w:pPr>
      <w:r>
        <w:rPr>
          <w:rFonts w:ascii="Carlito" w:hAnsi="Carlito"/>
          <w:color w:val="2E2E2E"/>
        </w:rPr>
        <w:t>Mobile-first multi-step form with plain instructions and visible progress.</w:t>
      </w:r>
    </w:p>
    <w:p>
      <w:pPr>
        <w:pStyle w:val="ListBullet"/>
        <w:spacing w:before="0" w:after="60" w:line="259" w:lineRule="auto"/>
      </w:pPr>
      <w:r>
        <w:rPr>
          <w:rFonts w:ascii="Carlito" w:hAnsi="Carlito"/>
          <w:color w:val="2E2E2E"/>
        </w:rPr>
        <w:t>Autosave and resume; avoid losing work on connection drop.</w:t>
      </w:r>
    </w:p>
    <w:p>
      <w:pPr>
        <w:pStyle w:val="ListBullet"/>
        <w:spacing w:before="0" w:after="60" w:line="259" w:lineRule="auto"/>
      </w:pPr>
      <w:r>
        <w:rPr>
          <w:rFonts w:ascii="Carlito" w:hAnsi="Carlito"/>
          <w:color w:val="2E2E2E"/>
        </w:rPr>
        <w:t>Camera/file upload with quality feedback and resumable retry.</w:t>
      </w:r>
    </w:p>
    <w:p>
      <w:pPr>
        <w:pStyle w:val="ListBullet"/>
        <w:spacing w:before="0" w:after="60" w:line="259" w:lineRule="auto"/>
      </w:pPr>
      <w:r>
        <w:rPr>
          <w:rFonts w:ascii="Carlito" w:hAnsi="Carlito"/>
          <w:color w:val="2E2E2E"/>
        </w:rPr>
        <w:t>Pre-submission evidence summary showing identity/grade/location matches and discrepancies.</w:t>
      </w:r>
    </w:p>
    <w:p>
      <w:pPr>
        <w:pStyle w:val="ListBullet"/>
        <w:spacing w:before="0" w:after="60" w:line="259" w:lineRule="auto"/>
      </w:pPr>
      <w:r>
        <w:rPr>
          <w:rFonts w:ascii="Carlito" w:hAnsi="Carlito"/>
          <w:color w:val="2E2E2E"/>
        </w:rPr>
        <w:t>Clear hard-copy instruction after submission with the reference code prominently displayed.</w:t>
      </w:r>
    </w:p>
    <w:p>
      <w:pPr>
        <w:pStyle w:val="ListBullet"/>
        <w:spacing w:before="0" w:after="60" w:line="259" w:lineRule="auto"/>
      </w:pPr>
      <w:r>
        <w:rPr>
          <w:rFonts w:ascii="Carlito" w:hAnsi="Carlito"/>
          <w:color w:val="2E2E2E"/>
        </w:rPr>
        <w:t>Accessible status timeline and downloadable official letters.</w:t>
      </w:r>
    </w:p>
    <w:p>
      <w:pPr>
        <w:pStyle w:val="Heading2"/>
        <w:keepNext/>
        <w:spacing w:before="100" w:after="60" w:line="259" w:lineRule="auto"/>
      </w:pPr>
      <w:r>
        <w:rPr>
          <w:rFonts w:ascii="Carlito" w:hAnsi="Carlito"/>
          <w:b/>
          <w:color w:val="6E0F1A"/>
          <w:sz w:val="24"/>
        </w:rPr>
        <w:t>26.3 Staff UX</w:t>
      </w:r>
    </w:p>
    <w:p>
      <w:pPr>
        <w:pStyle w:val="ListBullet"/>
        <w:spacing w:before="0" w:after="60" w:line="259" w:lineRule="auto"/>
      </w:pPr>
      <w:r>
        <w:rPr>
          <w:rFonts w:ascii="Carlito" w:hAnsi="Carlito"/>
          <w:color w:val="2E2E2E"/>
        </w:rPr>
        <w:t>Dense but legible operational tables with filters, saved views and export permissions.</w:t>
      </w:r>
    </w:p>
    <w:p>
      <w:pPr>
        <w:pStyle w:val="ListBullet"/>
        <w:spacing w:before="0" w:after="60" w:line="259" w:lineRule="auto"/>
      </w:pPr>
      <w:r>
        <w:rPr>
          <w:rFonts w:ascii="Carlito" w:hAnsi="Carlito"/>
          <w:color w:val="2E2E2E"/>
        </w:rPr>
        <w:t>Same-viewport document-review workbench as specified in Section 8.</w:t>
      </w:r>
    </w:p>
    <w:p>
      <w:pPr>
        <w:pStyle w:val="ListBullet"/>
        <w:spacing w:before="0" w:after="60" w:line="259" w:lineRule="auto"/>
      </w:pPr>
      <w:r>
        <w:rPr>
          <w:rFonts w:ascii="Carlito" w:hAnsi="Carlito"/>
          <w:color w:val="2E2E2E"/>
        </w:rPr>
        <w:t>Strong offline/online state visibility and pending-sync counters.</w:t>
      </w:r>
    </w:p>
    <w:p>
      <w:pPr>
        <w:pStyle w:val="ListBullet"/>
        <w:spacing w:before="0" w:after="60" w:line="259" w:lineRule="auto"/>
      </w:pPr>
      <w:r>
        <w:rPr>
          <w:rFonts w:ascii="Carlito" w:hAnsi="Carlito"/>
          <w:color w:val="2E2E2E"/>
        </w:rPr>
        <w:t>Large touch targets and QR scanning for interview-day operations.</w:t>
      </w:r>
    </w:p>
    <w:p>
      <w:pPr>
        <w:pStyle w:val="ListBullet"/>
        <w:spacing w:before="0" w:after="60" w:line="259" w:lineRule="auto"/>
      </w:pPr>
      <w:r>
        <w:rPr>
          <w:rFonts w:ascii="Carlito" w:hAnsi="Carlito"/>
          <w:color w:val="2E2E2E"/>
        </w:rPr>
        <w:t>Confirmations for irreversible/controlled actions such as panel closure, selection publication and override approval.</w:t>
      </w:r>
    </w:p>
    <w:p>
      <w:pPr>
        <w:pStyle w:val="Heading1"/>
        <w:keepNext/>
        <w:spacing w:before="160" w:after="100" w:line="259" w:lineRule="auto"/>
      </w:pPr>
      <w:r>
        <w:rPr>
          <w:rFonts w:ascii="Carlito" w:hAnsi="Carlito"/>
          <w:b/>
          <w:color w:val="4B0B12"/>
          <w:sz w:val="30"/>
        </w:rPr>
        <w:t>27. Implementation Roadmap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Phase</w:t>
            </w:r>
          </w:p>
        </w:tc>
        <w:tc>
          <w:tcPr>
            <w:tcW w:type="dxa" w:w="8496"/>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Scope</w:t>
            </w:r>
          </w:p>
        </w:tc>
      </w:tr>
      <w:tr>
        <w:trPr>
          <w:cantSplit/>
        </w:trPr>
        <w:tc>
          <w:tcPr>
            <w:tcW w:type="dxa" w:w="230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0 — Foundations</w:t>
            </w:r>
          </w:p>
        </w:tc>
        <w:tc>
          <w:tcPr>
            <w:tcW w:type="dxa" w:w="849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Reference data, campaign/post model, auth/RBAC/MFA, audit framework, PWA shell, base design system, deployment pipeline and backup baseline.</w:t>
            </w:r>
          </w:p>
        </w:tc>
      </w:tr>
      <w:tr>
        <w:trPr>
          <w:cantSplit/>
        </w:trPr>
        <w:tc>
          <w:tcPr>
            <w:tcW w:type="dxa" w:w="230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1 — Applicant MVP</w:t>
            </w:r>
          </w:p>
        </w:tc>
        <w:tc>
          <w:tcPr>
            <w:tcW w:type="dxa" w:w="849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Registration, dynamic application wizard, address hierarchy, education/skills, uploads, reference issuance, acknowledgement, hard-copy instructions, notifications and tracking.</w:t>
            </w:r>
          </w:p>
        </w:tc>
      </w:tr>
      <w:tr>
        <w:trPr>
          <w:cantSplit/>
        </w:trPr>
        <w:tc>
          <w:tcPr>
            <w:tcW w:type="dxa" w:w="230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2 — Document Intelligence</w:t>
            </w:r>
          </w:p>
        </w:tc>
        <w:tc>
          <w:tcPr>
            <w:tcW w:type="dxa" w:w="849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Quality checks, OCR/extraction, multi-source evidence matrix, discrepancy rules, same-viewport verification workbench and verified-data layer.</w:t>
            </w:r>
          </w:p>
        </w:tc>
      </w:tr>
      <w:tr>
        <w:trPr>
          <w:cantSplit/>
        </w:trPr>
        <w:tc>
          <w:tcPr>
            <w:tcW w:type="dxa" w:w="230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3 — Recruitment Operations</w:t>
            </w:r>
          </w:p>
        </w:tc>
        <w:tc>
          <w:tcPr>
            <w:tcW w:type="dxa" w:w="849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Hard-copy reception, eligibility workbench, regions/centres/jurisdiction, panels, scheduling, invitations and attendance.</w:t>
            </w:r>
          </w:p>
        </w:tc>
      </w:tr>
      <w:tr>
        <w:trPr>
          <w:cantSplit/>
        </w:trPr>
        <w:tc>
          <w:tcPr>
            <w:tcW w:type="dxa" w:w="230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4 — Offline Operations</w:t>
            </w:r>
          </w:p>
        </w:tc>
        <w:tc>
          <w:tcPr>
            <w:tcW w:type="dxa" w:w="849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Scoped packs, device registration, IndexedDB/local protection, offline attendance/review/scoring, event sync, conflict resolution and HQ offline dashboard.</w:t>
            </w:r>
          </w:p>
        </w:tc>
      </w:tr>
      <w:tr>
        <w:trPr>
          <w:cantSplit/>
        </w:trPr>
        <w:tc>
          <w:tcPr>
            <w:tcW w:type="dxa" w:w="230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5 — Assessment &amp; Selection</w:t>
            </w:r>
          </w:p>
        </w:tc>
        <w:tc>
          <w:tcPr>
            <w:tcW w:type="dxa" w:w="849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Generic assessment engine, written import, oral scoring, panel closure, ranking, quotas, skill reservations, capping runs, overrides and reserves.</w:t>
            </w:r>
          </w:p>
        </w:tc>
      </w:tr>
      <w:tr>
        <w:trPr>
          <w:cantSplit/>
        </w:trPr>
        <w:tc>
          <w:tcPr>
            <w:tcW w:type="dxa" w:w="2304"/>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6 — Medical &amp; Training</w:t>
            </w:r>
          </w:p>
        </w:tc>
        <w:tc>
          <w:tcPr>
            <w:tcW w:type="dxa" w:w="8496"/>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Medical rosters/outcomes, final selection, public result controls, training invitations, PATS reporting and replacements.</w:t>
            </w:r>
          </w:p>
        </w:tc>
      </w:tr>
      <w:tr>
        <w:trPr>
          <w:cantSplit/>
        </w:trPr>
        <w:tc>
          <w:tcPr>
            <w:tcW w:type="dxa" w:w="2304"/>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7 — Hardening &amp; Pilot</w:t>
            </w:r>
          </w:p>
        </w:tc>
        <w:tc>
          <w:tcPr>
            <w:tcW w:type="dxa" w:w="8496"/>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Load/security/accessibility tests, backup/restore drill, usability pilot at selected centre(s), production runbooks and national rollout readiness.</w:t>
            </w:r>
          </w:p>
        </w:tc>
      </w:tr>
    </w:tbl>
    <w:p>
      <w:pPr>
        <w:spacing w:after="20"/>
      </w:pPr>
    </w:p>
    <w:p>
      <w:pPr>
        <w:pStyle w:val="Heading1"/>
        <w:keepNext/>
        <w:spacing w:before="160" w:after="100" w:line="259" w:lineRule="auto"/>
      </w:pPr>
      <w:r>
        <w:rPr>
          <w:rFonts w:ascii="Carlito" w:hAnsi="Carlito"/>
          <w:b/>
          <w:color w:val="4B0B12"/>
          <w:sz w:val="30"/>
        </w:rPr>
        <w:t>28. Acceptance Criteria and Go-Live Gates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44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ID</w:t>
            </w:r>
          </w:p>
        </w:tc>
        <w:tc>
          <w:tcPr>
            <w:tcW w:type="dxa" w:w="936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Acceptance criterion</w:t>
            </w:r>
          </w:p>
        </w:tc>
      </w:tr>
      <w:tr>
        <w:trPr>
          <w:cantSplit/>
        </w:trPr>
        <w:tc>
          <w:tcPr>
            <w:tcW w:type="dxa" w:w="14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AC-01</w:t>
            </w:r>
          </w:p>
        </w:tc>
        <w:tc>
          <w:tcPr>
            <w:tcW w:type="dxa" w:w="936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 campaign administrator can configure a Warder/Wardress-type campaign and a materially different CPO/CASP-type campaign without changing source code.</w:t>
            </w:r>
          </w:p>
        </w:tc>
      </w:tr>
      <w:tr>
        <w:trPr>
          <w:cantSplit/>
        </w:trPr>
        <w:tc>
          <w:tcPr>
            <w:tcW w:type="dxa" w:w="14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AC-02</w:t>
            </w:r>
          </w:p>
        </w:tc>
        <w:tc>
          <w:tcPr>
            <w:tcW w:type="dxa" w:w="936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An applicant can complete, save, resume and submit an application on a common Android/desktop browser and receive a stable reference/acknowledgement.</w:t>
            </w:r>
          </w:p>
        </w:tc>
      </w:tr>
      <w:tr>
        <w:trPr>
          <w:cantSplit/>
        </w:trPr>
        <w:tc>
          <w:tcPr>
            <w:tcW w:type="dxa" w:w="14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AC-03</w:t>
            </w:r>
          </w:p>
        </w:tc>
        <w:tc>
          <w:tcPr>
            <w:tcW w:type="dxa" w:w="936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The document engine extracts supported identity/academic fields and highlights entered-data ↔ ID ↔ other-document discrepancies without automatically rejecting low-confidence cases.</w:t>
            </w:r>
          </w:p>
        </w:tc>
      </w:tr>
      <w:tr>
        <w:trPr>
          <w:cantSplit/>
        </w:trPr>
        <w:tc>
          <w:tcPr>
            <w:tcW w:type="dxa" w:w="14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AC-04</w:t>
            </w:r>
          </w:p>
        </w:tc>
        <w:tc>
          <w:tcPr>
            <w:tcW w:type="dxa" w:w="936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 verification officer can see the scanned document and captured data side-by-side in the same viewport, click a captured field to locate it on the document, and record a discrepancy/final verified value.</w:t>
            </w:r>
          </w:p>
        </w:tc>
      </w:tr>
      <w:tr>
        <w:trPr>
          <w:cantSplit/>
        </w:trPr>
        <w:tc>
          <w:tcPr>
            <w:tcW w:type="dxa" w:w="14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AC-05</w:t>
            </w:r>
          </w:p>
        </w:tc>
        <w:tc>
          <w:tcPr>
            <w:tcW w:type="dxa" w:w="936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 remote panel can download a scoped pack, disconnect from the internet, check in candidates and record scores, then reconnect and synchronise without duplicate records.</w:t>
            </w:r>
          </w:p>
        </w:tc>
      </w:tr>
      <w:tr>
        <w:trPr>
          <w:cantSplit/>
        </w:trPr>
        <w:tc>
          <w:tcPr>
            <w:tcW w:type="dxa" w:w="14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AC-06</w:t>
            </w:r>
          </w:p>
        </w:tc>
        <w:tc>
          <w:tcPr>
            <w:tcW w:type="dxa" w:w="936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 deliberate concurrent edit to a protected score/status produces a visible conflict rather than silent overwrite.</w:t>
            </w:r>
          </w:p>
        </w:tc>
      </w:tr>
      <w:tr>
        <w:trPr>
          <w:cantSplit/>
        </w:trPr>
        <w:tc>
          <w:tcPr>
            <w:tcW w:type="dxa" w:w="14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AC-07</w:t>
            </w:r>
          </w:p>
        </w:tc>
        <w:tc>
          <w:tcPr>
            <w:tcW w:type="dxa" w:w="936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An official ranking/capping run can be reproduced from stored input/rules and retains a visible audit record of all overrides.</w:t>
            </w:r>
          </w:p>
        </w:tc>
      </w:tr>
      <w:tr>
        <w:trPr>
          <w:cantSplit/>
        </w:trPr>
        <w:tc>
          <w:tcPr>
            <w:tcW w:type="dxa" w:w="14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AC-08</w:t>
            </w:r>
          </w:p>
        </w:tc>
        <w:tc>
          <w:tcPr>
            <w:tcW w:type="dxa" w:w="936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 medical shortlist and training reporting list can be generated with role-appropriate privacy controls.</w:t>
            </w:r>
          </w:p>
        </w:tc>
      </w:tr>
      <w:tr>
        <w:trPr>
          <w:cantSplit/>
        </w:trPr>
        <w:tc>
          <w:tcPr>
            <w:tcW w:type="dxa" w:w="144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AC-09</w:t>
            </w:r>
          </w:p>
        </w:tc>
        <w:tc>
          <w:tcPr>
            <w:tcW w:type="dxa" w:w="936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Every sensitive change, score correction, selection override, publication and offline sync action is attributable in the audit trail.</w:t>
            </w:r>
          </w:p>
        </w:tc>
      </w:tr>
      <w:tr>
        <w:trPr>
          <w:cantSplit/>
        </w:trPr>
        <w:tc>
          <w:tcPr>
            <w:tcW w:type="dxa" w:w="144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AC-10</w:t>
            </w:r>
          </w:p>
        </w:tc>
        <w:tc>
          <w:tcPr>
            <w:tcW w:type="dxa" w:w="936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Backup restoration, security testing and a pilot/offline drill succeed before national launch.</w:t>
            </w:r>
          </w:p>
        </w:tc>
      </w:tr>
    </w:tbl>
    <w:p>
      <w:pPr>
        <w:spacing w:after="20"/>
      </w:pPr>
    </w:p>
    <w:p>
      <w:pPr>
        <w:pStyle w:val="Heading1"/>
        <w:keepNext/>
        <w:spacing w:before="160" w:after="100" w:line="259" w:lineRule="auto"/>
      </w:pPr>
      <w:r>
        <w:rPr>
          <w:rFonts w:ascii="Carlito" w:hAnsi="Carlito"/>
          <w:b/>
          <w:color w:val="4B0B12"/>
          <w:sz w:val="30"/>
        </w:rPr>
        <w:t>29. Explicit Exclusions and Deferred Capabilities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Capability</w:t>
            </w:r>
          </w:p>
        </w:tc>
        <w:tc>
          <w:tcPr>
            <w:tcW w:type="dxa" w:w="763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Decision</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UNEB verification integration</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Excluded permanently from the current architecture assumptions. Academic documents are OCR-assisted and UPS-human/original verified.</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AI candidate suitability scoring</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Excluded. AI/document tools may assist extraction and discrepancy detection only.</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Facial recognition/biometric matching</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Not required for v1.0.</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Blockchain</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Not required.</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Microservice architecture</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Not required. Modular monolith is the default.</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Kubernetes dependency</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Not required. May be used only if the approved hosting environment already standardises on it.</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Payment processing</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Excluded unless a future official recruitment policy introduces a fee and separate approval/specification.</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USSD</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Potential future accessibility channel for status checks; not required for core system go-live.</w:t>
            </w:r>
          </w:p>
        </w:tc>
      </w:tr>
      <w:tr>
        <w:trPr>
          <w:cantSplit/>
        </w:trPr>
        <w:tc>
          <w:tcPr>
            <w:tcW w:type="dxa" w:w="316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NIRA verification</w:t>
            </w:r>
          </w:p>
        </w:tc>
        <w:tc>
          <w:tcPr>
            <w:tcW w:type="dxa" w:w="763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Potential future optional integration, not a prerequisite.</w:t>
            </w:r>
          </w:p>
        </w:tc>
      </w:tr>
      <w:tr>
        <w:trPr>
          <w:cantSplit/>
        </w:trPr>
        <w:tc>
          <w:tcPr>
            <w:tcW w:type="dxa" w:w="316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Native Android/iOS apps</w:t>
            </w:r>
          </w:p>
        </w:tc>
        <w:tc>
          <w:tcPr>
            <w:tcW w:type="dxa" w:w="763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Not required because the PWA is the primary client.</w:t>
            </w:r>
          </w:p>
        </w:tc>
      </w:tr>
    </w:tbl>
    <w:p>
      <w:pPr>
        <w:spacing w:after="20"/>
      </w:pPr>
    </w:p>
    <w:p>
      <w:pPr>
        <w:pStyle w:val="Heading1"/>
        <w:keepNext/>
        <w:spacing w:before="160" w:after="100" w:line="259" w:lineRule="auto"/>
      </w:pPr>
      <w:r>
        <w:rPr>
          <w:rFonts w:ascii="Carlito" w:hAnsi="Carlito"/>
          <w:b/>
          <w:color w:val="4B0B12"/>
          <w:sz w:val="30"/>
        </w:rPr>
        <w:t>Appendix A — Example Applicant Evidence Review</w:t>
      </w:r>
    </w:p>
    <w:p>
      <w:pPr>
        <w:spacing w:before="0" w:after="120" w:line="259" w:lineRule="auto"/>
      </w:pPr>
      <w:r>
        <w:rPr>
          <w:rFonts w:ascii="Carlito" w:hAnsi="Carlito"/>
          <w:i w:val="0"/>
          <w:color w:val="2E2E2E"/>
        </w:rPr>
        <w:t>Illustrative reviewer sequence for a candidate with National ID, UCE result, LC letter and application letter:</w:t>
      </w:r>
    </w:p>
    <w:p>
      <w:pPr>
        <w:pStyle w:val="ListNumber"/>
        <w:spacing w:before="0" w:after="60" w:line="259" w:lineRule="auto"/>
      </w:pPr>
      <w:r>
        <w:rPr>
          <w:rFonts w:ascii="Carlito" w:hAnsi="Carlito"/>
          <w:color w:val="2E2E2E"/>
        </w:rPr>
        <w:t>Open candidate dossier. The workbench defaults to the National ID scan on the left and extracted identity fields on the right.</w:t>
      </w:r>
    </w:p>
    <w:p>
      <w:pPr>
        <w:pStyle w:val="ListNumber"/>
        <w:spacing w:before="0" w:after="60" w:line="259" w:lineRule="auto"/>
      </w:pPr>
      <w:r>
        <w:rPr>
          <w:rFonts w:ascii="Carlito" w:hAnsi="Carlito"/>
          <w:color w:val="2E2E2E"/>
        </w:rPr>
        <w:t>Compare entered Name/NIN/DOB with ID OCR. Click DOB; the detected DOB area is highlighted on the scan.</w:t>
      </w:r>
    </w:p>
    <w:p>
      <w:pPr>
        <w:pStyle w:val="ListNumber"/>
        <w:spacing w:before="0" w:after="60" w:line="259" w:lineRule="auto"/>
      </w:pPr>
      <w:r>
        <w:rPr>
          <w:rFonts w:ascii="Carlito" w:hAnsi="Carlito"/>
          <w:color w:val="2E2E2E"/>
        </w:rPr>
        <w:t>Open the applicant-wide evidence matrix. UCE DOB differs from the form and ID; system displays DISCREPANCY.</w:t>
      </w:r>
    </w:p>
    <w:p>
      <w:pPr>
        <w:pStyle w:val="ListNumber"/>
        <w:spacing w:before="0" w:after="60" w:line="259" w:lineRule="auto"/>
      </w:pPr>
      <w:r>
        <w:rPr>
          <w:rFonts w:ascii="Carlito" w:hAnsi="Carlito"/>
          <w:color w:val="2E2E2E"/>
        </w:rPr>
        <w:t>Click the UCE DOB source; the preview switches to the result document and highlights the relevant region where available.</w:t>
      </w:r>
    </w:p>
    <w:p>
      <w:pPr>
        <w:pStyle w:val="ListNumber"/>
        <w:spacing w:before="0" w:after="60" w:line="259" w:lineRule="auto"/>
      </w:pPr>
      <w:r>
        <w:rPr>
          <w:rFonts w:ascii="Carlito" w:hAnsi="Carlito"/>
          <w:color w:val="2E2E2E"/>
        </w:rPr>
        <w:t>Officer inspects the document/original. If the UCE scan is wrong/ambiguous, mark extraction incorrect; if the document truly differs, record the discrepancy and final verified DOB evidence.</w:t>
      </w:r>
    </w:p>
    <w:p>
      <w:pPr>
        <w:pStyle w:val="ListNumber"/>
        <w:spacing w:before="0" w:after="60" w:line="259" w:lineRule="auto"/>
      </w:pPr>
      <w:r>
        <w:rPr>
          <w:rFonts w:ascii="Carlito" w:hAnsi="Carlito"/>
          <w:color w:val="2E2E2E"/>
        </w:rPr>
        <w:t>Verify academic grades in the same manner, comparing entered grades against extracted UCE grades.</w:t>
      </w:r>
    </w:p>
    <w:p>
      <w:pPr>
        <w:pStyle w:val="ListNumber"/>
        <w:spacing w:before="0" w:after="60" w:line="259" w:lineRule="auto"/>
      </w:pPr>
      <w:r>
        <w:rPr>
          <w:rFonts w:ascii="Carlito" w:hAnsi="Carlito"/>
          <w:color w:val="2E2E2E"/>
        </w:rPr>
        <w:t>Review LC letter location against configured Origin/Residence rule; resolve routing district.</w:t>
      </w:r>
    </w:p>
    <w:p>
      <w:pPr>
        <w:pStyle w:val="ListNumber"/>
        <w:spacing w:before="0" w:after="60" w:line="259" w:lineRule="auto"/>
      </w:pPr>
      <w:r>
        <w:rPr>
          <w:rFonts w:ascii="Carlito" w:hAnsi="Carlito"/>
          <w:color w:val="2E2E2E"/>
        </w:rPr>
        <w:t>Complete review. The eligibility engine runs on the verified data and applicable campaign rules.</w:t>
      </w:r>
    </w:p>
    <w:p>
      <w:pPr>
        <w:pStyle w:val="Heading1"/>
        <w:keepNext/>
        <w:spacing w:before="160" w:after="100" w:line="259" w:lineRule="auto"/>
      </w:pPr>
      <w:r>
        <w:rPr>
          <w:rFonts w:ascii="Carlito" w:hAnsi="Carlito"/>
          <w:b/>
          <w:color w:val="4B0B12"/>
          <w:sz w:val="30"/>
        </w:rPr>
        <w:t>Appendix B — Example Offline Event Record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Field</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7"/>
              </w:rPr>
              <w:t>Illustrative value</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Event ID</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UUID: a59f0c…d834</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Application</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UPS/2027/RW/000381</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Action</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ORAL_SCORE_ENTERED</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Assessor</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USR-00482</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Panel</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GUL-P02</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Device</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DEV-123</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Local timestamp</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2027-07-15 11:43:09</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Downloaded server version</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143</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Payload</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Score/component values within authorised schema</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7"/>
              </w:rPr>
              <w:t>Sync state</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7"/>
              </w:rPr>
              <w:t>Pending → Synced / Conflict</w:t>
            </w:r>
          </w:p>
        </w:tc>
      </w:tr>
    </w:tbl>
    <w:p>
      <w:pPr>
        <w:spacing w:after="20"/>
      </w:pPr>
    </w:p>
    <w:p>
      <w:pPr>
        <w:pStyle w:val="Heading1"/>
        <w:keepNext/>
        <w:spacing w:before="160" w:after="100" w:line="259" w:lineRule="auto"/>
      </w:pPr>
      <w:r>
        <w:rPr>
          <w:rFonts w:ascii="Carlito" w:hAnsi="Carlito"/>
          <w:b/>
          <w:color w:val="4B0B12"/>
          <w:sz w:val="30"/>
        </w:rPr>
        <w:t>Appendix C — Example Official Output Documents</w:t>
      </w:r>
    </w:p>
    <w:p>
      <w:pPr>
        <w:pStyle w:val="ListBullet"/>
        <w:spacing w:before="0" w:after="60" w:line="259" w:lineRule="auto"/>
      </w:pPr>
      <w:r>
        <w:rPr>
          <w:rFonts w:ascii="Carlito" w:hAnsi="Carlito"/>
          <w:color w:val="2E2E2E"/>
        </w:rPr>
        <w:t>Application acknowledgement slip with QR/reference and hard-copy instructions.</w:t>
      </w:r>
    </w:p>
    <w:p>
      <w:pPr>
        <w:pStyle w:val="ListBullet"/>
        <w:spacing w:before="0" w:after="60" w:line="259" w:lineRule="auto"/>
      </w:pPr>
      <w:r>
        <w:rPr>
          <w:rFonts w:ascii="Carlito" w:hAnsi="Carlito"/>
          <w:color w:val="2E2E2E"/>
        </w:rPr>
        <w:t>Hard-copy receipt/exception note.</w:t>
      </w:r>
    </w:p>
    <w:p>
      <w:pPr>
        <w:pStyle w:val="ListBullet"/>
        <w:spacing w:before="0" w:after="60" w:line="259" w:lineRule="auto"/>
      </w:pPr>
      <w:r>
        <w:rPr>
          <w:rFonts w:ascii="Carlito" w:hAnsi="Carlito"/>
          <w:color w:val="2E2E2E"/>
        </w:rPr>
        <w:t>Interview invitation and centre nominal roll.</w:t>
      </w:r>
    </w:p>
    <w:p>
      <w:pPr>
        <w:pStyle w:val="ListBullet"/>
        <w:spacing w:before="0" w:after="60" w:line="259" w:lineRule="auto"/>
      </w:pPr>
      <w:r>
        <w:rPr>
          <w:rFonts w:ascii="Carlito" w:hAnsi="Carlito"/>
          <w:color w:val="2E2E2E"/>
        </w:rPr>
        <w:t>Panel attendance sheet and score sheet.</w:t>
      </w:r>
    </w:p>
    <w:p>
      <w:pPr>
        <w:pStyle w:val="ListBullet"/>
        <w:spacing w:before="0" w:after="60" w:line="259" w:lineRule="auto"/>
      </w:pPr>
      <w:r>
        <w:rPr>
          <w:rFonts w:ascii="Carlito" w:hAnsi="Carlito"/>
          <w:color w:val="2E2E2E"/>
        </w:rPr>
        <w:t>Medical examination invitation/roster.</w:t>
      </w:r>
    </w:p>
    <w:p>
      <w:pPr>
        <w:pStyle w:val="ListBullet"/>
        <w:spacing w:before="0" w:after="60" w:line="259" w:lineRule="auto"/>
      </w:pPr>
      <w:r>
        <w:rPr>
          <w:rFonts w:ascii="Carlito" w:hAnsi="Carlito"/>
          <w:color w:val="2E2E2E"/>
        </w:rPr>
        <w:t>Provisional selection list, reserve list and final successful list.</w:t>
      </w:r>
    </w:p>
    <w:p>
      <w:pPr>
        <w:pStyle w:val="ListBullet"/>
        <w:spacing w:before="0" w:after="60" w:line="259" w:lineRule="auto"/>
      </w:pPr>
      <w:r>
        <w:rPr>
          <w:rFonts w:ascii="Carlito" w:hAnsi="Carlito"/>
          <w:color w:val="2E2E2E"/>
        </w:rPr>
        <w:t>Training reporting invitation and PATS intake nominal roll.</w:t>
      </w:r>
    </w:p>
    <w:p>
      <w:pPr>
        <w:pStyle w:val="ListBullet"/>
        <w:spacing w:before="0" w:after="60" w:line="259" w:lineRule="auto"/>
      </w:pPr>
      <w:r>
        <w:rPr>
          <w:rFonts w:ascii="Carlito" w:hAnsi="Carlito"/>
          <w:color w:val="2E2E2E"/>
        </w:rPr>
        <w:t>Recruitment summary, quota utilisation, special-skill, override and audit reports.</w:t>
      </w:r>
    </w:p>
    <w:p>
      <w:pPr>
        <w:pStyle w:val="Heading1"/>
        <w:keepNext/>
        <w:spacing w:before="160" w:after="100" w:line="259" w:lineRule="auto"/>
      </w:pPr>
      <w:r>
        <w:rPr>
          <w:rFonts w:ascii="Carlito" w:hAnsi="Carlito"/>
          <w:b/>
          <w:color w:val="4B0B12"/>
          <w:sz w:val="30"/>
        </w:rPr>
        <w:t>Appendix D — Glossary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Term</w:t>
            </w:r>
          </w:p>
        </w:tc>
        <w:tc>
          <w:tcPr>
            <w:tcW w:type="dxa" w:w="8208"/>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Meaning</w:t>
            </w:r>
          </w:p>
        </w:tc>
      </w:tr>
      <w:tr>
        <w:trPr>
          <w:cantSplit/>
        </w:trPr>
        <w:tc>
          <w:tcPr>
            <w:tcW w:type="dxa" w:w="25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Campaign</w:t>
            </w:r>
          </w:p>
        </w:tc>
        <w:tc>
          <w:tcPr>
            <w:tcW w:type="dxa" w:w="820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 defined recruitment exercise with dates, posts, rules, documents, stages and quotas.</w:t>
            </w:r>
          </w:p>
        </w:tc>
      </w:tr>
      <w:tr>
        <w:trPr>
          <w:cantSplit/>
        </w:trPr>
        <w:tc>
          <w:tcPr>
            <w:tcW w:type="dxa" w:w="25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Post</w:t>
            </w:r>
          </w:p>
        </w:tc>
        <w:tc>
          <w:tcPr>
            <w:tcW w:type="dxa" w:w="820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 recruitment category within a campaign, e.g., Recruit Warder/Wardress, CPO or CASP.</w:t>
            </w:r>
          </w:p>
        </w:tc>
      </w:tr>
      <w:tr>
        <w:trPr>
          <w:cantSplit/>
        </w:trPr>
        <w:tc>
          <w:tcPr>
            <w:tcW w:type="dxa" w:w="25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OCR</w:t>
            </w:r>
          </w:p>
        </w:tc>
        <w:tc>
          <w:tcPr>
            <w:tcW w:type="dxa" w:w="820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Optical Character Recognition/document extraction used to capture text/fields from scans.</w:t>
            </w:r>
          </w:p>
        </w:tc>
      </w:tr>
      <w:tr>
        <w:trPr>
          <w:cantSplit/>
        </w:trPr>
        <w:tc>
          <w:tcPr>
            <w:tcW w:type="dxa" w:w="25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Verified Data</w:t>
            </w:r>
          </w:p>
        </w:tc>
        <w:tc>
          <w:tcPr>
            <w:tcW w:type="dxa" w:w="820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Value formally accepted by an authorised reviewer from available evidence.</w:t>
            </w:r>
          </w:p>
        </w:tc>
      </w:tr>
      <w:tr>
        <w:trPr>
          <w:cantSplit/>
        </w:trPr>
        <w:tc>
          <w:tcPr>
            <w:tcW w:type="dxa" w:w="25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Offline Pack</w:t>
            </w:r>
          </w:p>
        </w:tc>
        <w:tc>
          <w:tcPr>
            <w:tcW w:type="dxa" w:w="820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Time-limited, role-scoped dataset downloaded to an authorised PWA device for disconnected work.</w:t>
            </w:r>
          </w:p>
        </w:tc>
      </w:tr>
      <w:tr>
        <w:trPr>
          <w:cantSplit/>
        </w:trPr>
        <w:tc>
          <w:tcPr>
            <w:tcW w:type="dxa" w:w="25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Sync Conflict</w:t>
            </w:r>
          </w:p>
        </w:tc>
        <w:tc>
          <w:tcPr>
            <w:tcW w:type="dxa" w:w="820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Two incompatible changes to the same protected data requiring authorised resolution.</w:t>
            </w:r>
          </w:p>
        </w:tc>
      </w:tr>
      <w:tr>
        <w:trPr>
          <w:cantSplit/>
        </w:trPr>
        <w:tc>
          <w:tcPr>
            <w:tcW w:type="dxa" w:w="25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Capping/Selection Run</w:t>
            </w:r>
          </w:p>
        </w:tc>
        <w:tc>
          <w:tcPr>
            <w:tcW w:type="dxa" w:w="820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Versioned application of ranking, quota, skill and tie-break rules to produce a proposed selection/reserve outcome.</w:t>
            </w:r>
          </w:p>
        </w:tc>
      </w:tr>
      <w:tr>
        <w:trPr>
          <w:cantSplit/>
        </w:trPr>
        <w:tc>
          <w:tcPr>
            <w:tcW w:type="dxa" w:w="2592"/>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PWA</w:t>
            </w:r>
          </w:p>
        </w:tc>
        <w:tc>
          <w:tcPr>
            <w:tcW w:type="dxa" w:w="8208"/>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Progressive Web App: installable web application with caching/offline capabilities.</w:t>
            </w:r>
          </w:p>
        </w:tc>
      </w:tr>
      <w:tr>
        <w:trPr>
          <w:cantSplit/>
        </w:trPr>
        <w:tc>
          <w:tcPr>
            <w:tcW w:type="dxa" w:w="2592"/>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PATS</w:t>
            </w:r>
          </w:p>
        </w:tc>
        <w:tc>
          <w:tcPr>
            <w:tcW w:type="dxa" w:w="8208"/>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Prisons Academy and Training School / applicable UPS training intake destination.</w:t>
            </w:r>
          </w:p>
        </w:tc>
      </w:tr>
    </w:tbl>
    <w:p>
      <w:pPr>
        <w:spacing w:after="20"/>
      </w:pPr>
    </w:p>
    <w:p>
      <w:pPr>
        <w:pStyle w:val="Heading1"/>
        <w:keepNext/>
        <w:spacing w:before="160" w:after="100" w:line="259" w:lineRule="auto"/>
      </w:pPr>
      <w:r>
        <w:rPr>
          <w:rFonts w:ascii="Carlito" w:hAnsi="Carlito"/>
          <w:b/>
          <w:color w:val="4B0B12"/>
          <w:sz w:val="30"/>
        </w:rPr>
        <w:t>Appendix E — Stakeholder Validation Checklist</w:t>
      </w:r>
    </w:p>
    <w:p>
      <w:pPr>
        <w:spacing w:before="0" w:after="120" w:line="259" w:lineRule="auto"/>
      </w:pPr>
      <w:r>
        <w:rPr>
          <w:rFonts w:ascii="Carlito" w:hAnsi="Carlito"/>
          <w:i w:val="0"/>
          <w:color w:val="2E2E2E"/>
        </w:rPr>
        <w:t>Before development is treated as production-ready, UPS stakeholders should formally validate the following policy and operational inputs. The software is deliberately configurable so these confirmations can be made without redesigning the platform.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Validation item</w:t>
            </w:r>
          </w:p>
        </w:tc>
        <w:tc>
          <w:tcPr>
            <w:tcW w:type="dxa" w:w="7920"/>
            <w:shd w:fill="6E0F1A"/>
            <w:tcMar>
              <w:top w:w="90" w:type="dxa"/>
              <w:start w:w="100" w:type="dxa"/>
              <w:bottom w:w="90" w:type="dxa"/>
              <w:end w:w="100" w:type="dxa"/>
            </w:tcMar>
            <w:tcBorders>
              <w:top w:val="single" w:sz="4" w:color="4B0B12"/>
              <w:left w:val="single" w:sz="4" w:color="4B0B12"/>
              <w:bottom w:val="single" w:sz="4" w:color="4B0B12"/>
              <w:right w:val="single" w:sz="4" w:color="4B0B12"/>
            </w:tcBorders>
          </w:tcPr>
          <w:p>
            <w:pPr>
              <w:spacing w:before="0" w:after="0" w:line="259" w:lineRule="auto"/>
              <w:jc w:val="left"/>
            </w:pPr>
            <w:r>
              <w:rPr>
                <w:rFonts w:ascii="Carlito" w:hAnsi="Carlito"/>
                <w:b/>
                <w:color w:val="FFFFFF"/>
                <w:sz w:val="16"/>
              </w:rPr>
              <w:t>Examples to confirm</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Recruitment policy per post</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Age cut-off, citizenship, qualification rules, LC-letter policy, required declarations and document list.</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Administrative routing</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Current regions, recruitment centres, district jurisdictions, centre capacities and venue details.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Assessment policy</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Assessment components, maximum marks, weights, pass marks, assessor method, divergence and tie-break rules.</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Quota/selection policy</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National target, regional/district allocation, gender allocation, special-skill reservations, reserve size and override approval levels.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Medical/training workflow</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Authorised outcomes, facilities, reporting rules, replacement triggers and training-intake statuses.</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Communications</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Approved email/SMS sender identities, templates, helpdesk contacts and publication rules.</w:t>
            </w:r>
          </w:p>
        </w:tc>
      </w:tr>
      <w:tr>
        <w:trPr>
          <w:cantSplit/>
        </w:trPr>
        <w:tc>
          <w:tcPr>
            <w:tcW w:type="dxa" w:w="288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Infrastructure/security</w:t>
            </w:r>
          </w:p>
        </w:tc>
        <w:tc>
          <w:tcPr>
            <w:tcW w:type="dxa" w:w="7920"/>
            <w:tcMar>
              <w:top w:w="90" w:type="dxa"/>
              <w:start w:w="100" w:type="dxa"/>
              <w:bottom w:w="90" w:type="dxa"/>
              <w:end w:w="100" w:type="dxa"/>
            </w:tcMar>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Hosting environment, device policy, offline-pack validity, backup/DR targets, retention periods and security approval process.</w:t>
            </w:r>
          </w:p>
        </w:tc>
      </w:tr>
      <w:tr>
        <w:trPr>
          <w:cantSplit/>
        </w:trPr>
        <w:tc>
          <w:tcPr>
            <w:tcW w:type="dxa" w:w="288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color w:val="2E2E2E"/>
                <w:sz w:val="16"/>
              </w:rPr>
              <w:t>Branding</w:t>
            </w:r>
          </w:p>
        </w:tc>
        <w:tc>
          <w:tcPr>
            <w:tcW w:type="dxa" w:w="7920"/>
            <w:tcMar>
              <w:top w:w="90" w:type="dxa"/>
              <w:start w:w="100" w:type="dxa"/>
              <w:bottom w:w="90" w:type="dxa"/>
              <w:end w:w="100" w:type="dxa"/>
            </w:tcMar>
            <w:shd w:fill="F8F9FA"/>
            <w:tcBorders>
              <w:top w:val="single" w:sz="4" w:color="D1D5DB"/>
              <w:left w:val="single" w:sz="4" w:color="D1D5DB"/>
              <w:bottom w:val="single" w:sz="4" w:color="D1D5DB"/>
              <w:right w:val="single" w:sz="4" w:color="D1D5DB"/>
            </w:tcBorders>
          </w:tcPr>
          <w:p>
            <w:pPr>
              <w:spacing w:before="0" w:after="0" w:line="240" w:lineRule="auto"/>
            </w:pPr>
            <w:r>
              <w:rPr>
                <w:rFonts w:ascii="Carlito" w:hAnsi="Carlito"/>
                <w:b w:val="0"/>
                <w:color w:val="2E2E2E"/>
                <w:sz w:val="16"/>
              </w:rPr>
              <w:t>Approved UPS crest/logo files, official colour references, letterhead/signatory format and public-domain wording.</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8F9FA"/>
            <w:tcBorders>
              <w:top w:val="single" w:sz="8" w:color="6E0F1A"/>
              <w:left w:val="single" w:sz="12" w:color="6E0F1A"/>
              <w:bottom w:val="single" w:sz="8" w:color="6E0F1A"/>
              <w:right w:val="single" w:sz="8" w:color="6E0F1A"/>
            </w:tcBorders>
            <w:tcMar>
              <w:top w:w="140" w:type="dxa"/>
              <w:start w:w="160" w:type="dxa"/>
              <w:bottom w:w="140" w:type="dxa"/>
              <w:end w:w="160" w:type="dxa"/>
            </w:tcMar>
          </w:tcPr>
          <w:p>
            <w:pPr>
              <w:spacing w:before="0" w:after="60" w:line="259" w:lineRule="auto"/>
            </w:pPr>
            <w:r>
              <w:rPr>
                <w:rFonts w:ascii="Carlito" w:hAnsi="Carlito"/>
                <w:b/>
                <w:color w:val="4B0B12"/>
                <w:sz w:val="21"/>
              </w:rPr>
              <w:t>Specification baseline</w:t>
            </w:r>
          </w:p>
          <w:p>
            <w:pPr>
              <w:spacing w:before="0" w:after="0" w:line="259" w:lineRule="auto"/>
            </w:pPr>
            <w:r>
              <w:rPr>
                <w:rFonts w:ascii="Carlito" w:hAnsi="Carlito"/>
                <w:color w:val="2E2E2E"/>
                <w:sz w:val="19"/>
              </w:rPr>
              <w:t>This v1.0 document is intended to serve as the functional baseline for UI/UX design, database design, implementation planning, prototyping, development, testing and stakeholder validation. Any later policy change should be captured as a documented specification change rather than silently altering recruitment logic.</w:t>
            </w:r>
          </w:p>
        </w:tc>
      </w:tr>
    </w:tbl>
    <w:p>
      <w:pPr>
        <w:spacing w:after="0"/>
      </w:pP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624"/>
      <w:gridCol w:w="3624"/>
      <w:gridCol w:w="3624"/>
    </w:tblGrid>
    <w:tr>
      <w:tc>
        <w:tcPr>
          <w:tcW w:type="dxa" w:w="3744"/>
          <w:tcMar>
            <w:top w:w="35" w:type="dxa"/>
            <w:start w:w="0" w:type="dxa"/>
            <w:bottom w:w="0" w:type="dxa"/>
            <w:end w:w="0" w:type="dxa"/>
          </w:tcMar>
          <w:tcBorders>
            <w:top w:val="single" w:sz="6" w:color="D1D5DB"/>
          </w:tcBorders>
        </w:tcPr>
        <w:p>
          <w:pPr>
            <w:spacing w:before="0" w:after="0" w:line="259" w:lineRule="auto"/>
          </w:pPr>
          <w:r>
            <w:rPr>
              <w:rFonts w:ascii="Carlito" w:hAnsi="Carlito"/>
              <w:color w:val="6B7280"/>
              <w:sz w:val="14"/>
            </w:rPr>
            <w:t>Concept specification — not an official recruitment notice</w:t>
          </w:r>
        </w:p>
      </w:tc>
      <w:tc>
        <w:tcPr>
          <w:tcW w:type="dxa" w:w="3384"/>
          <w:tcMar>
            <w:top w:w="35" w:type="dxa"/>
            <w:start w:w="0" w:type="dxa"/>
            <w:bottom w:w="0" w:type="dxa"/>
            <w:end w:w="0" w:type="dxa"/>
          </w:tcMar>
          <w:tcBorders>
            <w:top w:val="single" w:sz="6" w:color="D1D5DB"/>
          </w:tcBorders>
        </w:tcPr>
        <w:p>
          <w:pPr>
            <w:spacing w:before="0" w:after="0" w:line="259" w:lineRule="auto"/>
            <w:jc w:val="center"/>
          </w:pPr>
          <w:r>
            <w:rPr>
              <w:rFonts w:ascii="Carlito" w:hAnsi="Carlito"/>
              <w:color w:val="6B7280"/>
              <w:sz w:val="14"/>
            </w:rPr>
            <w:t>31 August 2026</w:t>
          </w:r>
        </w:p>
      </w:tc>
      <w:tc>
        <w:tcPr>
          <w:tcW w:type="dxa" w:w="3744"/>
          <w:tcMar>
            <w:top w:w="35" w:type="dxa"/>
            <w:start w:w="0" w:type="dxa"/>
            <w:bottom w:w="0" w:type="dxa"/>
            <w:end w:w="0" w:type="dxa"/>
          </w:tcMar>
          <w:tcBorders>
            <w:top w:val="single" w:sz="6" w:color="D1D5DB"/>
          </w:tcBorders>
        </w:tcPr>
        <w:p>
          <w:pPr>
            <w:spacing w:before="0" w:after="0" w:line="259" w:lineRule="auto"/>
            <w:jc w:val="right"/>
          </w:pPr>
          <w:r>
            <w:rPr>
              <w:rFonts w:ascii="Carlito" w:hAnsi="Carlito"/>
              <w:color w:val="6B7280"/>
              <w:sz w:val="14"/>
            </w:rPr>
            <w:t xml:space="preserve">Page </w:t>
          </w:r>
          <w:r>
            <w:rPr>
              <w:rFonts w:ascii="Carlito" w:hAnsi="Carlito"/>
              <w:color w:val="6B7280"/>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436"/>
      <w:gridCol w:w="5436"/>
    </w:tblGrid>
    <w:tr>
      <w:tc>
        <w:tcPr>
          <w:tcW w:type="dxa" w:w="6912"/>
          <w:tcMar>
            <w:top w:w="0" w:type="dxa"/>
            <w:start w:w="0" w:type="dxa"/>
            <w:bottom w:w="35" w:type="dxa"/>
            <w:end w:w="0" w:type="dxa"/>
          </w:tcMar>
          <w:tcBorders>
            <w:bottom w:val="single" w:sz="10" w:color="C7A434"/>
          </w:tcBorders>
        </w:tcPr>
        <w:p>
          <w:pPr>
            <w:spacing w:before="0" w:after="0" w:line="259" w:lineRule="auto"/>
          </w:pPr>
          <w:r>
            <w:rPr>
              <w:rFonts w:ascii="Carlito" w:hAnsi="Carlito"/>
              <w:b/>
              <w:color w:val="4B0B12"/>
              <w:sz w:val="16"/>
            </w:rPr>
            <w:t>UGANDA PRISONS SERVICE — UPS e-Recruit</w:t>
          </w:r>
        </w:p>
      </w:tc>
      <w:tc>
        <w:tcPr>
          <w:tcW w:type="dxa" w:w="3960"/>
          <w:tcMar>
            <w:top w:w="0" w:type="dxa"/>
            <w:start w:w="0" w:type="dxa"/>
            <w:bottom w:w="35" w:type="dxa"/>
            <w:end w:w="0" w:type="dxa"/>
          </w:tcMar>
          <w:tcBorders>
            <w:bottom w:val="single" w:sz="10" w:color="C7A434"/>
          </w:tcBorders>
        </w:tcPr>
        <w:p>
          <w:pPr>
            <w:spacing w:before="0" w:after="0" w:line="259" w:lineRule="auto"/>
            <w:jc w:val="right"/>
          </w:pPr>
          <w:r>
            <w:rPr>
              <w:rFonts w:ascii="Carlito" w:hAnsi="Carlito"/>
              <w:color w:val="6B7280"/>
              <w:sz w:val="16"/>
            </w:rPr>
            <w:t>Final System Specification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2E2E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4B0B1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6E0F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2E2E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4B0B1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rPr>
      <w:rFonts w:ascii="Carlito" w:hAnsi="Carlito"/>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rPr>
      <w:rFonts w:ascii="Carlito" w:hAnsi="Carlito"/>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e-Recruit — Final System Specification v1.0</dc:title>
  <dc:subject>Recruitment, Selection &amp; Training Intake Management System</dc:subject>
  <dc:creator>python-docx</dc:creator>
  <cp:keywords>Uganda Prisons Service, UPS, e-Recruit, recruitment, PWA, offline, OCR, verification, selection, CPO, CASP</cp:keywords>
  <dc:description>Concept specification prepared from user requirements and supplied ideation.</dc:description>
  <cp:lastModifiedBy/>
  <cp:revision>1</cp:revision>
  <dcterms:created xsi:type="dcterms:W3CDTF">2013-12-23T23:15:00Z</dcterms:created>
  <dcterms:modified xsi:type="dcterms:W3CDTF">2013-12-23T23:15:00Z</dcterms:modified>
  <cp:category/>
</cp:coreProperties>
</file>