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4"/>
          <w:szCs w:val="44"/>
        </w:rPr>
        <w:t xml:space="preserve">BGCIE Deal Analysis</w:t>
      </w:r>
    </w:p>
    <w:p>
      <w:pPr>
        <w:spacing w:after="80"/>
        <w:jc w:val="center"/>
      </w:pPr>
      <w:r>
        <w:rPr>
          <w:rFonts w:ascii="Arial" w:cs="Arial" w:eastAsia="Arial" w:hAnsi="Arial"/>
          <w:color w:val="666666"/>
          <w:sz w:val="24"/>
          <w:szCs w:val="24"/>
        </w:rPr>
        <w:t xml:space="preserve">Acorn vs. eTop — True Cost Comparison &amp; Positioning Language</w:t>
      </w:r>
    </w:p>
    <w:p>
      <w:pPr>
        <w:spacing w:after="400"/>
        <w:jc w:val="center"/>
      </w:pPr>
      <w:r>
        <w:rPr>
          <w:rFonts w:ascii="Arial" w:cs="Arial" w:eastAsia="Arial" w:hAnsi="Arial"/>
          <w:color w:val="999999"/>
          <w:sz w:val="20"/>
          <w:szCs w:val="20"/>
        </w:rPr>
        <w:t xml:space="preserve">Internal Use Only — February 2026</w:t>
      </w:r>
    </w:p>
    <w:p>
      <w:pPr>
        <w:pStyle w:val="Heading1"/>
      </w:pPr>
      <w:r>
        <w:t xml:space="preserve">1. The Real Math — What Dana Is Actually Paying Today</w:t>
      </w:r>
    </w:p>
    <w:p>
      <w:pPr>
        <w:spacing w:after="200"/>
      </w:pPr>
      <w:r>
        <w:rPr>
          <w:sz w:val="22"/>
          <w:szCs w:val="22"/>
        </w:rPr>
        <w:t xml:space="preserve">Dana sees $6,500/month. That number is psychologically anchored. Your job is to reframe what that $6,500 actually buys — and what it doesn’t.</w:t>
      </w:r>
    </w:p>
    <w:p>
      <w:pPr>
        <w:pStyle w:val="Heading3"/>
      </w:pPr>
      <w:r>
        <w:t xml:space="preserve">Acorn’s Visible Monthly Cost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00"/>
        <w:gridCol w:w="2290"/>
        <w:gridCol w:w="2290"/>
      </w:tblGrid>
      <w:tr>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Line Item</w:t>
            </w:r>
          </w:p>
        </w:tc>
        <w:tc>
          <w:tcPr>
            <w:tcW w:type="dxa" w:w="22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Qty</w:t>
            </w:r>
          </w:p>
        </w:tc>
        <w:tc>
          <w:tcPr>
            <w:tcW w:type="dxa" w:w="22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Cost</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Servers (Virtual/Physical/Hosted)</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$2,000</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Desktops/Laptops @ $100 each</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45</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$4,500</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Network Switches @ $50 each</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$350</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Firewalls @ $125 each</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$375</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Wireless Access Points @ $25 each</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$175</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Additional Location — San Bernardino</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$300</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Software Support (Microsoft + Adobe)</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$300</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Standard Rate</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333333"/>
                <w:sz w:val="20"/>
                <w:szCs w:val="20"/>
              </w:rPr>
              <w:t xml:space="preserve">$8,000</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Discount Applied (18.75%)</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2E7D32"/>
                <w:sz w:val="20"/>
                <w:szCs w:val="20"/>
              </w:rPr>
              <w:t xml:space="preserve">-$1,500</w:t>
            </w:r>
          </w:p>
        </w:tc>
      </w:tr>
      <w:tr>
        <w:tc>
          <w:tcPr>
            <w:tcW w:type="dxa" w:w="5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333333"/>
                <w:sz w:val="20"/>
                <w:szCs w:val="20"/>
              </w:rPr>
              <w:t xml:space="preserve">What Dana Sees on the Invoice</w:t>
            </w:r>
          </w:p>
        </w:tc>
        <w:tc>
          <w:tcPr>
            <w:tcW w:type="dxa" w:w="229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c>
          <w:tcPr>
            <w:tcW w:type="dxa" w:w="229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right"/>
            </w:pPr>
            <w:r>
              <w:rPr>
                <w:rFonts w:ascii="Arial" w:cs="Arial" w:eastAsia="Arial" w:hAnsi="Arial"/>
                <w:b/>
                <w:bCs/>
                <w:color w:val="333333"/>
                <w:sz w:val="20"/>
                <w:szCs w:val="20"/>
              </w:rPr>
              <w:t xml:space="preserve">$6,500/mo</w:t>
            </w:r>
          </w:p>
        </w:tc>
      </w:tr>
    </w:tbl>
    <w:p>
      <w:pPr>
        <w:pStyle w:val="Heading3"/>
        <w:spacing w:before="400"/>
      </w:pPr>
      <w:r>
        <w:rPr>
          <w:color w:val="C62828"/>
        </w:rPr>
        <w:t xml:space="preserve">What Acorn’s $6,500 Does NOT Include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00"/>
        <w:gridCol w:w="2290"/>
        <w:gridCol w:w="2290"/>
      </w:tblGrid>
      <w:tr>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Hidden / Upcoming Cost</w:t>
            </w:r>
          </w:p>
        </w:tc>
        <w:tc>
          <w:tcPr>
            <w:tcW w:type="dxa" w:w="22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Timing</w:t>
            </w:r>
          </w:p>
        </w:tc>
        <w:tc>
          <w:tcPr>
            <w:tcW w:type="dxa" w:w="22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Cost</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Server replacement (aging, drive dying)</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20"/>
                <w:szCs w:val="20"/>
              </w:rPr>
              <w:t xml:space="preserve">Imminent</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$15K–$30K</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Meraki 5-year license renewals (switches, FW, APs)</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Within cycle</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$5K–$10K+</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San Bernardino buildout (already spent w/ Acorn)</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Completed</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$29,170</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Windows 10→11 upgrades (per-device charges)</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Now</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Nickel &amp; dime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Laptop swap/refresh (quoted ~$1,500 for basic swap)</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Now</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Per event</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Microsoft licensing (fragmented, not standardized)</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Ongoing</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Untracked</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Adobe licensing (staff paying out of pocket)</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Ongoing</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Untracked</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Domain renewal (billed separately, not managed)</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Annual</w:t>
            </w:r>
          </w:p>
        </w:tc>
        <w:tc>
          <w:tcPr>
            <w:tcW w:type="dxa" w:w="2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Separate</w:t>
            </w:r>
          </w:p>
        </w:tc>
      </w:tr>
      <w:tr>
        <w:tc>
          <w:tcPr>
            <w:tcW w:type="dxa" w:w="55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Conservative hidden cost exposure (Year 1–2)</w:t>
            </w:r>
          </w:p>
        </w:tc>
        <w:tc>
          <w:tcPr>
            <w:tcW w:type="dxa" w:w="229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c>
          <w:tcPr>
            <w:tcW w:type="dxa" w:w="229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right"/>
            </w:pPr>
            <w:r>
              <w:rPr>
                <w:rFonts w:ascii="Arial" w:cs="Arial" w:eastAsia="Arial" w:hAnsi="Arial"/>
                <w:b/>
                <w:bCs/>
                <w:color w:val="C62828"/>
                <w:sz w:val="20"/>
                <w:szCs w:val="20"/>
              </w:rPr>
              <w:t xml:space="preserve">$20K–$40K+</w:t>
            </w:r>
          </w:p>
        </w:tc>
      </w:tr>
    </w:tbl>
    <w:p>
      <w:pPr>
        <w:spacing w:before="200" w:after="200"/>
      </w:pPr>
      <w:r>
        <w:rPr>
          <w:b/>
          <w:bCs/>
          <w:sz w:val="22"/>
          <w:szCs w:val="22"/>
        </w:rPr>
        <w:t xml:space="preserve">Key insight: </w:t>
      </w:r>
      <w:r>
        <w:rPr>
          <w:sz w:val="22"/>
          <w:szCs w:val="22"/>
        </w:rPr>
        <w:t xml:space="preserve">Acorn’s $6,500 is the floor, not the ceiling. The real annualized cost with capital events and nickel-and-dime charges is closer to $8,500–$10,000+/month when amortized.</w:t>
      </w:r>
    </w:p>
    <w:p>
      <w:r>
        <w:br w:type="page"/>
      </w:r>
    </w:p>
    <w:p>
      <w:pPr>
        <w:pStyle w:val="Heading1"/>
      </w:pPr>
      <w:r>
        <w:t xml:space="preserve">2. What eTop’s $7,789/Month Actually Includes</w:t>
      </w:r>
    </w:p>
    <w:p>
      <w:pPr>
        <w:spacing w:after="200"/>
      </w:pPr>
      <w:r>
        <w:rPr>
          <w:sz w:val="22"/>
          <w:szCs w:val="22"/>
        </w:rPr>
        <w:t xml:space="preserve">Your price includes everything that Acorn charges extra for. This is the core message.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00"/>
        <w:gridCol w:w="4580"/>
      </w:tblGrid>
      <w:tr>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Included in eTop’s $7,789/mo</w:t>
            </w:r>
          </w:p>
        </w:tc>
        <w:tc>
          <w:tcPr>
            <w:tcW w:type="dxa" w:w="4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Acorn Equivalent</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Premium Managed Services — 50 users (unlimited remote + onsite)</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$6,500/mo (discounted, per-device model)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M365 Business Premium — 50 users @ $5.78 nonprofit ($289/mo)</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Not standardized. Staff buying their own.</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migration project: SharePoint/OneDrive, endpoint reset, server decommission</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Not offered. Server stays. VPN stays.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Network replacement (UniFi) — both locations, no renewal licensing</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Meraki with 5-yr license renewals ($5K–$10K cliffs)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Server decommission (no future replacement cost)</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Server replacement pending ($15K–$30K)</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Entra ID + Intune (identity, device mgmt, security baselines)</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Not deployed. Devices not centrally managed.</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VPN dependency eliminated — work from anywhere</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VPN required for file access daily</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Endpoint refresh included (wipe, rebuild, standardize)</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Quoted ~$1,500 for basic laptop swap</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Governance-based pricing (not per-asset billing)</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Per-device billing — every new device increases MRC</w:t>
            </w:r>
          </w:p>
        </w:tc>
      </w:tr>
    </w:tbl>
    <w:p>
      <w:r>
        <w:br w:type="page"/>
      </w:r>
    </w:p>
    <w:p>
      <w:pPr>
        <w:pStyle w:val="Heading1"/>
      </w:pPr>
      <w:r>
        <w:t xml:space="preserve">3. The Apples-to-Apples Comparison</w:t>
      </w:r>
    </w:p>
    <w:p>
      <w:pPr>
        <w:spacing w:after="200"/>
      </w:pPr>
      <w:r>
        <w:rPr>
          <w:b/>
          <w:bCs/>
          <w:sz w:val="22"/>
          <w:szCs w:val="22"/>
        </w:rPr>
        <w:t xml:space="preserve">When you normalize for what’s actually included, eTop is cheaper.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9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Acorn (True Cost)</w:t>
            </w:r>
          </w:p>
        </w:tc>
        <w:tc>
          <w:tcPr>
            <w:tcW w:type="dxa" w:w="29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eTop (All-In)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Monthly managed services</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$6,500</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Included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M365 Business Premium (50 users)</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~$289+ (fragmented/unmanaged)</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Included ($289)</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San Bernardino MRC increase</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$380/mo</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Included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Server coverage (8 servers)</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$2,000/mo</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Eliminated</w:t>
            </w:r>
          </w:p>
        </w:tc>
      </w:tr>
      <w:tr>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Actual monthly run-rate</w:t>
            </w:r>
          </w:p>
        </w:tc>
        <w:tc>
          <w:tcPr>
            <w:tcW w:type="dxa" w:w="29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~$7,170/mo+</w:t>
            </w:r>
          </w:p>
        </w:tc>
        <w:tc>
          <w:tcPr>
            <w:tcW w:type="dxa" w:w="29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$7,789/mo</w:t>
            </w:r>
          </w:p>
        </w:tc>
      </w:tr>
      <w:tr>
        <w:tc>
          <w:tcPr>
            <w:tcW w:type="dxa" w:w="4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Amortized capital (server + Meraki renewals)</w:t>
            </w:r>
          </w:p>
        </w:tc>
        <w:tc>
          <w:tcPr>
            <w:tcW w:type="dxa" w:w="29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+$800–$1,600/mo equivalent</w:t>
            </w:r>
          </w:p>
        </w:tc>
        <w:tc>
          <w:tcPr>
            <w:tcW w:type="dxa" w:w="29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$0</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TRUE EFFECTIVE MONTHLY COST</w:t>
            </w:r>
          </w:p>
        </w:tc>
        <w:tc>
          <w:tcPr>
            <w:tcW w:type="dxa" w:w="29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$7,970–$8,770+</w:t>
            </w:r>
          </w:p>
        </w:tc>
        <w:tc>
          <w:tcPr>
            <w:tcW w:type="dxa" w:w="29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$7,789</w:t>
            </w:r>
          </w:p>
        </w:tc>
      </w:tr>
    </w:tbl>
    <w:p>
      <w:pPr>
        <w:spacing w:before="300" w:after="200"/>
      </w:pPr>
      <w:r>
        <w:rPr>
          <w:b/>
          <w:bCs/>
          <w:color w:val="2E7D32"/>
          <w:sz w:val="22"/>
          <w:szCs w:val="22"/>
        </w:rPr>
        <w:t xml:space="preserve">The delta is not $1,289 more. It’s $181–$981 LESS when you account for what Acorn doesn’t include.</w:t>
      </w:r>
    </w:p>
    <w:p>
      <w:r>
        <w:br w:type="page"/>
      </w:r>
    </w:p>
    <w:p>
      <w:pPr>
        <w:pStyle w:val="Heading1"/>
      </w:pPr>
      <w:r>
        <w:t xml:space="preserve">4. Positioning Language — Use These Lines</w:t>
      </w:r>
    </w:p>
    <w:p>
      <w:pPr>
        <w:pStyle w:val="Heading2"/>
      </w:pPr>
      <w:r>
        <w:t xml:space="preserve">The Price Anchor Reset</w:t>
      </w:r>
    </w:p>
    <w:p>
      <w:pPr>
        <w:spacing w:after="200"/>
      </w:pPr>
      <w:r>
        <w:rPr>
          <w:i/>
          <w:iCs/>
          <w:sz w:val="22"/>
          <w:szCs w:val="22"/>
        </w:rPr>
        <w:t xml:space="preserve">“Dana, I know the number you see every month is $6,500. But that $6,500 doesn’t include your Microsoft licensing, it doesn’t include the server replacement that’s coming, it doesn’t cover the Meraki license renewals, and it doesn’t cover the project work to actually modernize. When we add those up, you’re already spending more than what we’re proposing — you’re just paying it in unpredictable chunks instead of one flat number.”</w:t>
      </w:r>
    </w:p>
    <w:p>
      <w:pPr>
        <w:pStyle w:val="Heading2"/>
      </w:pPr>
      <w:r>
        <w:t xml:space="preserve">The Model Shift Frame</w:t>
      </w:r>
    </w:p>
    <w:p>
      <w:pPr>
        <w:spacing w:after="200"/>
      </w:pPr>
      <w:r>
        <w:rPr>
          <w:i/>
          <w:iCs/>
          <w:sz w:val="22"/>
          <w:szCs w:val="22"/>
        </w:rPr>
        <w:t xml:space="preserve">“The question isn’t whether IT costs $6,500 or $7,789. The question is: do you keep funding an infrastructure model that charges you more every time you add a device, requires a server you’ll need to replace, and locks you into 5-year licensing cycles — or do you move to a model where those costs disappear and your monthly number is your actual number?”</w:t>
      </w:r>
    </w:p>
    <w:p>
      <w:pPr>
        <w:pStyle w:val="Heading2"/>
      </w:pPr>
      <w:r>
        <w:t xml:space="preserve">The Nickel-and-Dime Counter</w:t>
      </w:r>
    </w:p>
    <w:p>
      <w:pPr>
        <w:spacing w:after="200"/>
      </w:pPr>
      <w:r>
        <w:rPr>
          <w:i/>
          <w:iCs/>
          <w:sz w:val="22"/>
          <w:szCs w:val="22"/>
        </w:rPr>
        <w:t xml:space="preserve">“You mentioned that laptop swaps used to be included and now they’re quoting $1,500. Windows upgrades are extra. Adobe is staff paying out of pocket. In our model, endpoint refreshes are part of the service. When someone gets a new laptop, they open it, log in, and it’s done. No billable hours. No procurement quote. That’s what’s built into our price.”</w:t>
      </w:r>
    </w:p>
    <w:p>
      <w:pPr>
        <w:pStyle w:val="Heading2"/>
      </w:pPr>
      <w:r>
        <w:t xml:space="preserve">The Nonprofit Licensing Win</w:t>
      </w:r>
    </w:p>
    <w:p>
      <w:pPr>
        <w:spacing w:after="200"/>
      </w:pPr>
      <w:r>
        <w:rPr>
          <w:i/>
          <w:iCs/>
          <w:sz w:val="22"/>
          <w:szCs w:val="22"/>
        </w:rPr>
        <w:t xml:space="preserve">“At $5.78 per user per month, you’re getting the full Microsoft 365 Business Premium suite — desktop Office apps, email, SharePoint, OneDrive, Intune device management, Defender security, and compliance tools. That’s a $22 commercial license for under $6. That single decision funds the entire modernization — removing your servers, eliminating VPN dependency, and securing every endpoint.”</w:t>
      </w:r>
    </w:p>
    <w:p>
      <w:pPr>
        <w:pStyle w:val="Heading2"/>
      </w:pPr>
      <w:r>
        <w:t xml:space="preserve">The “Why More” One-Liner</w:t>
      </w:r>
    </w:p>
    <w:p>
      <w:pPr>
        <w:spacing w:after="200"/>
      </w:pPr>
      <w:r>
        <w:rPr>
          <w:i/>
          <w:iCs/>
          <w:sz w:val="22"/>
          <w:szCs w:val="22"/>
        </w:rPr>
        <w:t xml:space="preserve">“Our price is $1,289 more than the number on your Acorn invoice. But it includes $289 in Microsoft licensing they don’t provide, eliminates a server replacement that would cost $15–$30K, removes Meraki renewals, and covers the entire migration project. You’re not paying more — you’re paying once instead of paying forever.”</w:t>
      </w:r>
    </w:p>
    <w:p>
      <w:r>
        <w:br w:type="page"/>
      </w:r>
    </w:p>
    <w:p>
      <w:pPr>
        <w:pStyle w:val="Heading1"/>
      </w:pPr>
      <w:r>
        <w:t xml:space="preserve">5. Dana’s Stated Pain Points (From Discovery Calls)</w:t>
      </w:r>
    </w:p>
    <w:p>
      <w:pPr>
        <w:spacing w:after="120"/>
      </w:pPr>
      <w:r>
        <w:rPr>
          <w:sz w:val="22"/>
          <w:szCs w:val="22"/>
        </w:rPr>
        <w:t xml:space="preserve">Use these to mirror her language back in the proposal cover letter and presentation.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40"/>
        <w:gridCol w:w="344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Pain Point (Her Words)</w:t>
            </w:r>
          </w:p>
        </w:tc>
        <w:tc>
          <w:tcPr>
            <w:tcW w:type="dxa" w:w="3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3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eTop Solves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"Acorn doesn’t know where our Adobe licenses are"</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 Friction / Ownership Gap</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license management under one roof, one bill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CEO lost Adobe when switching computers — months unresolved</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Earnings Impact (exec productivity)</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Entra-joined endpoints + standardized deployment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"60% continuity" — Outlook crashes every couple hours in SB</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 Friction / Earnings Impact</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Cloud-first email, no server dependency for Outlook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Laptop swap quoted at ~$1,500 (was previously free)</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 Friction / Trust Erosion</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Endpoint refresh included in managed services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"Nickel and diming" — CEO getting uneasy</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Relationship Risk</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Governance-based pricing, not per-device/per-event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Domain billed separately, renewals not managed</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 Friction / Ownership Gap</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Consolidated billing, proactive renewal management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Staff buying own Microsoft/Adobe licenses</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Cost Leakage / Compliance Risk</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M365 Business Premium standardized for all 50 users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"Very slow going to get answers" from Acorn</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 Friction / Trust Erosion</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Smaller client base = faster response, direct relationships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Server has dying drive (amber light), told it’s old</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Risk &amp; Liability (data loss, ransomware)</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Server decommissioned entirely, data in Microsoft cloud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VPN required for all file access, unreliable</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Earnings Impact (remote work blocked)</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SharePoint/OneDrive — VPN eliminated for daily work</w:t>
            </w:r>
          </w:p>
        </w:tc>
      </w:tr>
    </w:tbl>
    <w:p>
      <w:r>
        <w:br w:type="page"/>
      </w:r>
    </w:p>
    <w:p>
      <w:pPr>
        <w:pStyle w:val="Heading1"/>
      </w:pPr>
      <w:r>
        <w:t xml:space="preserve">6. Risks &amp; Adjustments to Consider</w:t>
      </w:r>
    </w:p>
    <w:p>
      <w:pPr>
        <w:pStyle w:val="Heading2"/>
      </w:pPr>
      <w:r>
        <w:t xml:space="preserve">Things You’re Doing Right</w:t>
      </w:r>
    </w:p>
    <w:p>
      <w:pPr>
        <w:pStyle w:val="ListParagraph"/>
        <w:numPr>
          <w:ilvl w:val="0"/>
          <w:numId w:val="2"/>
        </w:numPr>
        <w:spacing w:after="80"/>
      </w:pPr>
      <w:r>
        <w:rPr>
          <w:b/>
          <w:bCs/>
          <w:sz w:val="22"/>
          <w:szCs w:val="22"/>
        </w:rPr>
        <w:t xml:space="preserve">The modernization strategy doc is excellent. </w:t>
      </w:r>
      <w:r>
        <w:rPr>
          <w:sz w:val="22"/>
          <w:szCs w:val="22"/>
        </w:rPr>
        <w:t xml:space="preserve">The “risk profile shift” framing is the right executive message.</w:t>
      </w:r>
    </w:p>
    <w:p>
      <w:pPr>
        <w:pStyle w:val="ListParagraph"/>
        <w:numPr>
          <w:ilvl w:val="0"/>
          <w:numId w:val="2"/>
        </w:numPr>
        <w:spacing w:after="80"/>
      </w:pPr>
      <w:r>
        <w:rPr>
          <w:b/>
          <w:bCs/>
          <w:sz w:val="22"/>
          <w:szCs w:val="22"/>
        </w:rPr>
        <w:t xml:space="preserve">Nonprofit M365 pricing is a genuine differentiator. </w:t>
      </w:r>
      <w:r>
        <w:rPr>
          <w:sz w:val="22"/>
          <w:szCs w:val="22"/>
        </w:rPr>
        <w:t xml:space="preserve">$5.78/user is a real financial win and Dana knows it.</w:t>
      </w:r>
    </w:p>
    <w:p>
      <w:pPr>
        <w:pStyle w:val="ListParagraph"/>
        <w:numPr>
          <w:ilvl w:val="0"/>
          <w:numId w:val="2"/>
        </w:numPr>
        <w:spacing w:after="80"/>
      </w:pPr>
      <w:r>
        <w:rPr>
          <w:b/>
          <w:bCs/>
          <w:sz w:val="22"/>
          <w:szCs w:val="22"/>
        </w:rPr>
        <w:t xml:space="preserve">UniFi over Meraki eliminates renewal cliffs. </w:t>
      </w:r>
      <w:r>
        <w:rPr>
          <w:sz w:val="22"/>
          <w:szCs w:val="22"/>
        </w:rPr>
        <w:t xml:space="preserve">This is a strong long-term cost argument.</w:t>
      </w:r>
    </w:p>
    <w:p>
      <w:pPr>
        <w:pStyle w:val="ListParagraph"/>
        <w:numPr>
          <w:ilvl w:val="0"/>
          <w:numId w:val="2"/>
        </w:numPr>
        <w:spacing w:after="200"/>
      </w:pPr>
      <w:r>
        <w:rPr>
          <w:b/>
          <w:bCs/>
          <w:sz w:val="22"/>
          <w:szCs w:val="22"/>
        </w:rPr>
        <w:t xml:space="preserve">Per-user pricing vs per-device pricing aligns with their frustration. </w:t>
      </w:r>
      <w:r>
        <w:rPr>
          <w:sz w:val="22"/>
          <w:szCs w:val="22"/>
        </w:rPr>
        <w:t xml:space="preserve">Dana literally complained about being charged per device.</w:t>
      </w:r>
    </w:p>
    <w:p>
      <w:pPr>
        <w:pStyle w:val="Heading2"/>
      </w:pPr>
      <w:r>
        <w:rPr>
          <w:color w:val="C62828"/>
        </w:rPr>
        <w:t xml:space="preserve">Where the Proposal Needs Sharpening</w:t>
      </w:r>
    </w:p>
    <w:p>
      <w:pPr>
        <w:pStyle w:val="ListParagraph"/>
        <w:numPr>
          <w:ilvl w:val="0"/>
          <w:numId w:val="3"/>
        </w:numPr>
        <w:spacing w:after="80"/>
      </w:pPr>
      <w:r>
        <w:rPr>
          <w:b/>
          <w:bCs/>
          <w:color w:val="C62828"/>
          <w:sz w:val="22"/>
          <w:szCs w:val="22"/>
        </w:rPr>
        <w:t xml:space="preserve">The cover letter says “ATS” instead of “BGCIE.” </w:t>
      </w:r>
      <w:r>
        <w:rPr>
          <w:sz w:val="22"/>
          <w:szCs w:val="22"/>
        </w:rPr>
        <w:t xml:space="preserve">Fix this before sending. It reads like a different client’s letter was repurposed.</w:t>
      </w:r>
    </w:p>
    <w:p>
      <w:pPr>
        <w:pStyle w:val="ListParagraph"/>
        <w:numPr>
          <w:ilvl w:val="0"/>
          <w:numId w:val="3"/>
        </w:numPr>
        <w:spacing w:after="80"/>
      </w:pPr>
      <w:r>
        <w:rPr>
          <w:b/>
          <w:bCs/>
          <w:color w:val="C62828"/>
          <w:sz w:val="22"/>
          <w:szCs w:val="22"/>
        </w:rPr>
        <w:t xml:space="preserve">The cover letter references “Suites 109, 109B, and 110.” </w:t>
      </w:r>
      <w:r>
        <w:rPr>
          <w:sz w:val="22"/>
          <w:szCs w:val="22"/>
        </w:rPr>
        <w:t xml:space="preserve">BGCIE’s San Bernardino suites are 104, 106, and 107 (from the Acorn quote). This is a credibility killer.</w:t>
      </w:r>
    </w:p>
    <w:p>
      <w:pPr>
        <w:pStyle w:val="ListParagraph"/>
        <w:numPr>
          <w:ilvl w:val="0"/>
          <w:numId w:val="3"/>
        </w:numPr>
        <w:spacing w:after="80"/>
      </w:pPr>
      <w:r>
        <w:rPr>
          <w:b/>
          <w:bCs/>
          <w:color w:val="C62828"/>
          <w:sz w:val="22"/>
          <w:szCs w:val="22"/>
        </w:rPr>
        <w:t xml:space="preserve">No explicit “why we cost more” section in the proposal. </w:t>
      </w:r>
      <w:r>
        <w:rPr>
          <w:sz w:val="22"/>
          <w:szCs w:val="22"/>
        </w:rPr>
        <w:t xml:space="preserve">Dana said she filters proposals before they reach Michael. If she can’t clearly articulate the value delta, it dies on her desk.</w:t>
      </w:r>
    </w:p>
    <w:p>
      <w:pPr>
        <w:pStyle w:val="ListParagraph"/>
        <w:numPr>
          <w:ilvl w:val="0"/>
          <w:numId w:val="3"/>
        </w:numPr>
        <w:spacing w:after="80"/>
      </w:pPr>
      <w:r>
        <w:rPr>
          <w:b/>
          <w:bCs/>
          <w:sz w:val="22"/>
          <w:szCs w:val="22"/>
        </w:rPr>
        <w:t xml:space="preserve">The GreatAmerica lease option ($8,370/mo) may scare them. </w:t>
      </w:r>
      <w:r>
        <w:rPr>
          <w:sz w:val="22"/>
          <w:szCs w:val="22"/>
        </w:rPr>
        <w:t xml:space="preserve">Lead with the 36-month term at $7,789. Only introduce the lease if they need to avoid the one-time project cost.</w:t>
      </w:r>
    </w:p>
    <w:p>
      <w:pPr>
        <w:pStyle w:val="ListParagraph"/>
        <w:numPr>
          <w:ilvl w:val="0"/>
          <w:numId w:val="3"/>
        </w:numPr>
        <w:spacing w:after="200"/>
      </w:pPr>
      <w:r>
        <w:rPr>
          <w:b/>
          <w:bCs/>
          <w:color w:val="C62828"/>
          <w:sz w:val="22"/>
          <w:szCs w:val="22"/>
        </w:rPr>
        <w:t xml:space="preserve">Quote expiration date reads 02/09/2026 (before delivery date of 02/20/2026). </w:t>
      </w:r>
      <w:r>
        <w:rPr>
          <w:sz w:val="22"/>
          <w:szCs w:val="22"/>
        </w:rPr>
        <w:t xml:space="preserve">This makes the quote look expired on arrival. Fix before sending.</w:t>
      </w:r>
    </w:p>
    <w:p>
      <w:pPr>
        <w:pStyle w:val="Heading2"/>
      </w:pPr>
      <w:r>
        <w:t xml:space="preserve">Decision Process Reminder</w:t>
      </w:r>
    </w:p>
    <w:p>
      <w:pPr>
        <w:spacing w:after="80"/>
      </w:pPr>
      <w:r>
        <w:rPr>
          <w:sz w:val="22"/>
          <w:szCs w:val="22"/>
        </w:rPr>
        <w:t xml:space="preserve">From the call: Dana gathers proposals and decides what reaches Michael. Michael makes the final call. If it saves money, he tells the board — no vote needed. If it costs more, Dana needs to be armed with the “why” to even put it in front of him. Your proposal must make Dana’s job easy. The “why we’re more” has to be on page 1, not buried.</w:t>
      </w:r>
    </w:p>
    <w:p>
      <w:pPr>
        <w:pStyle w:val="Heading1"/>
        <w:spacing w:before="400"/>
      </w:pPr>
      <w:r>
        <w:t xml:space="preserve">7. Recommended Proposal Fixes Before Sending</w:t>
      </w:r>
    </w:p>
    <w:p>
      <w:pPr>
        <w:pStyle w:val="ListParagraph"/>
        <w:numPr>
          <w:ilvl w:val="0"/>
          <w:numId w:val="4"/>
        </w:numPr>
        <w:spacing w:after="80"/>
      </w:pPr>
      <w:r>
        <w:rPr>
          <w:b/>
          <w:bCs/>
          <w:sz w:val="22"/>
          <w:szCs w:val="22"/>
        </w:rPr>
        <w:t xml:space="preserve">Fix the cover letter: </w:t>
      </w:r>
      <w:r>
        <w:rPr>
          <w:sz w:val="22"/>
          <w:szCs w:val="22"/>
        </w:rPr>
        <w:t xml:space="preserve">Replace all “ATS” references with “BGCIE.” Fix suite numbers to match their actual locations.</w:t>
      </w:r>
    </w:p>
    <w:p>
      <w:pPr>
        <w:pStyle w:val="ListParagraph"/>
        <w:numPr>
          <w:ilvl w:val="0"/>
          <w:numId w:val="4"/>
        </w:numPr>
        <w:spacing w:after="80"/>
      </w:pPr>
      <w:r>
        <w:rPr>
          <w:b/>
          <w:bCs/>
          <w:sz w:val="22"/>
          <w:szCs w:val="22"/>
        </w:rPr>
        <w:t xml:space="preserve">Fix the expiration date: </w:t>
      </w:r>
      <w:r>
        <w:rPr>
          <w:sz w:val="22"/>
          <w:szCs w:val="22"/>
        </w:rPr>
        <w:t xml:space="preserve">Set it 30 days out from delivery, not before delivery.</w:t>
      </w:r>
    </w:p>
    <w:p>
      <w:pPr>
        <w:pStyle w:val="ListParagraph"/>
        <w:numPr>
          <w:ilvl w:val="0"/>
          <w:numId w:val="4"/>
        </w:numPr>
        <w:spacing w:after="80"/>
      </w:pPr>
      <w:r>
        <w:rPr>
          <w:b/>
          <w:bCs/>
          <w:sz w:val="22"/>
          <w:szCs w:val="22"/>
        </w:rPr>
        <w:t xml:space="preserve">Add a one-page “Why This Costs What It Costs” section: </w:t>
      </w:r>
      <w:r>
        <w:rPr>
          <w:sz w:val="22"/>
          <w:szCs w:val="22"/>
        </w:rPr>
        <w:t xml:space="preserve">Use the comparison table and positioning language from this document. Put it right after the cover letter, before project scopes.</w:t>
      </w:r>
    </w:p>
    <w:p>
      <w:pPr>
        <w:pStyle w:val="ListParagraph"/>
        <w:numPr>
          <w:ilvl w:val="0"/>
          <w:numId w:val="4"/>
        </w:numPr>
        <w:spacing w:after="80"/>
      </w:pPr>
      <w:r>
        <w:rPr>
          <w:b/>
          <w:bCs/>
          <w:sz w:val="22"/>
          <w:szCs w:val="22"/>
        </w:rPr>
        <w:t xml:space="preserve">Mirror Dana’s pain points in the cover letter: </w:t>
      </w:r>
      <w:r>
        <w:rPr>
          <w:sz w:val="22"/>
          <w:szCs w:val="22"/>
        </w:rPr>
        <w:t xml:space="preserve">She told you exactly what’s broken. Use her language.</w:t>
      </w:r>
    </w:p>
    <w:p>
      <w:pPr>
        <w:pStyle w:val="ListParagraph"/>
        <w:numPr>
          <w:ilvl w:val="0"/>
          <w:numId w:val="4"/>
        </w:numPr>
        <w:spacing w:after="80"/>
      </w:pPr>
      <w:r>
        <w:rPr>
          <w:b/>
          <w:bCs/>
          <w:sz w:val="22"/>
          <w:szCs w:val="22"/>
        </w:rPr>
        <w:t xml:space="preserve">Lead with $7,789/mo as the primary option: </w:t>
      </w:r>
      <w:r>
        <w:rPr>
          <w:sz w:val="22"/>
          <w:szCs w:val="22"/>
        </w:rPr>
        <w:t xml:space="preserve">De-emphasize the GreatAmerica lease. Only present it if asked about cash flow flexibility.</w:t>
      </w:r>
    </w:p>
    <w:p>
      <w:pPr>
        <w:pStyle w:val="ListParagraph"/>
        <w:numPr>
          <w:ilvl w:val="0"/>
          <w:numId w:val="4"/>
        </w:numPr>
        <w:spacing w:after="200"/>
      </w:pPr>
      <w:r>
        <w:rPr>
          <w:b/>
          <w:bCs/>
          <w:sz w:val="22"/>
          <w:szCs w:val="22"/>
        </w:rPr>
        <w:t xml:space="preserve">Request to present in person with Michael: </w:t>
      </w:r>
      <w:r>
        <w:rPr>
          <w:sz w:val="22"/>
          <w:szCs w:val="22"/>
        </w:rPr>
        <w:t xml:space="preserve">Dana said she’d set that up. Don’t let this go to email. You need to walk them through the cost comparison live.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2026-02-21T00:36:53.430Z</dcterms:created>
  <dcterms:modified xsi:type="dcterms:W3CDTF">2026-02-21T00:36:53.432Z</dcterms:modified>
</cp:coreProperties>
</file>

<file path=docProps/custom.xml><?xml version="1.0" encoding="utf-8"?>
<Properties xmlns="http://schemas.openxmlformats.org/officeDocument/2006/custom-properties" xmlns:vt="http://schemas.openxmlformats.org/officeDocument/2006/docPropsVTypes"/>
</file>