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8.png" ContentType="image/png"/>
  <Override PartName="/word/media/rId59.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Entrega parcial:</w:t>
      </w:r>
      <w:r>
        <w:br/>
      </w:r>
      <w:r>
        <w:t xml:space="preserve">IA Generativa y Mercados Laborales: Evidencia Causal y el Rol de la Informalidad en América Latina</w:t>
      </w:r>
      <w:r>
        <w:rPr>
          <w:rStyle w:val="FootnoteReference"/>
        </w:rPr>
        <w:footnoteReference w:id="9"/>
      </w:r>
    </w:p>
    <w:p>
      <w:pPr>
        <w:pStyle w:val="Author"/>
      </w:pPr>
      <w:r>
        <w:t xml:space="preserve">Eric Torres</w:t>
      </w:r>
    </w:p>
    <w:p>
      <w:pPr>
        <w:pStyle w:val="Date"/>
      </w:pPr>
      <w:r>
        <w:t xml:space="preserve">Mayo, 2026</w:t>
      </w:r>
    </w:p>
    <w:bookmarkStart w:id="15" w:name="sec:introduction"/>
    <w:p>
      <w:pPr>
        <w:pStyle w:val="Heading1"/>
      </w:pPr>
      <w:r>
        <w:rPr>
          <w:rStyle w:val="SectionNumber"/>
        </w:rPr>
        <w:t xml:space="preserve">1</w:t>
      </w:r>
      <w:r>
        <w:tab/>
      </w:r>
      <w:r>
        <w:t xml:space="preserve">Introducción</w:t>
      </w:r>
    </w:p>
    <w:p>
      <w:pPr>
        <w:pStyle w:val="FirstParagraph"/>
      </w:pPr>
      <w:r>
        <w:t xml:space="preserve">Existe una expectativa generalizada de que la inteligencia artificial generativa será el shock que defina los mercados laborales de la década de 2020. El lanzamiento de ChatGPT el 30 de noviembre de 2022 puso el primer modelo de lenguaje grande (LLM, por sus siglas en inglés) de propósito general en manos de cientos de millones de usuarios en cuestión de meses, y las medidas de exposición ocupacional sugieren que aproximadamente la mitad de los empleos en Estados Unidos tienen al menos una tarea que un LLM puede realizar el doble de rápido que un humano</w:t>
      </w:r>
      <w:r>
        <w:t xml:space="preserve"> </w:t>
      </w:r>
      <w:r>
        <w:t xml:space="preserve">(Eloundou et al. 2024)</w:t>
      </w:r>
      <w:r>
        <w:t xml:space="preserve">. Frente a estas proyecciones, las primeras estimaciones causales rigurosas son llamativas.</w:t>
      </w:r>
      <w:r>
        <w:t xml:space="preserve"> </w:t>
      </w:r>
      <w:r>
        <w:t xml:space="preserve">Humlum and Vestergaard (2025a)</w:t>
      </w:r>
      <w:r>
        <w:t xml:space="preserve"> </w:t>
      </w:r>
      <w:r>
        <w:t xml:space="preserve">utilizan datos administrativos daneses vinculados a una encuesta de adopción de 100</w:t>
      </w:r>
      <w:r>
        <w:t xml:space="preserve">,</w:t>
      </w:r>
      <w:r>
        <w:t xml:space="preserve">000 trabajadores y descartan efectos sobre salarios y horas mayores al dos por ciento dos años después del lanzamiento. Efectos del dos por ciento son pequeños. También son geográficamente acotados. Casi toda estimación causal creíble sobre cómo los LLM han movido los mercados laborales agregados proviene de Estados Unidos, Dinamarca o plataformas de freelance en línea dominadas por trabajadores de economías avanzadas.</w:t>
      </w:r>
      <w:r>
        <w:rPr>
          <w:rStyle w:val="FootnoteReference"/>
        </w:rPr>
        <w:footnoteReference w:id="10"/>
      </w:r>
    </w:p>
    <w:p>
      <w:pPr>
        <w:pStyle w:val="BodyText"/>
      </w:pPr>
      <w:r>
        <w:t xml:space="preserve">ChatGPT no llegó solo. En los meses siguientes a su lanzamiento, LLM de propósito general competidores de otros desarrolladores llegaron al mercado, entre ellos Gemini de Google, Claude de Anthropic y R1 de DeepSeek, reforzando, en lugar de fragmentar, el shock tecnológico subyacente. Desde el punto de vista de la identificación en mercados laborales, la fecha de adopción relevante es el lanzamiento de noviembre de 2022; los entrantes posteriores profundizaron el mismo canal en lugar de abrir uno nuevo.</w:t>
      </w:r>
    </w:p>
    <w:bookmarkStart w:id="14" w:name="fig:chatgpt_intro"/>
    <w:p>
      <w:pPr>
        <w:pStyle w:val="CaptionedFigure"/>
      </w:pPr>
      <w:r>
        <w:drawing>
          <wp:inline>
            <wp:extent cx="4533900" cy="2357627"/>
            <wp:effectExtent b="0" l="0" r="0" t="0"/>
            <wp:docPr descr="" title="" id="12" name="Picture"/>
            <a:graphic>
              <a:graphicData uri="http://schemas.openxmlformats.org/drawingml/2006/picture">
                <pic:pic>
                  <pic:nvPicPr>
                    <pic:cNvPr descr="figures/descriptive/fig1_chatgpt_intro.png" id="13" name="Picture"/>
                    <pic:cNvPicPr>
                      <a:picLocks noChangeArrowheads="1" noChangeAspect="1"/>
                    </pic:cNvPicPr>
                  </pic:nvPicPr>
                  <pic:blipFill>
                    <a:blip r:embed="rId11"/>
                    <a:stretch>
                      <a:fillRect/>
                    </a:stretch>
                  </pic:blipFill>
                  <pic:spPr bwMode="auto">
                    <a:xfrm>
                      <a:off x="0" y="0"/>
                      <a:ext cx="4533900" cy="2357627"/>
                    </a:xfrm>
                    <a:prstGeom prst="rect">
                      <a:avLst/>
                    </a:prstGeom>
                    <a:noFill/>
                    <a:ln w="9525">
                      <a:noFill/>
                      <a:headEnd/>
                      <a:tailEnd/>
                    </a:ln>
                  </pic:spPr>
                </pic:pic>
              </a:graphicData>
            </a:graphic>
          </wp:inline>
        </w:drawing>
      </w:r>
    </w:p>
    <w:p>
      <w:pPr>
        <w:pStyle w:val="ImageCaption"/>
      </w:pPr>
      <w:r>
        <w:rPr>
          <w:i/>
          <w:iCs/>
        </w:rPr>
        <w:t xml:space="preserve">Reconocimiento público de ChatGPT en América Latina.</w:t>
      </w:r>
      <w:r>
        <w:t xml:space="preserve"> </w:t>
      </w:r>
      <w:r>
        <w:t xml:space="preserve">Interés de búsqueda semanal en Google Trends para el término</w:t>
      </w:r>
      <w:r>
        <w:t xml:space="preserve"> </w:t>
      </w:r>
      <w:r>
        <w:t xml:space="preserve">“ChatGPT”</w:t>
      </w:r>
      <w:r>
        <w:t xml:space="preserve"> </w:t>
      </w:r>
      <w:r>
        <w:t xml:space="preserve">en los seis países de la muestra (Costa Rica, Colombia, Ecuador, México, Perú y Uruguay), de septiembre de 2022 a abril de 2026. Las trazas grises tenues son países individuales; la línea negra continua es el promedio entre países; la banda sombreada es</w:t>
      </w:r>
      <w:r>
        <w:t xml:space="preserve"> </w:t>
      </w:r>
      <m:oMath>
        <m:r>
          <m:rPr>
            <m:sty m:val="p"/>
          </m:rPr>
          <m:t>±</m:t>
        </m:r>
        <m:r>
          <m:t>1</m:t>
        </m:r>
      </m:oMath>
      <w:r>
        <w:t xml:space="preserve"> </w:t>
      </w:r>
      <w:r>
        <w:t xml:space="preserve">desviación estándar entre países. El interés de búsqueda es esencialmente cero en las ocho semanas previas al lanzamiento y sube rápidamente después, alcanzando un máximo cercano al máximo específico de cada país a inicios de 2025. Fuente: Google Trends, índice semanal normalizado al máximo intra-país.</w:t>
      </w:r>
    </w:p>
    <w:bookmarkEnd w:id="14"/>
    <w:p>
      <w:pPr>
        <w:pStyle w:val="BodyText"/>
      </w:pPr>
      <w:r>
        <w:t xml:space="preserve">El shock ha llegado a la región. La</w:t>
      </w:r>
      <w:r>
        <w:t xml:space="preserve"> </w:t>
      </w:r>
      <w:hyperlink w:anchor="fig:chatgpt_intro">
        <w:r>
          <w:rPr>
            <w:rStyle w:val="Hyperlink"/>
          </w:rPr>
          <w:t xml:space="preserve">1</w:t>
        </w:r>
      </w:hyperlink>
      <w:r>
        <w:t xml:space="preserve"> </w:t>
      </w:r>
      <w:r>
        <w:t xml:space="preserve">muestra el interés de búsqueda semanal en Google Trends para</w:t>
      </w:r>
      <w:r>
        <w:t xml:space="preserve"> </w:t>
      </w:r>
      <w:r>
        <w:t xml:space="preserve">“ChatGPT”</w:t>
      </w:r>
      <w:r>
        <w:t xml:space="preserve"> </w:t>
      </w:r>
      <w:r>
        <w:t xml:space="preserve">en los seis países. Lo que me resulta más llamativo de la figura es lo plana que es la línea base previa al lanzamiento: el interés de búsqueda es indistinguible de cero durante dos meses antes del lanzamiento y luego asciende abruptamente a lo largo de 2023, estabilizándose entre cuarenta y noventa en el índice normalizado intra-país. Si esta rápida toma de conciencia se ha traducido en respuestas medibles en el mercado laboral es una pregunta empírica distinta y, para los países en desarrollo, permanece esencialmente sin resolver. América Latina es el lugar natural para plantearla. La tasa agregada de informalidad de la región se sitúa cerca del 55 por ciento. Las tasas específicas por país van desde aproximadamente 25 por ciento en Uruguay hasta más del 70 por ciento en partes de la región andina. Los trabajadores formales e informales ocupan mercados segmentados con instituciones distintas de fijación salarial, distinta exposición a la tecnología digital y distintos colchones frente a shocks de productividad. La exposición a LLM en la región también es estructuralmente distinta de la de la OCDE:</w:t>
      </w:r>
      <w:r>
        <w:t xml:space="preserve"> </w:t>
      </w:r>
      <w:r>
        <w:t xml:space="preserve">Azuara Herrera et al. (2024)</w:t>
      </w:r>
      <w:r>
        <w:t xml:space="preserve"> </w:t>
      </w:r>
      <w:r>
        <w:t xml:space="preserve">muestran que la exposición predicha se inclina marcadamente hacia trabajadores formales, mujeres, urbanos y con educación terciaria en Chile, México y Perú, y</w:t>
      </w:r>
      <w:r>
        <w:t xml:space="preserve"> </w:t>
      </w:r>
      <w:r>
        <w:t xml:space="preserve">Ciaschi et al. (2025)</w:t>
      </w:r>
      <w:r>
        <w:t xml:space="preserve"> </w:t>
      </w:r>
      <w:r>
        <w:t xml:space="preserve">y</w:t>
      </w:r>
      <w:r>
        <w:t xml:space="preserve"> </w:t>
      </w:r>
      <w:r>
        <w:t xml:space="preserve">Egana-delSol and Bravo-Ortega (2025)</w:t>
      </w:r>
      <w:r>
        <w:t xml:space="preserve"> </w:t>
      </w:r>
      <w:r>
        <w:t xml:space="preserve">extienden el panorama de exposición a la región en su conjunto. Lo que ningún artículo existente proporciona es una estimación causal de si dicha exposición efectivamente ha movido los resultados del mercado laboral.</w:t>
      </w:r>
    </w:p>
    <w:p>
      <w:pPr>
        <w:pStyle w:val="BodyText"/>
      </w:pPr>
      <w:r>
        <w:t xml:space="preserve">Este artículo cubre ese vacío. Construyo encuestas laborales armonizadas para seis países de América Latina (Costa Rica, Colombia, Ecuador, México, Perú y Uruguay) que cubren el período 2021Q1 a 2025Q4. Mapeo el puntaje de exposición complementaria</w:t>
      </w:r>
      <w:r>
        <w:t xml:space="preserve"> </w:t>
      </w:r>
      <m:oMath>
        <m:r>
          <m:t>β</m:t>
        </m:r>
      </m:oMath>
      <w:r>
        <w:t xml:space="preserve"> </w:t>
      </w:r>
      <w:r>
        <w:t xml:space="preserve">de</w:t>
      </w:r>
      <w:r>
        <w:t xml:space="preserve"> </w:t>
      </w:r>
      <w:r>
        <w:t xml:space="preserve">Eloundou et al. (2024)</w:t>
      </w:r>
      <w:r>
        <w:t xml:space="preserve"> </w:t>
      </w:r>
      <w:r>
        <w:t xml:space="preserve">desde O*NET hacia ISCO-08 (tasa de coincidencia de 98.2 por ciento al nivel de 4 dígitos), y estimo la Respuesta Causal Promedio sobre los Tratados (ACRT, por sus siglas en inglés) a lo largo de la dimensión continua de exposición usando el estimador de diferencias en diferencias de</w:t>
      </w:r>
      <w:r>
        <w:t xml:space="preserve"> </w:t>
      </w:r>
      <w:r>
        <w:t xml:space="preserve">Callaway et al. (2024)</w:t>
      </w:r>
      <w:r>
        <w:t xml:space="preserve">. La estrategia empírica se ejecuta</w:t>
      </w:r>
      <w:r>
        <w:t xml:space="preserve"> </w:t>
      </w:r>
      <w:r>
        <w:rPr>
          <w:i/>
          <w:iCs/>
        </w:rPr>
        <w:t xml:space="preserve">país por país</w:t>
      </w:r>
      <w:r>
        <w:t xml:space="preserve">. Cada uno de los seis países entrega su propia estimación</w:t>
      </w:r>
      <w:r>
        <w:t xml:space="preserve"> </w:t>
      </w:r>
      <m:oMath>
        <m:sSup>
          <m:e>
            <m:acc>
              <m:accPr>
                <m:chr m:val="̂"/>
              </m:accPr>
              <m:e>
                <m:r>
                  <m:t>τ</m:t>
                </m:r>
              </m:e>
            </m:acc>
          </m:e>
          <m:sup>
            <m:r>
              <m:t>c</m:t>
            </m:r>
          </m:sup>
        </m:sSup>
      </m:oMath>
      <w:r>
        <w:t xml:space="preserve">, su propia prueba de tendencias previas, su propia cota de quiebre Honest-DiD y su propia descomposición por formalidad. El resultado principal es la comparación lado a lado de los seis valores</w:t>
      </w:r>
      <w:r>
        <w:t xml:space="preserve"> </w:t>
      </w:r>
      <m:oMath>
        <m:sSup>
          <m:e>
            <m:acc>
              <m:accPr>
                <m:chr m:val="̂"/>
              </m:accPr>
              <m:e>
                <m:r>
                  <m:t>τ</m:t>
                </m:r>
              </m:e>
            </m:acc>
          </m:e>
          <m:sup>
            <m:r>
              <m:t>c</m:t>
            </m:r>
          </m:sup>
        </m:sSup>
      </m:oMath>
      <w:r>
        <w:t xml:space="preserve"> </w:t>
      </w:r>
      <w:r>
        <w:t xml:space="preserve">y no un coeficiente agrupado. Inicialmente fui escéptico de que una sola fecha global de lanzamiento pudiera soportar el peso de la identificación aquí, pero la estructura temporal es inusualmente limpia: el lanzamiento de noviembre de 2022 fue un evento mundial con la misma fecha en todos los países, de modo que las regresiones país por país comparten la fecha de tratamiento</w:t>
      </w:r>
      <w:r>
        <w:t xml:space="preserve"> </w:t>
      </w:r>
      <m:oMath>
        <m:sSup>
          <m:e>
            <m:r>
              <m:t>t</m:t>
            </m:r>
          </m:e>
          <m:sup>
            <m:r>
              <m:rPr>
                <m:sty m:val="p"/>
              </m:rPr>
              <m:t>*</m:t>
            </m:r>
          </m:sup>
        </m:sSup>
        <m:r>
          <m:rPr>
            <m:sty m:val="p"/>
          </m:rPr>
          <m:t>=</m:t>
        </m:r>
        <m:r>
          <m:t>2022</m:t>
        </m:r>
      </m:oMath>
      <w:r>
        <w:t xml:space="preserve">Q4 (que se descarta como período de transición; el tratamiento es efectivo a partir de 2023Q1). La elección de</w:t>
      </w:r>
      <w:r>
        <w:t xml:space="preserve"> </w:t>
      </w:r>
      <m:oMath>
        <m:r>
          <m:t>β</m:t>
        </m:r>
      </m:oMath>
      <w:r>
        <w:t xml:space="preserve"> </w:t>
      </w:r>
      <w:r>
        <w:t xml:space="preserve">sobre</w:t>
      </w:r>
      <w:r>
        <w:t xml:space="preserve"> </w:t>
      </w:r>
      <m:oMath>
        <m:r>
          <m:t>ζ</m:t>
        </m:r>
      </m:oMath>
      <w:r>
        <w:t xml:space="preserve"> </w:t>
      </w:r>
      <w:r>
        <w:t xml:space="preserve">me llevó por varias iteraciones. Me decidí por</w:t>
      </w:r>
      <w:r>
        <w:t xml:space="preserve"> </w:t>
      </w:r>
      <m:oMath>
        <m:r>
          <m:t>β</m:t>
        </m:r>
      </m:oMath>
      <w:r>
        <w:t xml:space="preserve"> </w:t>
      </w:r>
      <w:r>
        <w:t xml:space="preserve">porque captura las reducciones de tiempo en tareas alcanzables mediante software</w:t>
      </w:r>
      <w:r>
        <w:t xml:space="preserve"> </w:t>
      </w:r>
      <w:r>
        <w:rPr>
          <w:i/>
          <w:iCs/>
        </w:rPr>
        <w:t xml:space="preserve">construido sobre LLM</w:t>
      </w:r>
      <w:r>
        <w:t xml:space="preserve">, que es el canal de adopción dominante en la región. El uso directo de la interfaz de chat está rezagado respecto a los niveles de la OCDE, pero las firmas multinacionales que operan en América Latina despliegan plataformas de relación con clientes, herramientas de contabilidad, sistemas de atención al cliente y asistentes de código aumentados con LLM que los trabajadores usan incluso sin escribir nunca en ChatGPT.</w:t>
      </w:r>
    </w:p>
    <w:p>
      <w:pPr>
        <w:pStyle w:val="BodyText"/>
      </w:pPr>
      <w:r>
        <w:t xml:space="preserve">La ventana temporal post-COVID es una decisión de diseño deliberada. Incluir períodos previos a 2020 agruparía mercados laborales en dos equilibrios estructuralmente distintos, violando el requisito de comparabilidad para el grupo de control en DiD. El lanzamiento de ChatGPT entrega una única fecha de adopción común a todas las ocupaciones dentro de un país; la identificación proviene de la variación intra-ocupación en cómo la exposición interactúa con el indicador post-lanzamiento. El estatus de formalidad de línea base (2021) está preregistrado como el margen central de heterogeneidad intra-país del artículo, bajo el argumento de que la formalidad contemporánea es ella misma un resultado de la exposición a LLM y por lo tanto un mal control.</w:t>
      </w:r>
    </w:p>
    <w:p>
      <w:pPr>
        <w:pStyle w:val="BodyText"/>
      </w:pPr>
      <w:r>
        <w:t xml:space="preserve">Los resultados se organizan en torno a cuatro narrativas precomprometidas, cada una evaluada para cada uno de los seis países. Enuncio las narrativas ahora y posterga las cifras cuantitativas principales para la</w:t>
      </w:r>
      <w:r>
        <w:t xml:space="preserve"> </w:t>
      </w:r>
      <w:hyperlink w:anchor="sec:results">
        <w:r>
          <w:rPr>
            <w:rStyle w:val="Hyperlink"/>
          </w:rPr>
          <w:t xml:space="preserve">6</w:t>
        </w:r>
      </w:hyperlink>
      <w:r>
        <w:t xml:space="preserve">, donde aparecen con tamaños de efecto normalizados por exposición, intervalos de confianza y cotas Honest-DiD para cada país.</w:t>
      </w:r>
      <w:r>
        <w:t xml:space="preserve"> </w:t>
      </w:r>
      <w:r>
        <w:rPr>
          <w:i/>
          <w:iCs/>
        </w:rPr>
        <w:t xml:space="preserve">Narrativa A</w:t>
      </w:r>
      <w:r>
        <w:t xml:space="preserve"> </w:t>
      </w:r>
      <w:r>
        <w:t xml:space="preserve">(la informalidad amplifica): el</w:t>
      </w:r>
      <w:r>
        <w:t xml:space="preserve"> </w:t>
      </w:r>
      <m:oMath>
        <m:r>
          <m:rPr>
            <m:sty m:val="p"/>
          </m:rPr>
          <m:t>|</m:t>
        </m:r>
        <m:sSup>
          <m:e>
            <m:acc>
              <m:accPr>
                <m:chr m:val="̂"/>
              </m:accPr>
              <m:e>
                <m:r>
                  <m:t>τ</m:t>
                </m:r>
              </m:e>
            </m:acc>
          </m:e>
          <m:sup>
            <m:r>
              <m:t>c</m:t>
            </m:r>
          </m:sup>
        </m:sSup>
        <m:r>
          <m:rPr>
            <m:sty m:val="p"/>
          </m:rPr>
          <m:t>|</m:t>
        </m:r>
      </m:oMath>
      <w:r>
        <w:t xml:space="preserve"> </w:t>
      </w:r>
      <w:r>
        <w:t xml:space="preserve">a nivel de país supera el dos por ciento y está impulsado por el canal informal, con</w:t>
      </w:r>
      <w:r>
        <w:t xml:space="preserve"> </w:t>
      </w:r>
      <m:oMath>
        <m:sSubSup>
          <m:e>
            <m:r>
              <m:t>τ</m:t>
            </m:r>
          </m:e>
          <m:sub>
            <m:r>
              <m:t>I</m:t>
            </m:r>
          </m:sub>
          <m:sup>
            <m:r>
              <m:t>c</m:t>
            </m:r>
          </m:sup>
        </m:sSubSup>
        <m:r>
          <m:rPr>
            <m:sty m:val="p"/>
          </m:rPr>
          <m:t>&lt;</m:t>
        </m:r>
        <m:sSubSup>
          <m:e>
            <m:r>
              <m:t>τ</m:t>
            </m:r>
          </m:e>
          <m:sub>
            <m:r>
              <m:t>F</m:t>
            </m:r>
          </m:sub>
          <m:sup>
            <m:r>
              <m:t>c</m:t>
            </m:r>
          </m:sup>
        </m:sSubSup>
        <m:r>
          <m:rPr>
            <m:sty m:val="p"/>
          </m:rPr>
          <m:t>&lt;</m:t>
        </m:r>
        <m:r>
          <m:t>0</m:t>
        </m:r>
      </m:oMath>
      <w:r>
        <w:t xml:space="preserve">.</w:t>
      </w:r>
      <w:r>
        <w:t xml:space="preserve"> </w:t>
      </w:r>
      <w:r>
        <w:rPr>
          <w:i/>
          <w:iCs/>
        </w:rPr>
        <w:t xml:space="preserve">Narrativa B</w:t>
      </w:r>
      <w:r>
        <w:t xml:space="preserve"> </w:t>
      </w:r>
      <w:r>
        <w:t xml:space="preserve">(replicación del nulo ALC–Dinamarca): los efectos a nivel de país no difieren de cero en ningún canal.</w:t>
      </w:r>
      <w:r>
        <w:t xml:space="preserve"> </w:t>
      </w:r>
      <w:r>
        <w:rPr>
          <w:i/>
          <w:iCs/>
        </w:rPr>
        <w:t xml:space="preserve">Narrativa C</w:t>
      </w:r>
      <w:r>
        <w:t xml:space="preserve"> </w:t>
      </w:r>
      <w:r>
        <w:t xml:space="preserve">(nulo en formal, grande en informal):</w:t>
      </w:r>
      <w:r>
        <w:t xml:space="preserve"> </w:t>
      </w:r>
      <m:oMath>
        <m:sSubSup>
          <m:e>
            <m:r>
              <m:t>τ</m:t>
            </m:r>
          </m:e>
          <m:sub>
            <m:r>
              <m:t>F</m:t>
            </m:r>
          </m:sub>
          <m:sup>
            <m:r>
              <m:t>c</m:t>
            </m:r>
          </m:sup>
        </m:sSubSup>
        <m:r>
          <m:rPr>
            <m:sty m:val="p"/>
          </m:rPr>
          <m:t>≈</m:t>
        </m:r>
        <m:r>
          <m:t>0</m:t>
        </m:r>
      </m:oMath>
      <w:r>
        <w:t xml:space="preserve"> </w:t>
      </w:r>
      <w:r>
        <w:t xml:space="preserve">y</w:t>
      </w:r>
      <w:r>
        <w:t xml:space="preserve"> </w:t>
      </w:r>
      <m:oMath>
        <m:sSubSup>
          <m:e>
            <m:r>
              <m:t>τ</m:t>
            </m:r>
          </m:e>
          <m:sub>
            <m:r>
              <m:t>I</m:t>
            </m:r>
          </m:sub>
          <m:sup>
            <m:r>
              <m:t>c</m:t>
            </m:r>
          </m:sup>
        </m:sSubSup>
      </m:oMath>
      <w:r>
        <w:t xml:space="preserve"> </w:t>
      </w:r>
      <w:r>
        <w:t xml:space="preserve">es significativamente negativo, identificando un canal que los diseños daneses y estadounidenses no pueden detectar porque sus sectores informales son insignificantes.</w:t>
      </w:r>
      <w:r>
        <w:t xml:space="preserve"> </w:t>
      </w:r>
      <w:r>
        <w:rPr>
          <w:i/>
          <w:iCs/>
        </w:rPr>
        <w:t xml:space="preserve">Narrativa D</w:t>
      </w:r>
      <w:r>
        <w:t xml:space="preserve"> </w:t>
      </w:r>
      <w:r>
        <w:t xml:space="preserve">(ganancias estratificadas): los efectos salariales positivos se concentran en trabajadores formales urbanos con educación terciaria, sorteando a la mayoría informal. Reportar qué narrativa apoya cada país convierte la heterogeneidad entre países de un ejercicio de robustez en la contribución empírica central: seis pruebas independientes del mismo mecanismo subyacente.</w:t>
      </w:r>
    </w:p>
    <w:p>
      <w:pPr>
        <w:pStyle w:val="BodyText"/>
      </w:pPr>
      <w:r>
        <w:t xml:space="preserve">Desarrollo un marco estilizado basado en tareas en la</w:t>
      </w:r>
      <w:r>
        <w:t xml:space="preserve"> </w:t>
      </w:r>
      <w:hyperlink w:anchor="sec:theory">
        <w:r>
          <w:rPr>
            <w:rStyle w:val="Hyperlink"/>
          </w:rPr>
          <w:t xml:space="preserve">3</w:t>
        </w:r>
      </w:hyperlink>
      <w:r>
        <w:t xml:space="preserve"> </w:t>
      </w:r>
      <w:r>
        <w:t xml:space="preserve">que organiza las predicciones y las conecta con el canal de formalidad en ALC.</w:t>
      </w:r>
    </w:p>
    <w:p>
      <w:pPr>
        <w:pStyle w:val="BodyText"/>
      </w:pPr>
      <w:r>
        <w:t xml:space="preserve">La contribución más nítida del artículo es su contraste con</w:t>
      </w:r>
      <w:r>
        <w:t xml:space="preserve"> </w:t>
      </w:r>
      <w:r>
        <w:t xml:space="preserve">Humlum and Vestergaard (2025a)</w:t>
      </w:r>
      <w:r>
        <w:t xml:space="preserve">. La combinación danesa de baja informalidad, alta preparación digital, fuerte poder de negociación de los trabajadores y un seguro social generoso es la configuración estructural con mayor probabilidad de atenuar una respuesta del mercado laboral. La configuración latinoamericana es la opuesta: alta informalidad, fijación salarial fragmentada, seguros sociales más débiles y adopción menor pero no trivial. Además, varía marcadamente entre los seis países. Si el resultado nulo danés es universal, debería sobrevivir en todo país de ALC. Si en cambio refleja las instituciones danesas y no las capacidades de los LLM, las seis estimaciones deberían divergir en direcciones predecibles a partir de la formalidad y la preparación digital a nivel de país.</w:t>
      </w:r>
    </w:p>
    <w:p>
      <w:pPr>
        <w:pStyle w:val="BodyText"/>
      </w:pPr>
      <w:r>
        <w:t xml:space="preserve">El artículo realiza cinco contribuciones. Primero, ofrece las primeras estimaciones causales de la exposición a LLM sobre resultados del mercado laboral para América Latina, llenando el vacío entre la literatura descriptiva sobre exposición</w:t>
      </w:r>
      <w:r>
        <w:t xml:space="preserve"> </w:t>
      </w:r>
      <w:r>
        <w:t xml:space="preserve">(Azuara Herrera et al. 2024; Ciaschi et al. 2025; Egana-delSol and Bravo-Ortega 2025)</w:t>
      </w:r>
      <w:r>
        <w:t xml:space="preserve"> </w:t>
      </w:r>
      <w:r>
        <w:t xml:space="preserve">y la literatura causal centrada en la OCDE</w:t>
      </w:r>
      <w:r>
        <w:t xml:space="preserve"> </w:t>
      </w:r>
      <w:r>
        <w:t xml:space="preserve">(Humlum and Vestergaard 2025a; Hartley et al. 2024; Chen et al. 2025)</w:t>
      </w:r>
      <w:r>
        <w:t xml:space="preserve">. Segundo, aplica el DiD con tratamiento continuo de</w:t>
      </w:r>
      <w:r>
        <w:t xml:space="preserve"> </w:t>
      </w:r>
      <w:r>
        <w:t xml:space="preserve">Callaway et al. (2024)</w:t>
      </w:r>
      <w:r>
        <w:t xml:space="preserve"> </w:t>
      </w:r>
      <w:r>
        <w:t xml:space="preserve">a la exposición a LLM país por país; la literatura causal previa se ha basado en cortes binarios y no ha aprovechado la comparación entre seis países que permite el contexto latinoamericano. Tercero, eleva la formalidad de línea base de una verificación por subgrupo al margen central de heterogeneidad intra-país, con un protocolo de imputación que evita usar un resultado post-tratamiento como variable de condicionamiento. Cuarto, construye un crosswalk y una base de datos armonizada y reproducible para seis países (2021–2025) que futuros investigadores latinoamericanos podrán extender. Quinto, el artículo se compromete con cuatro narrativas antes de ejecutar el análisis, de modo que la narrativa enfatizada para cada país queda determinada por el patrón empírico que se obtenga y no por una búsqueda ex post de especificación.</w:t>
      </w:r>
    </w:p>
    <w:p>
      <w:pPr>
        <w:pStyle w:val="BodyText"/>
      </w:pPr>
      <w:r>
        <w:t xml:space="preserve">El resto del artículo procede como sigue. La</w:t>
      </w:r>
      <w:r>
        <w:t xml:space="preserve"> </w:t>
      </w:r>
      <w:hyperlink w:anchor="sec:literature">
        <w:r>
          <w:rPr>
            <w:rStyle w:val="Hyperlink"/>
          </w:rPr>
          <w:t xml:space="preserve">2</w:t>
        </w:r>
      </w:hyperlink>
      <w:r>
        <w:t xml:space="preserve"> </w:t>
      </w:r>
      <w:r>
        <w:t xml:space="preserve">sitúa la contribución frente a la literatura sobre exposición a IA, la evidencia causal posterior a ChatGPT, el marco teórico basado en tareas y el contexto específico de ALC. La</w:t>
      </w:r>
      <w:r>
        <w:t xml:space="preserve"> </w:t>
      </w:r>
      <w:hyperlink w:anchor="sec:theory">
        <w:r>
          <w:rPr>
            <w:rStyle w:val="Hyperlink"/>
          </w:rPr>
          <w:t xml:space="preserve">3</w:t>
        </w:r>
      </w:hyperlink>
      <w:r>
        <w:t xml:space="preserve"> </w:t>
      </w:r>
      <w:r>
        <w:t xml:space="preserve">desarrolla el marco basado en tareas que organiza las predicciones empíricas. La</w:t>
      </w:r>
      <w:r>
        <w:t xml:space="preserve"> </w:t>
      </w:r>
      <w:hyperlink w:anchor="sec:method">
        <w:r>
          <w:rPr>
            <w:rStyle w:val="Hyperlink"/>
          </w:rPr>
          <w:t xml:space="preserve">4</w:t>
        </w:r>
      </w:hyperlink>
      <w:r>
        <w:t xml:space="preserve"> </w:t>
      </w:r>
      <w:r>
        <w:t xml:space="preserve">presenta la estrategia de identificación país por país, la ecuación de estimación de DiD continuo, las cuatro narrativas preregistradas y la capa de robustez. La</w:t>
      </w:r>
      <w:r>
        <w:t xml:space="preserve"> </w:t>
      </w:r>
      <w:hyperlink w:anchor="sec:data">
        <w:r>
          <w:rPr>
            <w:rStyle w:val="Hyperlink"/>
          </w:rPr>
          <w:t xml:space="preserve">5</w:t>
        </w:r>
      </w:hyperlink>
      <w:r>
        <w:t xml:space="preserve"> </w:t>
      </w:r>
      <w:r>
        <w:t xml:space="preserve">describe los seis conjuntos de datos armonizados por país. La</w:t>
      </w:r>
      <w:r>
        <w:t xml:space="preserve"> </w:t>
      </w:r>
      <w:hyperlink w:anchor="sec:results">
        <w:r>
          <w:rPr>
            <w:rStyle w:val="Hyperlink"/>
          </w:rPr>
          <w:t xml:space="preserve">6</w:t>
        </w:r>
      </w:hyperlink>
      <w:r>
        <w:t xml:space="preserve"> </w:t>
      </w:r>
      <w:r>
        <w:t xml:space="preserve">reporta las estimaciones país por país y las descomposiciones por formalidad de línea base intra-país. La</w:t>
      </w:r>
      <w:r>
        <w:t xml:space="preserve"> </w:t>
      </w:r>
      <w:hyperlink w:anchor="sec:conclusion">
        <w:r>
          <w:rPr>
            <w:rStyle w:val="Hyperlink"/>
          </w:rPr>
          <w:t xml:space="preserve">7</w:t>
        </w:r>
      </w:hyperlink>
      <w:r>
        <w:t xml:space="preserve"> </w:t>
      </w:r>
      <w:r>
        <w:t xml:space="preserve">discute la validez externa y las implicancias de política.</w:t>
      </w:r>
    </w:p>
    <w:bookmarkEnd w:id="15"/>
    <w:bookmarkStart w:id="21" w:name="sec:literature"/>
    <w:p>
      <w:pPr>
        <w:pStyle w:val="Heading1"/>
      </w:pPr>
      <w:r>
        <w:rPr>
          <w:rStyle w:val="SectionNumber"/>
        </w:rPr>
        <w:t xml:space="preserve">2</w:t>
      </w:r>
      <w:r>
        <w:tab/>
      </w:r>
      <w:r>
        <w:t xml:space="preserve">Revisión de Literatura</w:t>
      </w:r>
    </w:p>
    <w:p>
      <w:pPr>
        <w:pStyle w:val="FirstParagraph"/>
      </w:pPr>
      <w:r>
        <w:t xml:space="preserve">Este artículo se ubica en la intersección de cuatro literaturas: la medición de la exposición a IA al nivel ocupacional, la evidencia causal posterior a ChatGPT sobre resultados del mercado laboral, el marco teórico basado en tareas para automatización y desigualdad, y la literatura latinoamericana sobre tecnología y mercados laborales informales. Organizo la discusión temáticamente.</w:t>
      </w:r>
    </w:p>
    <w:bookmarkStart w:id="16" w:name="subsec:lit_exposure"/>
    <w:p>
      <w:pPr>
        <w:pStyle w:val="Heading2"/>
      </w:pPr>
      <w:r>
        <w:rPr>
          <w:rStyle w:val="SectionNumber"/>
        </w:rPr>
        <w:t xml:space="preserve">2.1</w:t>
      </w:r>
      <w:r>
        <w:tab/>
      </w:r>
      <w:r>
        <w:t xml:space="preserve">Medición de la exposición a IA</w:t>
      </w:r>
    </w:p>
    <w:p>
      <w:pPr>
        <w:pStyle w:val="FirstParagraph"/>
      </w:pPr>
      <w:r>
        <w:t xml:space="preserve">La medida canónica de exposición en la era de los LLM es</w:t>
      </w:r>
      <w:r>
        <w:t xml:space="preserve"> </w:t>
      </w:r>
      <w:r>
        <w:t xml:space="preserve">Eloundou et al. (2024)</w:t>
      </w:r>
      <w:r>
        <w:t xml:space="preserve">. Usando GPT-4 y una rúbrica humana, los autores evalúan cada tarea de O*NET según si un LLM (posiblemente aumentado con software basado en LLM) podría reducir el tiempo necesario para realizarla en al menos 50 por ciento. Resultan tres puntajes ocupacionales agregados:</w:t>
      </w:r>
      <w:r>
        <w:t xml:space="preserve"> </w:t>
      </w:r>
      <m:oMath>
        <m:r>
          <m:t>α</m:t>
        </m:r>
      </m:oMath>
      <w:r>
        <w:t xml:space="preserve"> </w:t>
      </w:r>
      <w:r>
        <w:t xml:space="preserve">(sustitución directa por LLM),</w:t>
      </w:r>
      <w:r>
        <w:t xml:space="preserve"> </w:t>
      </w:r>
      <m:oMath>
        <m:r>
          <m:t>β</m:t>
        </m:r>
      </m:oMath>
      <w:r>
        <w:t xml:space="preserve"> </w:t>
      </w:r>
      <w:r>
        <w:t xml:space="preserve">(exposición alcanzable mediante software construido sobre LLM) y</w:t>
      </w:r>
      <w:r>
        <w:t xml:space="preserve"> </w:t>
      </w:r>
      <m:oMath>
        <m:r>
          <m:t>ζ</m:t>
        </m:r>
        <m:r>
          <m:rPr>
            <m:sty m:val="p"/>
          </m:rPr>
          <m:t>=</m:t>
        </m:r>
        <m:r>
          <m:t>α</m:t>
        </m:r>
        <m:r>
          <m:rPr>
            <m:sty m:val="p"/>
          </m:rPr>
          <m:t>+</m:t>
        </m:r>
        <m:r>
          <m:t>β</m:t>
        </m:r>
      </m:oMath>
      <w:r>
        <w:t xml:space="preserve"> </w:t>
      </w:r>
      <w:r>
        <w:t xml:space="preserve">(la cota superior). Uso</w:t>
      </w:r>
      <w:r>
        <w:t xml:space="preserve"> </w:t>
      </w:r>
      <m:oMath>
        <m:r>
          <m:t>β</m:t>
        </m:r>
      </m:oMath>
      <w:r>
        <w:t xml:space="preserve"> </w:t>
      </w:r>
      <w:r>
        <w:t xml:space="preserve">como tratamiento principal porque el canal de difusión dominante de los LLM en América Latina opera a través de software de terceros incorporado en plataformas a nivel de firma más que mediante el uso directo de la interfaz de chat;</w:t>
      </w:r>
      <w:r>
        <w:t xml:space="preserve"> </w:t>
      </w:r>
      <m:oMath>
        <m:r>
          <m:t>α</m:t>
        </m:r>
      </m:oMath>
      <w:r>
        <w:t xml:space="preserve"> </w:t>
      </w:r>
      <w:r>
        <w:t xml:space="preserve">y</w:t>
      </w:r>
      <w:r>
        <w:t xml:space="preserve"> </w:t>
      </w:r>
      <m:oMath>
        <m:r>
          <m:t>ζ</m:t>
        </m:r>
      </m:oMath>
      <w:r>
        <w:t xml:space="preserve"> </w:t>
      </w:r>
      <w:r>
        <w:t xml:space="preserve">se reportan como medidas alternativas de exposición en la robustez. Dos alternativas preceden a Eloundou et al.</w:t>
      </w:r>
      <w:r>
        <w:t xml:space="preserve"> </w:t>
      </w:r>
      <w:r>
        <w:t xml:space="preserve">Webb (2019)</w:t>
      </w:r>
      <w:r>
        <w:t xml:space="preserve"> </w:t>
      </w:r>
      <w:r>
        <w:t xml:space="preserve">mapea patentes de IA a tareas de O*NET, produciendo una medida de exposición que antecede a la IA generativa y por lo tanto aísla el componente de automatización previo a los LLM.</w:t>
      </w:r>
      <w:r>
        <w:t xml:space="preserve"> </w:t>
      </w:r>
      <w:r>
        <w:t xml:space="preserve">Felten et al. (2021)</w:t>
      </w:r>
      <w:r>
        <w:t xml:space="preserve"> </w:t>
      </w:r>
      <w:r>
        <w:t xml:space="preserve">construyen el índice AI Occupational Exposure (AIOE) a partir de evaluaciones expertas de capacidades por tarea en el conjunto de datos AI Progress Measurement de la Electronic Frontier Foundation. Una cuarta medida, específica de la era generativa, es la de</w:t>
      </w:r>
      <w:r>
        <w:t xml:space="preserve"> </w:t>
      </w:r>
      <w:r>
        <w:t xml:space="preserve">Gmyrek et al. (2023)</w:t>
      </w:r>
      <w:r>
        <w:t xml:space="preserve"> </w:t>
      </w:r>
      <w:r>
        <w:t xml:space="preserve">de la OIT, definida directamente sobre CIUO-08 sin necesidad de crosswalks intermedios desde SOC. Las cuatro medidas coinciden en el ordenamiento grueso de las ocupaciones: el trabajo cognitivo, intensivo en lenguaje, administrativo y profesional ocupa los primeros lugares. Sin embargo, divergen en resoluciones más finas.</w:t>
      </w:r>
    </w:p>
    <w:p>
      <w:pPr>
        <w:pStyle w:val="BodyText"/>
      </w:pPr>
      <w:r>
        <w:t xml:space="preserve">Una preocupación con cualquier medida de exposición predicha es si refleja el uso real de LLM.</w:t>
      </w:r>
      <w:r>
        <w:t xml:space="preserve"> </w:t>
      </w:r>
      <w:r>
        <w:t xml:space="preserve">Handa et al. (2025)</w:t>
      </w:r>
      <w:r>
        <w:t xml:space="preserve"> </w:t>
      </w:r>
      <w:r>
        <w:t xml:space="preserve">abordan esto analizando millones de conversaciones con Claude, de Anthropic, y mapeándolas a tareas de O*NET. El ordenamiento de uso realizado se correlaciona fuertemente con el ordenamiento de exposición predicha de Eloundou, proporcionando contenido empírico a la interpretación del puntaje como dosis. Para América Latina,</w:t>
      </w:r>
      <w:r>
        <w:t xml:space="preserve"> </w:t>
      </w:r>
      <w:r>
        <w:t xml:space="preserve">Azuara Herrera et al. (2024)</w:t>
      </w:r>
      <w:r>
        <w:t xml:space="preserve"> </w:t>
      </w:r>
      <w:r>
        <w:t xml:space="preserve">extienden la medida de Eloundou a Chile, México y Perú usando el crosswalk SOC-a-ISCO del BLS, sobre el cual construyo.</w:t>
      </w:r>
    </w:p>
    <w:bookmarkEnd w:id="16"/>
    <w:bookmarkStart w:id="17" w:name="subsec:lit_causal"/>
    <w:p>
      <w:pPr>
        <w:pStyle w:val="Heading2"/>
      </w:pPr>
      <w:r>
        <w:rPr>
          <w:rStyle w:val="SectionNumber"/>
        </w:rPr>
        <w:t xml:space="preserve">2.2</w:t>
      </w:r>
      <w:r>
        <w:tab/>
      </w:r>
      <w:r>
        <w:t xml:space="preserve">Efectos causales de los LLM en los mercados laborales</w:t>
      </w:r>
    </w:p>
    <w:p>
      <w:pPr>
        <w:pStyle w:val="FirstParagraph"/>
      </w:pPr>
      <w:r>
        <w:t xml:space="preserve">La literatura causal es joven y crece rápidamente. La evidencia a nivel de firma y de tarea, que es la más cercana a identificar un efecto limpio de productividad, es en general positiva.</w:t>
      </w:r>
      <w:r>
        <w:t xml:space="preserve"> </w:t>
      </w:r>
      <w:r>
        <w:t xml:space="preserve">Brynjolfsson et al. (2023)</w:t>
      </w:r>
      <w:r>
        <w:t xml:space="preserve"> </w:t>
      </w:r>
      <w:r>
        <w:t xml:space="preserve">ejecutan un despliegue aleatorizado de un asistente basado en LLM en un centro de atención al cliente en Estados Unidos y documentan una ganancia de productividad del 14 por ciento concentrada entre trabajadores con menos experiencia.</w:t>
      </w:r>
      <w:r>
        <w:t xml:space="preserve"> </w:t>
      </w:r>
      <w:r>
        <w:t xml:space="preserve">Cui et al. (2025)</w:t>
      </w:r>
      <w:r>
        <w:t xml:space="preserve"> </w:t>
      </w:r>
      <w:r>
        <w:t xml:space="preserve">reportan una finalización de tareas 26 por ciento más rápida para desarrolladores de software en tres ensayos controlados aleatorizados con cerca de 5</w:t>
      </w:r>
      <w:r>
        <w:t xml:space="preserve">,</w:t>
      </w:r>
      <w:r>
        <w:t xml:space="preserve">000 participantes. Estas estimaciones acotan por arriba el canal de complementariedad: en un escenario donde la adopción se entrega de manera exógena, la tecnología funciona como se anuncia.</w:t>
      </w:r>
    </w:p>
    <w:p>
      <w:pPr>
        <w:pStyle w:val="BodyText"/>
      </w:pPr>
      <w:r>
        <w:t xml:space="preserve">La evidencia agregada del mercado laboral es más mixta.</w:t>
      </w:r>
      <w:r>
        <w:t xml:space="preserve"> </w:t>
      </w:r>
      <w:r>
        <w:t xml:space="preserve">Hartley et al. (2024)</w:t>
      </w:r>
      <w:r>
        <w:t xml:space="preserve"> </w:t>
      </w:r>
      <w:r>
        <w:t xml:space="preserve">usa la Current Population Survey de Estados Unidos y un diseño DiD en torno al lanzamiento de ChatGPT para documentar respuestas medibles en horas y salarios en ocupaciones de alta exposición.</w:t>
      </w:r>
      <w:r>
        <w:t xml:space="preserve"> </w:t>
      </w:r>
      <w:r>
        <w:t xml:space="preserve">Chen et al. (2025)</w:t>
      </w:r>
      <w:r>
        <w:t xml:space="preserve"> </w:t>
      </w:r>
      <w:r>
        <w:t xml:space="preserve">aplican un DiD sintético a datos estadounidenses y encuentran ingresos aproximadamente 89 dólares semanales más altos en ocupaciones de alta exposición, sin efecto detectable sobre el desempleo.</w:t>
      </w:r>
      <w:r>
        <w:t xml:space="preserve"> </w:t>
      </w:r>
      <w:r>
        <w:t xml:space="preserve">Hui et al. (2024)</w:t>
      </w:r>
      <w:r>
        <w:t xml:space="preserve"> </w:t>
      </w:r>
      <w:r>
        <w:t xml:space="preserve">examinan plataformas de freelance en línea y muestran caídas pronunciadas (entre 20 y 50 por ciento) en la demanda por servicios de redacción y traducción tras el lanzamiento, acompañadas por descensos en ingresos de 2 a 5 por ciento.</w:t>
      </w:r>
      <w:r>
        <w:t xml:space="preserve"> </w:t>
      </w:r>
      <w:r>
        <w:t xml:space="preserve">Liu et al. (2023)</w:t>
      </w:r>
      <w:r>
        <w:t xml:space="preserve"> </w:t>
      </w:r>
      <w:r>
        <w:t xml:space="preserve">llega a conclusiones similares en una muestra relacionada de trabajo en línea.</w:t>
      </w:r>
      <w:r>
        <w:t xml:space="preserve"> </w:t>
      </w:r>
      <w:r>
        <w:t xml:space="preserve">Liu et al. (2025)</w:t>
      </w:r>
      <w:r>
        <w:t xml:space="preserve"> </w:t>
      </w:r>
      <w:r>
        <w:t xml:space="preserve">usan 285 millones de avisos de empleo en Estados Unidos y estiman que las ocupaciones de alta exposición a IA experimentaron una caída del 12 por ciento en posiciones publicadas en el primer año post-lanzamiento, llegando al 18 por ciento al tercer año.</w:t>
      </w:r>
    </w:p>
    <w:p>
      <w:pPr>
        <w:pStyle w:val="BodyText"/>
      </w:pPr>
      <w:r>
        <w:t xml:space="preserve">Frente a estas estimaciones de desplazamiento positivo o de ganancias en ingresos,</w:t>
      </w:r>
      <w:r>
        <w:t xml:space="preserve"> </w:t>
      </w:r>
      <w:r>
        <w:t xml:space="preserve">Humlum and Vestergaard (2025a)</w:t>
      </w:r>
      <w:r>
        <w:t xml:space="preserve"> </w:t>
      </w:r>
      <w:r>
        <w:t xml:space="preserve">entregan un nulo llamativo. Usando datos administrativos daneses vinculados a una encuesta de adopción de 100</w:t>
      </w:r>
      <w:r>
        <w:t xml:space="preserve">,</w:t>
      </w:r>
      <w:r>
        <w:t xml:space="preserve">000 trabajadores en once ocupaciones expuestas, descartan efectos sobre ingresos u horas mayores al dos por ciento dos años después del lanzamiento, a pesar de documentar una adopción generalizada. Su artículo complementario</w:t>
      </w:r>
      <w:r>
        <w:t xml:space="preserve"> </w:t>
      </w:r>
      <w:r>
        <w:t xml:space="preserve">(Humlum and Vestergaard 2025b)</w:t>
      </w:r>
      <w:r>
        <w:t xml:space="preserve"> </w:t>
      </w:r>
      <w:r>
        <w:t xml:space="preserve">muestra que esta adopción es ella misma desigual, sesgada hacia hombres, jóvenes y educados. La tensión entre las ganancias positivas de productividad a nivel micro (Brynjolfsson, Cui) y los efectos agregados cercanos a cero (Humlum-Vestergaard) es la pregunta central no resuelta en esta literatura.</w:t>
      </w:r>
    </w:p>
    <w:p>
      <w:pPr>
        <w:pStyle w:val="BodyText"/>
      </w:pPr>
      <w:r>
        <w:t xml:space="preserve">Posiciono este artículo como el desafío de clase de referencia para</w:t>
      </w:r>
      <w:r>
        <w:t xml:space="preserve"> </w:t>
      </w:r>
      <w:r>
        <w:t xml:space="preserve">Humlum and Vestergaard (2025a)</w:t>
      </w:r>
      <w:r>
        <w:t xml:space="preserve">. Su nulo puede reflejar una característica universal de los shocks de LLM en horizontes de dos años, o puede reflejar amortiguadores específicos del mercado laboral danés. América Latina ofrece la configuración estructural opuesta: alta informalidad, instituciones de negociación más débiles, y adopción menor pero no trivial. Si el nulo sobrevive en este entorno tan distinto, Dinamarca no fue la excepción; si no lo hace, la informalidad es el margen que importa. El artículo también sirve como validez externa para</w:t>
      </w:r>
      <w:r>
        <w:t xml:space="preserve"> </w:t>
      </w:r>
      <w:r>
        <w:t xml:space="preserve">Hartley et al. (2024)</w:t>
      </w:r>
      <w:r>
        <w:t xml:space="preserve"> </w:t>
      </w:r>
      <w:r>
        <w:t xml:space="preserve">y</w:t>
      </w:r>
      <w:r>
        <w:t xml:space="preserve"> </w:t>
      </w:r>
      <w:r>
        <w:t xml:space="preserve">Chen et al. (2025)</w:t>
      </w:r>
      <w:r>
        <w:t xml:space="preserve">: las seis estimaciones país por país pueden confirmar sus estimaciones positivas en un contexto de región en desarrollo o documentar que sus magnitudes no se replican fuera de Estados Unidos.</w:t>
      </w:r>
    </w:p>
    <w:bookmarkEnd w:id="17"/>
    <w:bookmarkStart w:id="18" w:name="subsec:lit_theory"/>
    <w:p>
      <w:pPr>
        <w:pStyle w:val="Heading2"/>
      </w:pPr>
      <w:r>
        <w:rPr>
          <w:rStyle w:val="SectionNumber"/>
        </w:rPr>
        <w:t xml:space="preserve">2.3</w:t>
      </w:r>
      <w:r>
        <w:tab/>
      </w:r>
      <w:r>
        <w:t xml:space="preserve">Tareas, automatización y desigualdad</w:t>
      </w:r>
    </w:p>
    <w:p>
      <w:pPr>
        <w:pStyle w:val="FirstParagraph"/>
      </w:pPr>
      <w:r>
        <w:t xml:space="preserve">El linaje intelectual del marco desarrollado en la</w:t>
      </w:r>
      <w:r>
        <w:t xml:space="preserve"> </w:t>
      </w:r>
      <w:hyperlink w:anchor="sec:theory">
        <w:r>
          <w:rPr>
            <w:rStyle w:val="Hyperlink"/>
          </w:rPr>
          <w:t xml:space="preserve">3</w:t>
        </w:r>
      </w:hyperlink>
      <w:r>
        <w:t xml:space="preserve"> </w:t>
      </w:r>
      <w:r>
        <w:t xml:space="preserve">pasa por</w:t>
      </w:r>
      <w:r>
        <w:t xml:space="preserve"> </w:t>
      </w:r>
      <w:r>
        <w:t xml:space="preserve">Autor et al. (2003)</w:t>
      </w:r>
      <w:r>
        <w:t xml:space="preserve">,</w:t>
      </w:r>
      <w:r>
        <w:t xml:space="preserve"> </w:t>
      </w:r>
      <w:r>
        <w:t xml:space="preserve">Acemoglu and Autor (2011)</w:t>
      </w:r>
      <w:r>
        <w:t xml:space="preserve"> </w:t>
      </w:r>
      <w:r>
        <w:t xml:space="preserve">y</w:t>
      </w:r>
      <w:r>
        <w:t xml:space="preserve"> </w:t>
      </w:r>
      <w:r>
        <w:t xml:space="preserve">Acemoglu and Restrepo (2018, 2022)</w:t>
      </w:r>
      <w:r>
        <w:t xml:space="preserve">: la tecnología afecta la demanda laboral mediante canales opuestos de desplazamiento y reposición que operan sobre un continuo de tareas, y el efecto neto sobre empleo y salarios es empírico. El resultado clásico de cambio tecnológico sesgado contra tareas rutinarias de</w:t>
      </w:r>
      <w:r>
        <w:t xml:space="preserve"> </w:t>
      </w:r>
      <w:r>
        <w:t xml:space="preserve">Autor et al. (2003)</w:t>
      </w:r>
      <w:r>
        <w:t xml:space="preserve"> </w:t>
      </w:r>
      <w:r>
        <w:t xml:space="preserve">predice que las computadoras y los robots industriales comprimen los salarios en el medio de la distribución de habilidades al automatizar tareas rutinarias; los LLM invierten este patrón al alcanzar tareas cognitivas no rutinarias realizadas por trabajadores en el extremo superior de la distribución de habilidades.</w:t>
      </w:r>
      <w:r>
        <w:t xml:space="preserve"> </w:t>
      </w:r>
      <w:r>
        <w:t xml:space="preserve">Agrawal et al. (2018)</w:t>
      </w:r>
      <w:r>
        <w:t xml:space="preserve"> </w:t>
      </w:r>
      <w:r>
        <w:t xml:space="preserve">formalizan la ambigüedad teórica, y</w:t>
      </w:r>
      <w:r>
        <w:t xml:space="preserve"> </w:t>
      </w:r>
      <w:r>
        <w:t xml:space="preserve">Acemoglu and Restrepo (2022)</w:t>
      </w:r>
      <w:r>
        <w:t xml:space="preserve"> </w:t>
      </w:r>
      <w:r>
        <w:t xml:space="preserve">cuantifican el marco con datos de Estados Unidos para 1980–2016. El precedente empírico directo del diseño de identificación es</w:t>
      </w:r>
      <w:r>
        <w:t xml:space="preserve"> </w:t>
      </w:r>
      <w:r>
        <w:t xml:space="preserve">Acemoglu et al. (2022)</w:t>
      </w:r>
      <w:r>
        <w:t xml:space="preserve">, quienes usan exposición al nivel ocupacional con efectos fijos de dos vías sobre datos de vacantes de IA; este artículo conserva la lógica de exposición al nivel ocupacional pero usa microdatos de encuestas laborales, el estimador de tratamiento continuo de CGBS 2024 y un diseño de investigación país por país. La</w:t>
      </w:r>
      <w:r>
        <w:t xml:space="preserve"> </w:t>
      </w:r>
      <w:hyperlink w:anchor="sec:theory">
        <w:r>
          <w:rPr>
            <w:rStyle w:val="Hyperlink"/>
          </w:rPr>
          <w:t xml:space="preserve">3</w:t>
        </w:r>
      </w:hyperlink>
      <w:r>
        <w:t xml:space="preserve"> </w:t>
      </w:r>
      <w:r>
        <w:t xml:space="preserve">adapta estos bloques al contexto de ALC, con la formalidad como la fuente central de heterogeneidad entre firmas en la adopción.</w:t>
      </w:r>
    </w:p>
    <w:bookmarkEnd w:id="18"/>
    <w:bookmarkStart w:id="20" w:name="subsec:lit_lac"/>
    <w:p>
      <w:pPr>
        <w:pStyle w:val="Heading2"/>
      </w:pPr>
      <w:r>
        <w:rPr>
          <w:rStyle w:val="SectionNumber"/>
        </w:rPr>
        <w:t xml:space="preserve">2.4</w:t>
      </w:r>
      <w:r>
        <w:tab/>
      </w:r>
      <w:r>
        <w:t xml:space="preserve">Tecnología y mercados laborales latinoamericanos</w:t>
      </w:r>
    </w:p>
    <w:p>
      <w:pPr>
        <w:pStyle w:val="FirstParagraph"/>
      </w:pPr>
      <w:r>
        <w:t xml:space="preserve">El rasgo distintivo del contexto latinoamericano es la informalidad.</w:t>
      </w:r>
      <w:r>
        <w:t xml:space="preserve"> </w:t>
      </w:r>
      <w:r>
        <w:t xml:space="preserve">Ciaschi et al. (2025)</w:t>
      </w:r>
      <w:r>
        <w:t xml:space="preserve"> </w:t>
      </w:r>
      <w:r>
        <w:t xml:space="preserve">estima el impacto distributivo de la exposición predicha a IA usando encuestas de hogares de CEDLAS y documenta que la exposición se concentra en la mitad superior de la distribución salarial, con los trabajadores informales representando una proporción desproporcionada de la población expuesta de bajos salarios.</w:t>
      </w:r>
      <w:r>
        <w:t xml:space="preserve"> </w:t>
      </w:r>
      <w:r>
        <w:t xml:space="preserve">Egana-delSol and Bravo-Ortega (2025)</w:t>
      </w:r>
      <w:r>
        <w:t xml:space="preserve"> </w:t>
      </w:r>
      <w:r>
        <w:t xml:space="preserve">examina cómo la IA generativa podría transformar los mercados laborales de ALC. Desde el lado distributivo,</w:t>
      </w:r>
      <w:r>
        <w:t xml:space="preserve"> </w:t>
      </w:r>
      <w:r>
        <w:t xml:space="preserve">Pizzinelli et al. (2023)</w:t>
      </w:r>
      <w:r>
        <w:t xml:space="preserve"> </w:t>
      </w:r>
      <w:r>
        <w:t xml:space="preserve">construyen un índice de exposición con ajuste de complementariedad para una muestra amplia de países, mostrando que los países emergentes enfrentan menor exposición absoluta pero también menor capacidad de absorberla productivamente.</w:t>
      </w:r>
      <w:r>
        <w:t xml:space="preserve"> </w:t>
      </w:r>
      <w:r>
        <w:t xml:space="preserve">Georgieff (2024)</w:t>
      </w:r>
      <w:r>
        <w:t xml:space="preserve"> </w:t>
      </w:r>
      <w:r>
        <w:t xml:space="preserve">documenta, para países de la OCDE, que las ocupaciones de alta exposición exhiben mayor dispersión salarial, particularmente en la cima, una motivación para el análisis distributivo del segundo artículo de este proyecto doctoral.</w:t>
      </w:r>
      <w:r>
        <w:rPr>
          <w:rStyle w:val="FootnoteReference"/>
        </w:rPr>
        <w:footnoteReference w:id="19"/>
      </w:r>
      <w:r>
        <w:t xml:space="preserve"> </w:t>
      </w:r>
      <w:r>
        <w:t xml:space="preserve">Brollo (2024)</w:t>
      </w:r>
      <w:r>
        <w:t xml:space="preserve"> </w:t>
      </w:r>
      <w:r>
        <w:t xml:space="preserve">documenta el contexto de protección social sobre el que aterriza el shock de LLM.</w:t>
      </w:r>
    </w:p>
    <w:p>
      <w:pPr>
        <w:pStyle w:val="BodyText"/>
      </w:pPr>
      <w:r>
        <w:t xml:space="preserve">Lo que falta en esta literatura latinoamericana es la identificación causal. Cada artículo existente se detiene en la exposición descriptiva: dónde están los trabajadores de alta exposición, cómo lucen sus características demográficas y qué segmentos de la distribución salarial ocupan. Ninguno estima el efecto causal de la exposición a LLM sobre los resultados realizados del mercado laboral, porque los métodos DiD de frontera -</w:t>
      </w:r>
      <w:r>
        <w:t xml:space="preserve"> </w:t>
      </w:r>
      <w:r>
        <w:t xml:space="preserve">Callaway and Sant’Anna (2021)</w:t>
      </w:r>
      <w:r>
        <w:t xml:space="preserve">,</w:t>
      </w:r>
      <w:r>
        <w:t xml:space="preserve"> </w:t>
      </w:r>
      <w:r>
        <w:t xml:space="preserve">Callaway et al. (2024)</w:t>
      </w:r>
      <w:r>
        <w:t xml:space="preserve">,</w:t>
      </w:r>
      <w:r>
        <w:t xml:space="preserve"> </w:t>
      </w:r>
      <w:r>
        <w:t xml:space="preserve">Sun and Abraham (2021)</w:t>
      </w:r>
      <w:r>
        <w:t xml:space="preserve">,</w:t>
      </w:r>
      <w:r>
        <w:t xml:space="preserve"> </w:t>
      </w:r>
      <w:r>
        <w:t xml:space="preserve">Rambachan and Roth (2023)</w:t>
      </w:r>
      <w:r>
        <w:t xml:space="preserve"> </w:t>
      </w:r>
      <w:r>
        <w:t xml:space="preserve">- aún no se han aplicado a la exposición a LLM en múltiples países de ALC (este no es un panel agrupado entre países; cada país se analiza por separado). Este artículo cubre ese vacío.</w:t>
      </w:r>
    </w:p>
    <w:p>
      <w:pPr>
        <w:pStyle w:val="BodyText"/>
      </w:pPr>
      <w:r>
        <w:t xml:space="preserve">El artículo avanza cada una de estas cuatro literaturas. En la medición de la exposición, despliega el puntaje de exposición complementaria</w:t>
      </w:r>
      <w:r>
        <w:t xml:space="preserve"> </w:t>
      </w:r>
      <m:oMath>
        <m:r>
          <m:t>β</m:t>
        </m:r>
      </m:oMath>
      <w:r>
        <w:t xml:space="preserve"> </w:t>
      </w:r>
      <w:r>
        <w:t xml:space="preserve">de Eloundou como la intensidad principal del tratamiento en un contexto de alta informalidad y valida el resultado contra medidas alternativas (Webb, Felten,</w:t>
      </w:r>
      <w:r>
        <w:t xml:space="preserve"> </w:t>
      </w:r>
      <m:oMath>
        <m:r>
          <m:t>α</m:t>
        </m:r>
      </m:oMath>
      <w:r>
        <w:t xml:space="preserve">,</w:t>
      </w:r>
      <w:r>
        <w:t xml:space="preserve"> </w:t>
      </w:r>
      <m:oMath>
        <m:r>
          <m:t>ζ</m:t>
        </m:r>
      </m:oMath>
      <w:r>
        <w:t xml:space="preserve">). En los efectos causales, proporciona las primeras estimaciones fuera de la OCDE y una comparación país por país con</w:t>
      </w:r>
      <w:r>
        <w:t xml:space="preserve"> </w:t>
      </w:r>
      <w:r>
        <w:t xml:space="preserve">Humlum and Vestergaard (2025a)</w:t>
      </w:r>
      <w:r>
        <w:t xml:space="preserve">. En el marco teórico basado en tareas, evalúa si la descomposición desplazamiento-reposición predice efectos diferenciales a lo largo del margen de formalidad de línea base que el trabajo previo no ha examinado. En la economía laboral latinoamericana, lleva la literatura desde la exposición descriptiva a los efectos causales y libera bases de datos armonizadas a nivel de país para la investigación futura.</w:t>
      </w:r>
    </w:p>
    <w:bookmarkEnd w:id="20"/>
    <w:bookmarkEnd w:id="21"/>
    <w:bookmarkStart w:id="27" w:name="sec:theory"/>
    <w:p>
      <w:pPr>
        <w:pStyle w:val="Heading1"/>
      </w:pPr>
      <w:r>
        <w:rPr>
          <w:rStyle w:val="SectionNumber"/>
        </w:rPr>
        <w:t xml:space="preserve">3</w:t>
      </w:r>
      <w:r>
        <w:tab/>
      </w:r>
      <w:r>
        <w:t xml:space="preserve">Marco Teórico</w:t>
      </w:r>
    </w:p>
    <w:p>
      <w:pPr>
        <w:pStyle w:val="FirstParagraph"/>
      </w:pPr>
      <w:r>
        <w:t xml:space="preserve">Esta sección desarrolla un marco estilizado basado en tareas que organiza las predicciones empíricas y aclara por qué la respuesta del mercado laboral a los LLM en América Latina es ex ante ambigua. El marco adapta a</w:t>
      </w:r>
      <w:r>
        <w:t xml:space="preserve"> </w:t>
      </w:r>
      <w:r>
        <w:t xml:space="preserve">Acemoglu and Autor (2011)</w:t>
      </w:r>
      <w:r>
        <w:t xml:space="preserve"> </w:t>
      </w:r>
      <w:r>
        <w:t xml:space="preserve">y</w:t>
      </w:r>
      <w:r>
        <w:t xml:space="preserve"> </w:t>
      </w:r>
      <w:r>
        <w:t xml:space="preserve">Acemoglu and Restrepo (2018, 2022)</w:t>
      </w:r>
      <w:r>
        <w:t xml:space="preserve"> </w:t>
      </w:r>
      <w:r>
        <w:t xml:space="preserve">al caso de una tecnología de propósito general que reconfigura principalmente tareas cognitivas no rutinarias. El modelo es deliberadamente compacto: su función es disciplinar la especificación empírica, no entregar una calibración cuantitativa.</w:t>
      </w:r>
    </w:p>
    <w:bookmarkStart w:id="22" w:name="subsec:theory_tasks"/>
    <w:p>
      <w:pPr>
        <w:pStyle w:val="Heading2"/>
      </w:pPr>
      <w:r>
        <w:rPr>
          <w:rStyle w:val="SectionNumber"/>
        </w:rPr>
        <w:t xml:space="preserve">3.1</w:t>
      </w:r>
      <w:r>
        <w:tab/>
      </w:r>
      <w:r>
        <w:t xml:space="preserve">Producción basada en tareas</w:t>
      </w:r>
    </w:p>
    <w:p>
      <w:pPr>
        <w:pStyle w:val="FirstParagraph"/>
      </w:pPr>
      <w:r>
        <w:t xml:space="preserve">El producto final en la ocupación</w:t>
      </w:r>
      <w:r>
        <w:t xml:space="preserve"> </w:t>
      </w:r>
      <m:oMath>
        <m:r>
          <m:t>o</m:t>
        </m:r>
      </m:oMath>
      <w:r>
        <w:t xml:space="preserve"> </w:t>
      </w:r>
      <w:r>
        <w:t xml:space="preserve">se obtiene combinando un continuo de tareas</w:t>
      </w:r>
      <w:r>
        <w:t xml:space="preserve"> </w:t>
      </w:r>
      <m:oMath>
        <m:r>
          <m:t>j</m:t>
        </m:r>
        <m:r>
          <m:rPr>
            <m:sty m:val="p"/>
          </m:rPr>
          <m:t>∈</m:t>
        </m:r>
        <m:r>
          <m:rPr>
            <m:sty m:val="p"/>
          </m:rPr>
          <m:t>[</m:t>
        </m:r>
        <m:r>
          <m:t>0</m:t>
        </m:r>
        <m:r>
          <m:rPr>
            <m:sty m:val="p"/>
          </m:rPr>
          <m:t>,</m:t>
        </m:r>
        <m:r>
          <m:t>N</m:t>
        </m:r>
        <m:r>
          <m:rPr>
            <m:sty m:val="p"/>
          </m:rPr>
          <m:t>]</m:t>
        </m:r>
      </m:oMath>
      <w:r>
        <w:t xml:space="preserve">. Cada tarea es realizada por trabajo humano o por capital, donde el capital incluye la automatización tradicional y, a partir de 2022, software construido sobre LLM. Las ocupaciones son paquetes de tareas: la ocupación</w:t>
      </w:r>
      <w:r>
        <w:t xml:space="preserve"> </w:t>
      </w:r>
      <m:oMath>
        <m:r>
          <m:t>o</m:t>
        </m:r>
      </m:oMath>
      <w:r>
        <w:t xml:space="preserve"> </w:t>
      </w:r>
      <w:r>
        <w:t xml:space="preserve">se caracteriza por un vector fijo de participaciones</w:t>
      </w:r>
      <w:r>
        <w:t xml:space="preserve"> </w:t>
      </w:r>
      <m:oMath>
        <m:r>
          <m:rPr>
            <m:sty m:val="p"/>
          </m:rPr>
          <m:t>{</m:t>
        </m:r>
        <m:sSub>
          <m:e>
            <m:r>
              <m:t>s</m:t>
            </m:r>
          </m:e>
          <m:sub>
            <m:r>
              <m:t>o</m:t>
            </m:r>
            <m:r>
              <m:t>j</m:t>
            </m:r>
          </m:sub>
        </m:sSub>
        <m:sSub>
          <m:e>
            <m:r>
              <m:rPr>
                <m:sty m:val="p"/>
              </m:rPr>
              <m:t>}</m:t>
            </m:r>
          </m:e>
          <m:sub>
            <m:r>
              <m:t>j</m:t>
            </m:r>
            <m:r>
              <m:rPr>
                <m:sty m:val="p"/>
              </m:rPr>
              <m:t>∈</m:t>
            </m:r>
            <m:r>
              <m:rPr>
                <m:sty m:val="p"/>
              </m:rPr>
              <m:t>[</m:t>
            </m:r>
            <m:r>
              <m:t>0</m:t>
            </m:r>
            <m:r>
              <m:rPr>
                <m:sty m:val="p"/>
              </m:rPr>
              <m:t>,</m:t>
            </m:r>
            <m:r>
              <m:t>N</m:t>
            </m:r>
            <m:r>
              <m:rPr>
                <m:sty m:val="p"/>
              </m:rPr>
              <m:t>]</m:t>
            </m:r>
          </m:sub>
        </m:sSub>
      </m:oMath>
      <w:r>
        <w:t xml:space="preserve"> </w:t>
      </w:r>
      <w:r>
        <w:t xml:space="preserve">con</w:t>
      </w:r>
      <w:r>
        <w:t xml:space="preserve"> </w:t>
      </w:r>
      <m:oMath>
        <m:nary>
          <m:naryPr>
            <m:chr m:val="∑"/>
            <m:limLoc m:val="undOvr"/>
            <m:subHide m:val="off"/>
            <m:supHide m:val="on"/>
          </m:naryPr>
          <m:sub>
            <m:r>
              <m:t>j</m:t>
            </m:r>
          </m:sub>
          <m:sup>
            <m:r>
              <m:t>​</m:t>
            </m:r>
          </m:sup>
          <m:e>
            <m:sSub>
              <m:e>
                <m:r>
                  <m:t>s</m:t>
                </m:r>
              </m:e>
              <m:sub>
                <m:r>
                  <m:t>o</m:t>
                </m:r>
                <m:r>
                  <m:t>j</m:t>
                </m:r>
              </m:sub>
            </m:sSub>
          </m:e>
        </m:nary>
        <m:r>
          <m:rPr>
            <m:sty m:val="p"/>
          </m:rPr>
          <m:t>=</m:t>
        </m:r>
        <m:r>
          <m:t>1</m:t>
        </m:r>
      </m:oMath>
      <w:r>
        <w:t xml:space="preserve">, donde</w:t>
      </w:r>
      <w:r>
        <w:t xml:space="preserve"> </w:t>
      </w:r>
      <m:oMath>
        <m:sSub>
          <m:e>
            <m:r>
              <m:t>s</m:t>
            </m:r>
          </m:e>
          <m:sub>
            <m:r>
              <m:t>o</m:t>
            </m:r>
            <m:r>
              <m:t>j</m:t>
            </m:r>
          </m:sub>
        </m:sSub>
      </m:oMath>
      <w:r>
        <w:t xml:space="preserve"> </w:t>
      </w:r>
      <w:r>
        <w:t xml:space="preserve">es la participación del producto de la ocupación</w:t>
      </w:r>
      <w:r>
        <w:t xml:space="preserve"> </w:t>
      </w:r>
      <m:oMath>
        <m:r>
          <m:t>o</m:t>
        </m:r>
      </m:oMath>
      <w:r>
        <w:t xml:space="preserve"> </w:t>
      </w:r>
      <w:r>
        <w:t xml:space="preserve">generado por la tarea</w:t>
      </w:r>
      <w:r>
        <w:t xml:space="preserve"> </w:t>
      </w:r>
      <m:oMath>
        <m:r>
          <m:t>j</m:t>
        </m:r>
      </m:oMath>
      <w:r>
        <w:t xml:space="preserve">. La tecnología que define a una ocupación se toma como fija en el corto plazo; la reasignación entre ocupaciones es regida por la demanda laboral.</w:t>
      </w:r>
    </w:p>
    <w:p>
      <w:pPr>
        <w:pStyle w:val="BodyText"/>
      </w:pPr>
      <w:r>
        <w:t xml:space="preserve">El salario en la ocupación</w:t>
      </w:r>
      <w:r>
        <w:t xml:space="preserve"> </w:t>
      </w:r>
      <m:oMath>
        <m:r>
          <m:t>o</m:t>
        </m:r>
      </m:oMath>
      <w:r>
        <w:t xml:space="preserve"> </w:t>
      </w:r>
      <w:r>
        <w:t xml:space="preserve">es la suma de la remuneración específica por tarea:</w:t>
      </w:r>
    </w:p>
    <w:p>
      <w:pPr>
        <w:pStyle w:val="BodyText"/>
      </w:pPr>
      <m:oMathPara>
        <m:oMathParaPr>
          <m:jc m:val="center"/>
        </m:oMathParaPr>
        <m:oMath>
          <m:sSub>
            <m:e>
              <m:r>
                <m:t>w</m:t>
              </m:r>
            </m:e>
            <m:sub>
              <m:r>
                <m:t>o</m:t>
              </m:r>
            </m:sub>
          </m:sSub>
          <m:r>
            <m:t> </m:t>
          </m:r>
          <m:r>
            <m:rPr>
              <m:sty m:val="p"/>
            </m:rPr>
            <m:t>=</m:t>
          </m:r>
          <m:r>
            <m:t> </m:t>
          </m:r>
          <m:nary>
            <m:naryPr>
              <m:chr m:val="∑"/>
              <m:limLoc m:val="undOvr"/>
              <m:subHide m:val="off"/>
              <m:supHide m:val="on"/>
            </m:naryPr>
            <m:sub>
              <m:r>
                <m:t>j</m:t>
              </m:r>
            </m:sub>
            <m:sup>
              <m:r>
                <m:t>​</m:t>
              </m:r>
            </m:sup>
            <m:e>
              <m:sSub>
                <m:e>
                  <m:r>
                    <m:t>s</m:t>
                  </m:r>
                </m:e>
                <m:sub>
                  <m:r>
                    <m:t>o</m:t>
                  </m:r>
                  <m:r>
                    <m:t>j</m:t>
                  </m:r>
                </m:sub>
              </m:sSub>
            </m:e>
          </m:nary>
          <m:r>
            <m:rPr>
              <m:sty m:val="p"/>
            </m:rPr>
            <m:t>⋅</m:t>
          </m:r>
          <m:sSub>
            <m:e>
              <m:r>
                <m:t>p</m:t>
              </m:r>
            </m:e>
            <m:sub>
              <m:r>
                <m:t>j</m:t>
              </m:r>
            </m:sub>
          </m:sSub>
          <m:r>
            <m:rPr>
              <m:sty m:val="p"/>
            </m:rPr>
            <m:t>,</m:t>
          </m:r>
        </m:oMath>
      </m:oMathPara>
    </w:p>
    <w:p>
      <w:pPr>
        <w:pStyle w:val="FirstParagraph"/>
      </w:pPr>
      <w:r>
        <w:t xml:space="preserve">donde</w:t>
      </w:r>
      <w:r>
        <w:t xml:space="preserve"> </w:t>
      </w:r>
      <m:oMath>
        <m:sSub>
          <m:e>
            <m:r>
              <m:t>p</m:t>
            </m:r>
          </m:e>
          <m:sub>
            <m:r>
              <m:t>j</m:t>
            </m:r>
          </m:sub>
        </m:sSub>
      </m:oMath>
      <w:r>
        <w:t xml:space="preserve"> </w:t>
      </w:r>
      <w:r>
        <w:t xml:space="preserve">es el precio de equilibrio de la tarea</w:t>
      </w:r>
      <w:r>
        <w:t xml:space="preserve"> </w:t>
      </w:r>
      <m:oMath>
        <m:r>
          <m:t>j</m:t>
        </m:r>
      </m:oMath>
      <w:r>
        <w:t xml:space="preserve">. Antes de los LLM,</w:t>
      </w:r>
      <w:r>
        <w:t xml:space="preserve"> </w:t>
      </w:r>
      <m:oMath>
        <m:sSub>
          <m:e>
            <m:r>
              <m:t>p</m:t>
            </m:r>
          </m:e>
          <m:sub>
            <m:r>
              <m:t>j</m:t>
            </m:r>
          </m:sub>
        </m:sSub>
      </m:oMath>
      <w:r>
        <w:t xml:space="preserve"> </w:t>
      </w:r>
      <w:r>
        <w:t xml:space="preserve">depende de la productividad del trabajo humano en la tarea</w:t>
      </w:r>
      <w:r>
        <w:t xml:space="preserve"> </w:t>
      </w:r>
      <m:oMath>
        <m:r>
          <m:t>j</m:t>
        </m:r>
      </m:oMath>
      <w:r>
        <w:t xml:space="preserve"> </w:t>
      </w:r>
      <w:r>
        <w:t xml:space="preserve">y de la demanda local por bienes que usan intensivamente la tarea</w:t>
      </w:r>
      <w:r>
        <w:t xml:space="preserve"> </w:t>
      </w:r>
      <m:oMath>
        <m:r>
          <m:t>j</m:t>
        </m:r>
      </m:oMath>
      <w:r>
        <w:t xml:space="preserve">. El marco sigue a</w:t>
      </w:r>
      <w:r>
        <w:t xml:space="preserve"> </w:t>
      </w:r>
      <w:r>
        <w:t xml:space="preserve">Autor et al. (2003)</w:t>
      </w:r>
      <w:r>
        <w:t xml:space="preserve"> </w:t>
      </w:r>
      <w:r>
        <w:t xml:space="preserve">al tratar la distinción entre tareas rutinarias y no rutinarias como el eje relevante para olas previas de automatización, y sigue a</w:t>
      </w:r>
      <w:r>
        <w:t xml:space="preserve"> </w:t>
      </w:r>
      <w:r>
        <w:t xml:space="preserve">Acemoglu and Autor (2011)</w:t>
      </w:r>
      <w:r>
        <w:t xml:space="preserve"> </w:t>
      </w:r>
      <w:r>
        <w:t xml:space="preserve">al permitir que el capital sustituya al trabajo en cualquier tarea para la que exista una tecnología suficientemente productiva.</w:t>
      </w:r>
    </w:p>
    <w:bookmarkEnd w:id="22"/>
    <w:bookmarkStart w:id="23" w:name="subsec:theory_llm"/>
    <w:p>
      <w:pPr>
        <w:pStyle w:val="Heading2"/>
      </w:pPr>
      <w:r>
        <w:rPr>
          <w:rStyle w:val="SectionNumber"/>
        </w:rPr>
        <w:t xml:space="preserve">3.2</w:t>
      </w:r>
      <w:r>
        <w:tab/>
      </w:r>
      <w:r>
        <w:t xml:space="preserve">Los LLM como una nueva tecnología</w:t>
      </w:r>
    </w:p>
    <w:p>
      <w:pPr>
        <w:pStyle w:val="FirstParagraph"/>
      </w:pPr>
      <w:r>
        <w:t xml:space="preserve">El lanzamiento de ChatGPT en noviembre de 2022 marca la fecha en la que un subconjunto de tareas</w:t>
      </w:r>
      <w:r>
        <w:t xml:space="preserve"> </w:t>
      </w:r>
      <m:oMath>
        <m:sSup>
          <m:e>
            <m:r>
              <m:t>J</m:t>
            </m:r>
          </m:e>
          <m:sup>
            <m:r>
              <m:rPr>
                <m:nor/>
                <m:sty m:val="p"/>
              </m:rPr>
              <m:t>LLM</m:t>
            </m:r>
          </m:sup>
        </m:sSup>
        <m:r>
          <m:rPr>
            <m:sty m:val="p"/>
          </m:rPr>
          <m:t>⊂</m:t>
        </m:r>
        <m:r>
          <m:rPr>
            <m:sty m:val="p"/>
          </m:rPr>
          <m:t>[</m:t>
        </m:r>
        <m:r>
          <m:t>0</m:t>
        </m:r>
        <m:r>
          <m:rPr>
            <m:sty m:val="p"/>
          </m:rPr>
          <m:t>,</m:t>
        </m:r>
        <m:r>
          <m:t>N</m:t>
        </m:r>
        <m:r>
          <m:rPr>
            <m:sty m:val="p"/>
          </m:rPr>
          <m:t>]</m:t>
        </m:r>
      </m:oMath>
      <w:r>
        <w:t xml:space="preserve"> </w:t>
      </w:r>
      <w:r>
        <w:t xml:space="preserve">pasa a ser realizable por software construido sobre LLM. El puntaje de exposición complementaria de Eloundou et al. es la participación de las tareas de la ocupación</w:t>
      </w:r>
      <w:r>
        <w:t xml:space="preserve"> </w:t>
      </w:r>
      <m:oMath>
        <m:r>
          <m:t>o</m:t>
        </m:r>
      </m:oMath>
      <w:r>
        <w:t xml:space="preserve"> </w:t>
      </w:r>
      <w:r>
        <w:t xml:space="preserve">que caen en este subconjunto:</w:t>
      </w:r>
    </w:p>
    <w:p>
      <w:pPr>
        <w:pStyle w:val="BodyText"/>
      </w:pPr>
      <m:oMathPara>
        <m:oMathParaPr>
          <m:jc m:val="center"/>
        </m:oMathParaPr>
        <m:oMath>
          <m:sSub>
            <m:e>
              <m:r>
                <m:t>β</m:t>
              </m:r>
            </m:e>
            <m:sub>
              <m:r>
                <m:t>o</m:t>
              </m:r>
            </m:sub>
          </m:sSub>
          <m:r>
            <m:t> </m:t>
          </m:r>
          <m:r>
            <m:rPr>
              <m:sty m:val="p"/>
            </m:rPr>
            <m:t>≡</m:t>
          </m:r>
          <m:r>
            <m:t> </m:t>
          </m:r>
          <m:nary>
            <m:naryPr>
              <m:chr m:val="∑"/>
              <m:limLoc m:val="undOvr"/>
              <m:subHide m:val="off"/>
              <m:supHide m:val="on"/>
            </m:naryPr>
            <m:sub>
              <m:r>
                <m:t>j</m:t>
              </m:r>
              <m:r>
                <m:rPr>
                  <m:sty m:val="p"/>
                </m:rPr>
                <m:t>∈</m:t>
              </m:r>
              <m:sSup>
                <m:e>
                  <m:r>
                    <m:t>J</m:t>
                  </m:r>
                </m:e>
                <m:sup>
                  <m:r>
                    <m:rPr>
                      <m:nor/>
                      <m:sty m:val="p"/>
                    </m:rPr>
                    <m:t>LLM</m:t>
                  </m:r>
                </m:sup>
              </m:sSup>
            </m:sub>
            <m:sup>
              <m:r>
                <m:t>​</m:t>
              </m:r>
            </m:sup>
            <m:e>
              <m:sSub>
                <m:e>
                  <m:r>
                    <m:t>s</m:t>
                  </m:r>
                </m:e>
                <m:sub>
                  <m:r>
                    <m:t>o</m:t>
                  </m:r>
                  <m:r>
                    <m:t>j</m:t>
                  </m:r>
                </m:sub>
              </m:sSub>
            </m:e>
          </m:nary>
          <m:r>
            <m:rPr>
              <m:sty m:val="p"/>
            </m:rPr>
            <m:t>.</m:t>
          </m:r>
        </m:oMath>
      </m:oMathPara>
    </w:p>
    <w:p>
      <w:pPr>
        <w:pStyle w:val="FirstParagraph"/>
      </w:pPr>
      <w:r>
        <w:t xml:space="preserve">El puntaje</w:t>
      </w:r>
      <w:r>
        <w:t xml:space="preserve"> </w:t>
      </w:r>
      <m:oMath>
        <m:sSub>
          <m:e>
            <m:r>
              <m:t>β</m:t>
            </m:r>
          </m:e>
          <m:sub>
            <m:r>
              <m:t>o</m:t>
            </m:r>
          </m:sub>
        </m:sSub>
      </m:oMath>
      <w:r>
        <w:t xml:space="preserve"> </w:t>
      </w:r>
      <w:r>
        <w:t xml:space="preserve">mide la participación de las tareas de una ocupación en las que al menos el 50 por ciento del tiempo requerido puede reducirse mediante software</w:t>
      </w:r>
      <w:r>
        <w:t xml:space="preserve"> </w:t>
      </w:r>
      <w:r>
        <w:rPr>
          <w:i/>
          <w:iCs/>
        </w:rPr>
        <w:t xml:space="preserve">construido sobre LLM</w:t>
      </w:r>
      <w:r>
        <w:t xml:space="preserve">, en contraste con la sustitución directa por LLM (</w:t>
      </w:r>
      <m:oMath>
        <m:sSub>
          <m:e>
            <m:r>
              <m:t>α</m:t>
            </m:r>
          </m:e>
          <m:sub>
            <m:r>
              <m:t>o</m:t>
            </m:r>
          </m:sub>
        </m:sSub>
      </m:oMath>
      <w:r>
        <w:t xml:space="preserve">) o la suma cota superior (</w:t>
      </w:r>
      <m:oMath>
        <m:sSub>
          <m:e>
            <m:r>
              <m:t>ζ</m:t>
            </m:r>
          </m:e>
          <m:sub>
            <m:r>
              <m:t>o</m:t>
            </m:r>
          </m:sub>
        </m:sSub>
        <m:r>
          <m:rPr>
            <m:sty m:val="p"/>
          </m:rPr>
          <m:t>=</m:t>
        </m:r>
        <m:sSub>
          <m:e>
            <m:r>
              <m:t>α</m:t>
            </m:r>
          </m:e>
          <m:sub>
            <m:r>
              <m:t>o</m:t>
            </m:r>
          </m:sub>
        </m:sSub>
        <m:r>
          <m:rPr>
            <m:sty m:val="p"/>
          </m:rPr>
          <m:t>+</m:t>
        </m:r>
        <m:sSub>
          <m:e>
            <m:r>
              <m:t>β</m:t>
            </m:r>
          </m:e>
          <m:sub>
            <m:r>
              <m:t>o</m:t>
            </m:r>
          </m:sub>
        </m:sSub>
      </m:oMath>
      <w:r>
        <w:t xml:space="preserve">); véase</w:t>
      </w:r>
      <w:r>
        <w:t xml:space="preserve"> </w:t>
      </w:r>
      <w:r>
        <w:t xml:space="preserve">Eloundou et al. (2024)</w:t>
      </w:r>
      <w:r>
        <w:t xml:space="preserve">. La elección de</w:t>
      </w:r>
      <w:r>
        <w:t xml:space="preserve"> </w:t>
      </w:r>
      <m:oMath>
        <m:r>
          <m:t>β</m:t>
        </m:r>
      </m:oMath>
      <w:r>
        <w:t xml:space="preserve"> </w:t>
      </w:r>
      <w:r>
        <w:t xml:space="preserve">y no de</w:t>
      </w:r>
      <w:r>
        <w:t xml:space="preserve"> </w:t>
      </w:r>
      <m:oMath>
        <m:r>
          <m:t>ζ</m:t>
        </m:r>
      </m:oMath>
      <w:r>
        <w:t xml:space="preserve"> </w:t>
      </w:r>
      <w:r>
        <w:t xml:space="preserve">está motivada teóricamente para el contexto de ALC: la interacción directa con interfaces de chat sigue siendo modesta, pero el software de terceros con capacidad LLM incorporada (plataformas de relación con clientes, herramientas de contabilidad, chatbots de atención al cliente, asistentes de código) es el canal de difusión principal a través de las firmas multinacionales que operan en la región.</w:t>
      </w:r>
    </w:p>
    <w:p>
      <w:pPr>
        <w:pStyle w:val="BodyText"/>
      </w:pPr>
      <w:r>
        <w:t xml:space="preserve">La llegada de los LLM tiene dos efectos opuestos sobre el salario en las ocupaciones expuestas. El</w:t>
      </w:r>
      <w:r>
        <w:t xml:space="preserve"> </w:t>
      </w:r>
      <w:r>
        <w:rPr>
          <w:i/>
          <w:iCs/>
        </w:rPr>
        <w:t xml:space="preserve">efecto desplazamiento</w:t>
      </w:r>
      <w:r>
        <w:t xml:space="preserve"> </w:t>
      </w:r>
      <w:r>
        <w:t xml:space="preserve">(</w:t>
      </w:r>
      <m:oMath>
        <m:sSub>
          <m:e>
            <m:r>
              <m:t>τ</m:t>
            </m:r>
          </m:e>
          <m:sub>
            <m:r>
              <m:t>d</m:t>
            </m:r>
          </m:sub>
        </m:sSub>
        <m:r>
          <m:rPr>
            <m:sty m:val="p"/>
          </m:rPr>
          <m:t>&gt;</m:t>
        </m:r>
        <m:r>
          <m:t>0</m:t>
        </m:r>
      </m:oMath>
      <w:r>
        <w:t xml:space="preserve">) opera porque las firmas ahora producen las tareas</w:t>
      </w:r>
      <w:r>
        <w:t xml:space="preserve"> </w:t>
      </w:r>
      <m:oMath>
        <m:r>
          <m:t>j</m:t>
        </m:r>
        <m:r>
          <m:rPr>
            <m:sty m:val="p"/>
          </m:rPr>
          <m:t>∈</m:t>
        </m:r>
        <m:sSup>
          <m:e>
            <m:r>
              <m:t>J</m:t>
            </m:r>
          </m:e>
          <m:sup>
            <m:r>
              <m:rPr>
                <m:nor/>
                <m:sty m:val="p"/>
              </m:rPr>
              <m:t>LLM</m:t>
            </m:r>
          </m:sup>
        </m:sSup>
      </m:oMath>
      <w:r>
        <w:t xml:space="preserve"> </w:t>
      </w:r>
      <w:r>
        <w:t xml:space="preserve">a menor costo usando software, reduciendo la demanda laboral en las ocupaciones correspondientes. La magnitud escala con</w:t>
      </w:r>
      <w:r>
        <w:t xml:space="preserve"> </w:t>
      </w:r>
      <m:oMath>
        <m:sSub>
          <m:e>
            <m:r>
              <m:t>β</m:t>
            </m:r>
          </m:e>
          <m:sub>
            <m:r>
              <m:t>o</m:t>
            </m:r>
          </m:sub>
        </m:sSub>
      </m:oMath>
      <w:r>
        <w:t xml:space="preserve">: las ocupaciones con mayor participación de tareas automatizables enfrentan un desplazamiento más fuerte. El</w:t>
      </w:r>
      <w:r>
        <w:t xml:space="preserve"> </w:t>
      </w:r>
      <w:r>
        <w:rPr>
          <w:i/>
          <w:iCs/>
        </w:rPr>
        <w:t xml:space="preserve">efecto reposición</w:t>
      </w:r>
      <w:r>
        <w:t xml:space="preserve"> </w:t>
      </w:r>
      <w:r>
        <w:t xml:space="preserve">(</w:t>
      </w:r>
      <m:oMath>
        <m:sSub>
          <m:e>
            <m:r>
              <m:t>τ</m:t>
            </m:r>
          </m:e>
          <m:sub>
            <m:r>
              <m:t>r</m:t>
            </m:r>
          </m:sub>
        </m:sSub>
        <m:r>
          <m:rPr>
            <m:sty m:val="p"/>
          </m:rPr>
          <m:t>&gt;</m:t>
        </m:r>
        <m:r>
          <m:t>0</m:t>
        </m:r>
      </m:oMath>
      <w:r>
        <w:t xml:space="preserve">) opera porque las firmas crean nuevas tareas complementarias a la tecnología: diseño de prompts, verificación de salidas, supervisión, integración con flujos de trabajo existentes. Estas tareas son realizadas por humanos junto al software y elevan la productividad del trabajo en las ocupaciones expuestas.</w:t>
      </w:r>
    </w:p>
    <w:p>
      <w:pPr>
        <w:pStyle w:val="BodyText"/>
      </w:pPr>
      <w:r>
        <w:t xml:space="preserve">La respuesta salarial neta es la diferencia de los dos canales, escalada por la exposición:</w:t>
      </w:r>
    </w:p>
    <w:p>
      <w:pPr>
        <w:pStyle w:val="BodyText"/>
      </w:pPr>
      <m:oMathPara>
        <m:oMathParaPr>
          <m:jc m:val="center"/>
        </m:oMathParaPr>
        <m:oMath>
          <m:r>
            <m:rPr>
              <m:sty m:val="p"/>
            </m:rPr>
            <m:t>Δ</m:t>
          </m:r>
          <m:sSub>
            <m:e>
              <m:r>
                <m:t>w</m:t>
              </m:r>
            </m:e>
            <m:sub>
              <m:r>
                <m:t>o</m:t>
              </m:r>
            </m:sub>
          </m:sSub>
          <m:r>
            <m:t> </m:t>
          </m:r>
          <m:r>
            <m:rPr>
              <m:sty m:val="p"/>
            </m:rPr>
            <m:t>=</m:t>
          </m:r>
          <m:r>
            <m:t> </m:t>
          </m:r>
          <m:d>
            <m:dPr>
              <m:begChr m:val="("/>
              <m:sepChr m:val=""/>
              <m:endChr m:val=")"/>
              <m:grow/>
            </m:dPr>
            <m:e>
              <m:sSub>
                <m:e>
                  <m:r>
                    <m:t>τ</m:t>
                  </m:r>
                </m:e>
                <m:sub>
                  <m:r>
                    <m:t>r</m:t>
                  </m:r>
                </m:sub>
              </m:sSub>
              <m:r>
                <m:rPr>
                  <m:sty m:val="p"/>
                </m:rPr>
                <m:t>−</m:t>
              </m:r>
              <m:sSub>
                <m:e>
                  <m:r>
                    <m:t>τ</m:t>
                  </m:r>
                </m:e>
                <m:sub>
                  <m:r>
                    <m:t>d</m:t>
                  </m:r>
                </m:sub>
              </m:sSub>
            </m:e>
          </m:d>
          <m:r>
            <m:rPr>
              <m:sty m:val="p"/>
            </m:rPr>
            <m:t>⋅</m:t>
          </m:r>
          <m:sSub>
            <m:e>
              <m:r>
                <m:t>β</m:t>
              </m:r>
            </m:e>
            <m:sub>
              <m:r>
                <m:t>o</m:t>
              </m:r>
            </m:sub>
          </m:sSub>
          <m:r>
            <m:rPr>
              <m:sty m:val="p"/>
            </m:rPr>
            <m:t>.</m:t>
          </m:r>
        </m:oMath>
      </m:oMathPara>
    </w:p>
    <w:p>
      <w:pPr>
        <w:pStyle w:val="FirstParagraph"/>
      </w:pPr>
      <w:r>
        <w:t xml:space="preserve">El signo y la magnitud de</w:t>
      </w:r>
      <w:r>
        <w:t xml:space="preserve"> </w:t>
      </w:r>
      <m:oMath>
        <m:sSub>
          <m:e>
            <m:r>
              <m:t>τ</m:t>
            </m:r>
          </m:e>
          <m:sub>
            <m:r>
              <m:t>r</m:t>
            </m:r>
          </m:sub>
        </m:sSub>
        <m:r>
          <m:rPr>
            <m:sty m:val="p"/>
          </m:rPr>
          <m:t>−</m:t>
        </m:r>
        <m:sSub>
          <m:e>
            <m:r>
              <m:t>τ</m:t>
            </m:r>
          </m:e>
          <m:sub>
            <m:r>
              <m:t>d</m:t>
            </m:r>
          </m:sub>
        </m:sSub>
      </m:oMath>
      <w:r>
        <w:t xml:space="preserve"> </w:t>
      </w:r>
      <w:r>
        <w:t xml:space="preserve">son objetos empíricos, no predicciones teóricas. El marco solo fija la forma entre ocupaciones: la respuesta es proporcional a</w:t>
      </w:r>
      <w:r>
        <w:t xml:space="preserve"> </w:t>
      </w:r>
      <m:oMath>
        <m:sSub>
          <m:e>
            <m:r>
              <m:t>β</m:t>
            </m:r>
          </m:e>
          <m:sub>
            <m:r>
              <m:t>o</m:t>
            </m:r>
          </m:sub>
        </m:sSub>
      </m:oMath>
      <w:r>
        <w:t xml:space="preserve"> </w:t>
      </w:r>
      <w:r>
        <w:t xml:space="preserve">en valor absoluto, y las ocupaciones de alta exposición se mueven más (en cualquier dirección) que las de baja exposición.</w:t>
      </w:r>
    </w:p>
    <w:bookmarkEnd w:id="23"/>
    <w:bookmarkStart w:id="24" w:name="subsec:theory_formality"/>
    <w:p>
      <w:pPr>
        <w:pStyle w:val="Heading2"/>
      </w:pPr>
      <w:r>
        <w:rPr>
          <w:rStyle w:val="SectionNumber"/>
        </w:rPr>
        <w:t xml:space="preserve">3.3</w:t>
      </w:r>
      <w:r>
        <w:tab/>
      </w:r>
      <w:r>
        <w:t xml:space="preserve">Adopción heterogénea: el canal de la formalidad</w:t>
      </w:r>
    </w:p>
    <w:p>
      <w:pPr>
        <w:pStyle w:val="FirstParagraph"/>
      </w:pPr>
      <w:r>
        <w:t xml:space="preserve">La adopción de software aumentado con LLM no es gratuita a nivel de la firma. Las cuotas de suscripción, la integración con sistemas existentes, la capacitación de los trabajadores y el soporte de TI requieren inversión de costo fijo. Las firmas con débil acceso al crédito, baja capitalización y escasa capacidad gerencial enfrentan costos de adopción prohibitivos. En América Latina, esta heterogeneidad se mapea estrechamente sobre la división formal-informal: las firmas formales son más grandes, están más capitalizadas y tienen mayor probabilidad de operar en sectores donde el software aumentado con LLM ya está comercializado; las firmas informales son más pequeñas, restringidas en efectivo y operan con frecuencia fuera de la infraestructura digital requerida para desplegar estas herramientas.</w:t>
      </w:r>
    </w:p>
    <w:p>
      <w:pPr>
        <w:pStyle w:val="BodyText"/>
      </w:pPr>
      <w:r>
        <w:t xml:space="preserve">El marco predice, por tanto, efectos asimétricos de corto plazo a través de la división formal-informal. Dentro del sector formal operan ambos canales:</w:t>
      </w:r>
      <w:r>
        <w:t xml:space="preserve"> </w:t>
      </w:r>
      <m:oMath>
        <m:sSubSup>
          <m:e>
            <m:r>
              <m:t>τ</m:t>
            </m:r>
          </m:e>
          <m:sub>
            <m:r>
              <m:t>d</m:t>
            </m:r>
          </m:sub>
          <m:sup>
            <m:r>
              <m:t>F</m:t>
            </m:r>
          </m:sup>
        </m:sSubSup>
        <m:r>
          <m:rPr>
            <m:sty m:val="p"/>
          </m:rPr>
          <m:t>&gt;</m:t>
        </m:r>
        <m:r>
          <m:t>0</m:t>
        </m:r>
      </m:oMath>
      <w:r>
        <w:t xml:space="preserve"> </w:t>
      </w:r>
      <w:r>
        <w:t xml:space="preserve">genera desplazamiento parcial y</w:t>
      </w:r>
      <w:r>
        <w:t xml:space="preserve"> </w:t>
      </w:r>
      <m:oMath>
        <m:sSubSup>
          <m:e>
            <m:r>
              <m:t>τ</m:t>
            </m:r>
          </m:e>
          <m:sub>
            <m:r>
              <m:t>r</m:t>
            </m:r>
          </m:sub>
          <m:sup>
            <m:r>
              <m:t>F</m:t>
            </m:r>
          </m:sup>
        </m:sSubSup>
        <m:r>
          <m:rPr>
            <m:sty m:val="p"/>
          </m:rPr>
          <m:t>&gt;</m:t>
        </m:r>
        <m:r>
          <m:t>0</m:t>
        </m:r>
      </m:oMath>
      <w:r>
        <w:t xml:space="preserve"> </w:t>
      </w:r>
      <w:r>
        <w:t xml:space="preserve">genera creación de tareas complementarias, con magnitudes relativas que pueden favorecer a los trabajadores con educación terciaria capaces de realizar las nuevas tareas de supervisión. Dentro del sector informal, la adopción directa es cercana a cero en el corto plazo, de modo que</w:t>
      </w:r>
      <w:r>
        <w:t xml:space="preserve"> </w:t>
      </w:r>
      <m:oMath>
        <m:sSubSup>
          <m:e>
            <m:r>
              <m:t>τ</m:t>
            </m:r>
          </m:e>
          <m:sub>
            <m:r>
              <m:t>d</m:t>
            </m:r>
          </m:sub>
          <m:sup>
            <m:r>
              <m:t>I</m:t>
            </m:r>
          </m:sup>
        </m:sSubSup>
        <m:r>
          <m:rPr>
            <m:sty m:val="p"/>
          </m:rPr>
          <m:t>≈</m:t>
        </m:r>
        <m:r>
          <m:t>0</m:t>
        </m:r>
      </m:oMath>
      <w:r>
        <w:t xml:space="preserve"> </w:t>
      </w:r>
      <w:r>
        <w:t xml:space="preserve">y</w:t>
      </w:r>
      <w:r>
        <w:t xml:space="preserve"> </w:t>
      </w:r>
      <m:oMath>
        <m:sSubSup>
          <m:e>
            <m:r>
              <m:t>τ</m:t>
            </m:r>
          </m:e>
          <m:sub>
            <m:r>
              <m:t>r</m:t>
            </m:r>
          </m:sub>
          <m:sup>
            <m:r>
              <m:t>I</m:t>
            </m:r>
          </m:sup>
        </m:sSubSup>
        <m:r>
          <m:rPr>
            <m:sty m:val="p"/>
          </m:rPr>
          <m:t>≈</m:t>
        </m:r>
        <m:r>
          <m:t>0</m:t>
        </m:r>
      </m:oMath>
      <w:r>
        <w:t xml:space="preserve"> </w:t>
      </w:r>
      <w:r>
        <w:t xml:space="preserve">en el sentido de equilibrio parcial. Los trabajadores informales pueden, no obstante, verse afectados indirectamente: las firmas formales que adoptan la tecnología se vuelven más productivas y pueden capturar cuota de mercado a expensas de competidores informales, generando un desplazamiento indirecto por el lado de la demanda sobre el empleo informal cuyo signo es difícil de fijar a priori.</w:t>
      </w:r>
    </w:p>
    <w:p>
      <w:pPr>
        <w:pStyle w:val="BodyText"/>
      </w:pPr>
      <w:r>
        <w:t xml:space="preserve">La comparación neta es:</w:t>
      </w:r>
    </w:p>
    <w:p>
      <w:pPr>
        <w:pStyle w:val="BodyText"/>
      </w:pPr>
      <m:oMathPara>
        <m:oMathParaPr>
          <m:jc m:val="center"/>
        </m:oMathParaPr>
        <m:oMath>
          <m:r>
            <m:rPr>
              <m:sty m:val="p"/>
            </m:rPr>
            <m:t>Δ</m:t>
          </m:r>
          <m:sSubSup>
            <m:e>
              <m:r>
                <m:t>w</m:t>
              </m:r>
            </m:e>
            <m:sub>
              <m:r>
                <m:t>o</m:t>
              </m:r>
            </m:sub>
            <m:sup>
              <m:r>
                <m:t>F</m:t>
              </m:r>
            </m:sup>
          </m:sSubSup>
          <m:r>
            <m:rPr>
              <m:sty m:val="p"/>
            </m:rPr>
            <m:t>−</m:t>
          </m:r>
          <m:r>
            <m:rPr>
              <m:sty m:val="p"/>
            </m:rPr>
            <m:t>Δ</m:t>
          </m:r>
          <m:sSubSup>
            <m:e>
              <m:r>
                <m:t>w</m:t>
              </m:r>
            </m:e>
            <m:sub>
              <m:r>
                <m:t>o</m:t>
              </m:r>
            </m:sub>
            <m:sup>
              <m:r>
                <m:t>I</m:t>
              </m:r>
            </m:sup>
          </m:sSubSup>
          <m:r>
            <m:t> </m:t>
          </m:r>
          <m:r>
            <m:rPr>
              <m:sty m:val="p"/>
            </m:rPr>
            <m:t>=</m:t>
          </m:r>
          <m:r>
            <m:t> </m:t>
          </m:r>
          <m:d>
            <m:dPr>
              <m:begChr m:val="["/>
              <m:sepChr m:val=""/>
              <m:endChr m:val="]"/>
              <m:grow/>
            </m:dPr>
            <m:e>
              <m:r>
                <m:rPr>
                  <m:sty m:val="p"/>
                </m:rPr>
                <m:t>(</m:t>
              </m:r>
              <m:sSubSup>
                <m:e>
                  <m:r>
                    <m:t>τ</m:t>
                  </m:r>
                </m:e>
                <m:sub>
                  <m:r>
                    <m:t>r</m:t>
                  </m:r>
                </m:sub>
                <m:sup>
                  <m:r>
                    <m:t>F</m:t>
                  </m:r>
                </m:sup>
              </m:sSubSup>
              <m:r>
                <m:rPr>
                  <m:sty m:val="p"/>
                </m:rPr>
                <m:t>−</m:t>
              </m:r>
              <m:sSubSup>
                <m:e>
                  <m:r>
                    <m:t>τ</m:t>
                  </m:r>
                </m:e>
                <m:sub>
                  <m:r>
                    <m:t>d</m:t>
                  </m:r>
                </m:sub>
                <m:sup>
                  <m:r>
                    <m:t>F</m:t>
                  </m:r>
                </m:sup>
              </m:sSubSup>
              <m:r>
                <m:rPr>
                  <m:sty m:val="p"/>
                </m:rPr>
                <m:t>)</m:t>
              </m:r>
              <m:r>
                <m:rPr>
                  <m:sty m:val="p"/>
                </m:rPr>
                <m:t>−</m:t>
              </m:r>
              <m:r>
                <m:rPr>
                  <m:sty m:val="p"/>
                </m:rPr>
                <m:t>(</m:t>
              </m:r>
              <m:sSubSup>
                <m:e>
                  <m:r>
                    <m:t>τ</m:t>
                  </m:r>
                </m:e>
                <m:sub>
                  <m:r>
                    <m:t>r</m:t>
                  </m:r>
                </m:sub>
                <m:sup>
                  <m:r>
                    <m:t>I</m:t>
                  </m:r>
                </m:sup>
              </m:sSubSup>
              <m:r>
                <m:rPr>
                  <m:sty m:val="p"/>
                </m:rPr>
                <m:t>−</m:t>
              </m:r>
              <m:sSubSup>
                <m:e>
                  <m:r>
                    <m:t>τ</m:t>
                  </m:r>
                </m:e>
                <m:sub>
                  <m:r>
                    <m:t>d</m:t>
                  </m:r>
                </m:sub>
                <m:sup>
                  <m:r>
                    <m:t>I</m:t>
                  </m:r>
                </m:sup>
              </m:sSubSup>
              <m:r>
                <m:rPr>
                  <m:sty m:val="p"/>
                </m:rPr>
                <m:t>)</m:t>
              </m:r>
            </m:e>
          </m:d>
          <m:r>
            <m:rPr>
              <m:sty m:val="p"/>
            </m:rPr>
            <m:t>⋅</m:t>
          </m:r>
          <m:sSub>
            <m:e>
              <m:r>
                <m:t>β</m:t>
              </m:r>
            </m:e>
            <m:sub>
              <m:r>
                <m:t>o</m:t>
              </m:r>
            </m:sub>
          </m:sSub>
          <m:r>
            <m:rPr>
              <m:sty m:val="p"/>
            </m:rPr>
            <m:t>.</m:t>
          </m:r>
        </m:oMath>
      </m:oMathPara>
    </w:p>
    <w:p>
      <w:pPr>
        <w:pStyle w:val="FirstParagraph"/>
      </w:pPr>
      <w:r>
        <w:t xml:space="preserve">Que el diferencial formal-informal sea positivo o negativo depende de la fuerza relativa de la adopción directa en las firmas formales (que puede ir en cualquier dirección) y de los derrames indirectos sobre las firmas informales (típicamente negativos). El signo es una pregunta empírica en cada país.</w:t>
      </w:r>
    </w:p>
    <w:bookmarkEnd w:id="24"/>
    <w:bookmarkStart w:id="25" w:name="subsec:theory_predictions"/>
    <w:p>
      <w:pPr>
        <w:pStyle w:val="Heading2"/>
      </w:pPr>
      <w:r>
        <w:rPr>
          <w:rStyle w:val="SectionNumber"/>
        </w:rPr>
        <w:t xml:space="preserve">3.4</w:t>
      </w:r>
      <w:r>
        <w:tab/>
      </w:r>
      <w:r>
        <w:t xml:space="preserve">Predicciones contrastables</w:t>
      </w:r>
    </w:p>
    <w:p>
      <w:pPr>
        <w:pStyle w:val="FirstParagraph"/>
      </w:pPr>
      <w:r>
        <w:t xml:space="preserve">El marco entrega cuatro predicciones que la especificación empírica de la</w:t>
      </w:r>
      <w:r>
        <w:t xml:space="preserve"> </w:t>
      </w:r>
      <w:hyperlink w:anchor="sec:method">
        <w:r>
          <w:rPr>
            <w:rStyle w:val="Hyperlink"/>
          </w:rPr>
          <w:t xml:space="preserve">4</w:t>
        </w:r>
      </w:hyperlink>
      <w:r>
        <w:t xml:space="preserve"> </w:t>
      </w:r>
      <w:r>
        <w:t xml:space="preserve">está diseñada para evaluar.</w:t>
      </w:r>
    </w:p>
    <w:p>
      <w:pPr>
        <w:pStyle w:val="BodyText"/>
      </w:pPr>
      <w:r>
        <w:rPr>
          <w:b/>
          <w:bCs/>
        </w:rPr>
        <w:t xml:space="preserve">P1 (entre ocupaciones, dentro del país).</w:t>
      </w:r>
      <w:r>
        <w:t xml:space="preserve"> </w:t>
      </w:r>
      <w:r>
        <w:t xml:space="preserve">La respuesta del mercado laboral en el país</w:t>
      </w:r>
      <w:r>
        <w:t xml:space="preserve"> </w:t>
      </w:r>
      <m:oMath>
        <m:r>
          <m:t>c</m:t>
        </m:r>
      </m:oMath>
      <w:r>
        <w:t xml:space="preserve"> </w:t>
      </w:r>
      <w:r>
        <w:t xml:space="preserve">es proporcional a</w:t>
      </w:r>
      <w:r>
        <w:t xml:space="preserve"> </w:t>
      </w:r>
      <m:oMath>
        <m:sSub>
          <m:e>
            <m:r>
              <m:t>β</m:t>
            </m:r>
          </m:e>
          <m:sub>
            <m:r>
              <m:t>o</m:t>
            </m:r>
          </m:sub>
        </m:sSub>
      </m:oMath>
      <w:r>
        <w:t xml:space="preserve">:</w:t>
      </w:r>
    </w:p>
    <w:p>
      <w:pPr>
        <w:pStyle w:val="BodyText"/>
      </w:pPr>
      <m:oMathPara>
        <m:oMathParaPr>
          <m:jc m:val="center"/>
        </m:oMathParaPr>
        <m:oMath>
          <m:f>
            <m:fPr>
              <m:type m:val="bar"/>
            </m:fPr>
            <m:num>
              <m:r>
                <m:rPr>
                  <m:sty m:val="p"/>
                </m:rPr>
                <m:t>∂</m:t>
              </m:r>
              <m:sSubSup>
                <m:e>
                  <m:r>
                    <m:t>Y</m:t>
                  </m:r>
                </m:e>
                <m:sub>
                  <m:r>
                    <m:t>o</m:t>
                  </m:r>
                  <m:r>
                    <m:t>t</m:t>
                  </m:r>
                </m:sub>
                <m:sup>
                  <m:r>
                    <m:t>c</m:t>
                  </m:r>
                </m:sup>
              </m:sSubSup>
            </m:num>
            <m:den>
              <m:r>
                <m:rPr>
                  <m:sty m:val="p"/>
                </m:rPr>
                <m:t>∂</m:t>
              </m:r>
              <m:sSub>
                <m:e>
                  <m:r>
                    <m:t>β</m:t>
                  </m:r>
                </m:e>
                <m:sub>
                  <m:r>
                    <m:t>o</m:t>
                  </m:r>
                </m:sub>
              </m:sSub>
            </m:den>
          </m:f>
          <m:r>
            <m:t> </m:t>
          </m:r>
          <m:r>
            <m:rPr>
              <m:sty m:val="p"/>
            </m:rPr>
            <m:t>⋛</m:t>
          </m:r>
          <m:r>
            <m:t> </m:t>
          </m:r>
          <m:r>
            <m:t>0</m:t>
          </m:r>
        </m:oMath>
      </m:oMathPara>
    </w:p>
    <w:p>
      <w:pPr>
        <w:pStyle w:val="FirstParagraph"/>
      </w:pPr>
      <w:r>
        <w:t xml:space="preserve">según si la reposición domina al desplazamiento, lo iguala o es dominada. El signo es empírico y puede diferir entre países.</w:t>
      </w:r>
    </w:p>
    <w:p>
      <w:pPr>
        <w:pStyle w:val="BodyText"/>
      </w:pPr>
      <w:r>
        <w:rPr>
          <w:b/>
          <w:bCs/>
        </w:rPr>
        <w:t xml:space="preserve">P2 (formal vs. informal, dentro del país).</w:t>
      </w:r>
      <w:r>
        <w:t xml:space="preserve"> </w:t>
      </w:r>
      <w:r>
        <w:t xml:space="preserve">La adopción de corto plazo se concentra en el sector formal. El marco predice</w:t>
      </w:r>
      <w:r>
        <w:t xml:space="preserve"> </w:t>
      </w:r>
      <m:oMath>
        <m:r>
          <m:rPr>
            <m:sty m:val="p"/>
          </m:rPr>
          <m:t>|</m:t>
        </m:r>
        <m:sSup>
          <m:e>
            <m:r>
              <m:t>τ</m:t>
            </m:r>
          </m:e>
          <m:sup>
            <m:r>
              <m:t>F</m:t>
            </m:r>
          </m:sup>
        </m:sSup>
        <m:r>
          <m:rPr>
            <m:sty m:val="p"/>
          </m:rPr>
          <m:t>|</m:t>
        </m:r>
        <m:r>
          <m:rPr>
            <m:sty m:val="p"/>
          </m:rPr>
          <m:t>&gt;</m:t>
        </m:r>
        <m:r>
          <m:rPr>
            <m:sty m:val="p"/>
          </m:rPr>
          <m:t>|</m:t>
        </m:r>
        <m:sSup>
          <m:e>
            <m:r>
              <m:t>τ</m:t>
            </m:r>
          </m:e>
          <m:sup>
            <m:r>
              <m:t>I</m:t>
            </m:r>
          </m:sup>
        </m:sSup>
        <m:r>
          <m:rPr>
            <m:sty m:val="p"/>
          </m:rPr>
          <m:t>|</m:t>
        </m:r>
      </m:oMath>
      <w:r>
        <w:t xml:space="preserve"> </w:t>
      </w:r>
      <w:r>
        <w:t xml:space="preserve">en el horizonte de dos años para los países en los que la adopción formal es relevante. En países donde la adopción formal también es baja, ambos canales quedan amortiguados.</w:t>
      </w:r>
    </w:p>
    <w:p>
      <w:pPr>
        <w:pStyle w:val="BodyText"/>
      </w:pPr>
      <w:r>
        <w:rPr>
          <w:b/>
          <w:bCs/>
        </w:rPr>
        <w:t xml:space="preserve">P3 (comparación entre países de las estimaciones).</w:t>
      </w:r>
      <w:r>
        <w:t xml:space="preserve"> </w:t>
      </w:r>
      <w:r>
        <w:t xml:space="preserve">Los países con mayores tasas de formalidad y mejor infraestructura digital deberían exhibir un</w:t>
      </w:r>
      <w:r>
        <w:t xml:space="preserve"> </w:t>
      </w:r>
      <m:oMath>
        <m:r>
          <m:rPr>
            <m:sty m:val="p"/>
          </m:rPr>
          <m:t>|</m:t>
        </m:r>
        <m:r>
          <m:t>τ</m:t>
        </m:r>
        <m:r>
          <m:rPr>
            <m:sty m:val="p"/>
          </m:rPr>
          <m:t>|</m:t>
        </m:r>
      </m:oMath>
      <w:r>
        <w:t xml:space="preserve"> </w:t>
      </w:r>
      <w:r>
        <w:t xml:space="preserve">mayor que los países con menor formalidad e infraestructura más débil. Esta predicción se evalúa comparando las seis estimaciones específicas por país</w:t>
      </w:r>
      <w:r>
        <w:t xml:space="preserve"> </w:t>
      </w:r>
      <m:oMath>
        <m:r>
          <m:rPr>
            <m:sty m:val="p"/>
          </m:rPr>
          <m:t>{</m:t>
        </m:r>
        <m:sSup>
          <m:e>
            <m:acc>
              <m:accPr>
                <m:chr m:val="̂"/>
              </m:accPr>
              <m:e>
                <m:r>
                  <m:t>τ</m:t>
                </m:r>
              </m:e>
            </m:acc>
          </m:e>
          <m:sup>
            <m:r>
              <m:t>c</m:t>
            </m:r>
          </m:sup>
        </m:sSup>
        <m:sSubSup>
          <m:e>
            <m:r>
              <m:rPr>
                <m:sty m:val="p"/>
              </m:rPr>
              <m:t>}</m:t>
            </m:r>
          </m:e>
          <m:sub>
            <m:r>
              <m:t>c</m:t>
            </m:r>
            <m:r>
              <m:rPr>
                <m:sty m:val="p"/>
              </m:rPr>
              <m:t>=</m:t>
            </m:r>
            <m:r>
              <m:t>1</m:t>
            </m:r>
          </m:sub>
          <m:sup>
            <m:r>
              <m:t>6</m:t>
            </m:r>
          </m:sup>
        </m:sSubSup>
      </m:oMath>
      <w:r>
        <w:t xml:space="preserve"> </w:t>
      </w:r>
      <w:r>
        <w:t xml:space="preserve">frente a los indicadores correspondientes de formalidad y preparación digital a nivel de país. La heterogeneidad entre países es el resultado principal y no una prueba de robustez.</w:t>
      </w:r>
    </w:p>
    <w:p>
      <w:pPr>
        <w:pStyle w:val="BodyText"/>
      </w:pPr>
      <w:r>
        <w:rPr>
          <w:b/>
          <w:bCs/>
        </w:rPr>
        <w:t xml:space="preserve">P4 (heterogeneidad por habilidad dentro de la ocupación).</w:t>
      </w:r>
      <w:r>
        <w:t xml:space="preserve"> </w:t>
      </w:r>
      <w:r>
        <w:t xml:space="preserve">Dentro de una ocupación expuesta, los trabajadores con educación terciaria están mejor posicionados para realizar las nuevas tareas de reposición (supervisión, prompting, verificación) y, por lo tanto, experimentan un efecto desplazamiento menor que los trabajadores con educación secundaria en la misma ocupación. Esta predicción se evalúa interactuando</w:t>
      </w:r>
      <w:r>
        <w:t xml:space="preserve"> </w:t>
      </w:r>
      <m:oMath>
        <m:sSub>
          <m:e>
            <m:r>
              <m:t>β</m:t>
            </m:r>
          </m:e>
          <m:sub>
            <m:r>
              <m:t>o</m:t>
            </m:r>
          </m:sub>
        </m:sSub>
        <m:r>
          <m:rPr>
            <m:sty m:val="p"/>
          </m:rPr>
          <m:t>⋅</m:t>
        </m:r>
        <m:sSub>
          <m:e>
            <m:r>
              <m:rPr>
                <m:nor/>
                <m:sty m:val="p"/>
              </m:rPr>
              <m:t>Post</m:t>
            </m:r>
          </m:e>
          <m:sub>
            <m:r>
              <m:t>t</m:t>
            </m:r>
          </m:sub>
        </m:sSub>
      </m:oMath>
      <w:r>
        <w:t xml:space="preserve"> </w:t>
      </w:r>
      <w:r>
        <w:t xml:space="preserve">con la educación del trabajador en cada país.</w:t>
      </w:r>
    </w:p>
    <w:bookmarkEnd w:id="25"/>
    <w:bookmarkStart w:id="26" w:name="subsec:theory_lac"/>
    <w:p>
      <w:pPr>
        <w:pStyle w:val="Heading2"/>
      </w:pPr>
      <w:r>
        <w:rPr>
          <w:rStyle w:val="SectionNumber"/>
        </w:rPr>
        <w:t xml:space="preserve">3.5</w:t>
      </w:r>
      <w:r>
        <w:tab/>
      </w:r>
      <w:r>
        <w:t xml:space="preserve">Por qué ALC difiere de la evidencia de la OCDE</w:t>
      </w:r>
    </w:p>
    <w:p>
      <w:pPr>
        <w:pStyle w:val="FirstParagraph"/>
      </w:pPr>
      <w:r>
        <w:t xml:space="preserve">El marco reconcilia las estimaciones aparentemente divergentes en la literatura causal existente.</w:t>
      </w:r>
      <w:r>
        <w:t xml:space="preserve"> </w:t>
      </w:r>
      <w:r>
        <w:t xml:space="preserve">Brynjolfsson et al. (2023)</w:t>
      </w:r>
      <w:r>
        <w:t xml:space="preserve"> </w:t>
      </w:r>
      <w:r>
        <w:t xml:space="preserve">y</w:t>
      </w:r>
      <w:r>
        <w:t xml:space="preserve"> </w:t>
      </w:r>
      <w:r>
        <w:t xml:space="preserve">Cui et al. (2025)</w:t>
      </w:r>
      <w:r>
        <w:t xml:space="preserve"> </w:t>
      </w:r>
      <w:r>
        <w:t xml:space="preserve">documentan grandes ganancias de productividad intra-firma en contextos estadounidenses donde la adopción se entrega de manera exógena a trabajadores de alta formalidad y preparación digital. Estas estimaciones corresponden a un entorno de alto</w:t>
      </w:r>
      <w:r>
        <w:t xml:space="preserve"> </w:t>
      </w:r>
      <m:oMath>
        <m:sSub>
          <m:e>
            <m:r>
              <m:t>τ</m:t>
            </m:r>
          </m:e>
          <m:sub>
            <m:r>
              <m:t>r</m:t>
            </m:r>
          </m:sub>
        </m:sSub>
      </m:oMath>
      <w:r>
        <w:t xml:space="preserve"> </w:t>
      </w:r>
      <w:r>
        <w:t xml:space="preserve">en firmas del sector formal: el canal de reposición está plenamente operativo porque las instituciones de soporte están en su lugar.</w:t>
      </w:r>
      <w:r>
        <w:t xml:space="preserve"> </w:t>
      </w:r>
      <w:r>
        <w:t xml:space="preserve">Humlum and Vestergaard (2025a)</w:t>
      </w:r>
      <w:r>
        <w:t xml:space="preserve"> </w:t>
      </w:r>
      <w:r>
        <w:t xml:space="preserve">documentan efectos agregados cercanos a cero en Dinamarca, un contexto con alta formalidad, alta adopción y mercados laborales ajustados. El marco racionaliza este resultado como un entorno de alto</w:t>
      </w:r>
      <w:r>
        <w:t xml:space="preserve"> </w:t>
      </w:r>
      <m:oMath>
        <m:sSub>
          <m:e>
            <m:r>
              <m:t>τ</m:t>
            </m:r>
          </m:e>
          <m:sub>
            <m:r>
              <m:t>d</m:t>
            </m:r>
          </m:sub>
        </m:sSub>
      </m:oMath>
      <w:r>
        <w:t xml:space="preserve"> </w:t>
      </w:r>
      <w:r>
        <w:t xml:space="preserve">y alto</w:t>
      </w:r>
      <w:r>
        <w:t xml:space="preserve"> </w:t>
      </w:r>
      <m:oMath>
        <m:sSub>
          <m:e>
            <m:r>
              <m:t>τ</m:t>
            </m:r>
          </m:e>
          <m:sub>
            <m:r>
              <m:t>r</m:t>
            </m:r>
          </m:sub>
        </m:sSub>
      </m:oMath>
      <w:r>
        <w:t xml:space="preserve"> </w:t>
      </w:r>
      <w:r>
        <w:t xml:space="preserve">en el que los dos canales aproximadamente se compensan, dejando la respuesta salarial agregada cercana a cero.</w:t>
      </w:r>
    </w:p>
    <w:p>
      <w:pPr>
        <w:pStyle w:val="BodyText"/>
      </w:pPr>
      <w:r>
        <w:t xml:space="preserve">ALC difiere en ambos márgenes. La adopción es heterogénea entre países (y entre estratos de formalidad dentro de los países), y los mercados laborales no son ajustados en el sentido danés. La variación entre países en formalidad (desde aproximadamente 25 por ciento informal en Uruguay hasta más del 70 por ciento en partes de la región andina) genera predicciones ex ante que varían según el país. Por eso una estrategia empírica país por país es la prueba correcta del marco. Agrupar promediaría sobre una heterogeneidad que la teoría predice es de primer orden. Cada una de las seis estimaciones por país es una prueba independiente del mismo mecanismo subyacente, y el patrón entre países de las estimaciones es la contribución empírica central.</w:t>
      </w:r>
    </w:p>
    <w:bookmarkEnd w:id="26"/>
    <w:bookmarkEnd w:id="27"/>
    <w:bookmarkStart w:id="39" w:name="sec:method"/>
    <w:p>
      <w:pPr>
        <w:pStyle w:val="Heading1"/>
      </w:pPr>
      <w:r>
        <w:rPr>
          <w:rStyle w:val="SectionNumber"/>
        </w:rPr>
        <w:t xml:space="preserve">4</w:t>
      </w:r>
      <w:r>
        <w:tab/>
      </w:r>
      <w:r>
        <w:t xml:space="preserve">Estrategia Empírica</w:t>
      </w:r>
    </w:p>
    <w:p>
      <w:pPr>
        <w:pStyle w:val="FirstParagraph"/>
      </w:pPr>
      <w:r>
        <w:t xml:space="preserve">La estrategia de identificación es un diseño de diferencias en diferencias (DiD) con tratamiento continuo y una única fecha de adopción, estimado</w:t>
      </w:r>
      <w:r>
        <w:t xml:space="preserve"> </w:t>
      </w:r>
      <w:r>
        <w:rPr>
          <w:i/>
          <w:iCs/>
        </w:rPr>
        <w:t xml:space="preserve">país por país</w:t>
      </w:r>
      <w:r>
        <w:t xml:space="preserve">. Cada uno de los seis países (Costa Rica, Colombia, Ecuador, México, Perú y Uruguay) se analiza por separado. No se trata de un panel agrupado entre países: los datos son seis cortes transversales repetidos independientes a nivel de país, y cada uno se analiza en su propia regresión. Las ocupaciones dentro de un país están expuestas a distintas intensidades de capacidad LLM, medidas por el puntaje de exposición complementaria de Eloundou</w:t>
      </w:r>
      <w:r>
        <w:t xml:space="preserve"> </w:t>
      </w:r>
      <m:oMath>
        <m:r>
          <m:t>β</m:t>
        </m:r>
      </m:oMath>
      <w:r>
        <w:t xml:space="preserve">. El lanzamiento de ChatGPT el 30 de noviembre de 2022 es la fecha de tratamiento común. Es la misma fecha calendario para los seis países, un único evento global y no un despliegue escalonado de política, de modo que las regresiones país por país comparten la misma</w:t>
      </w:r>
      <w:r>
        <w:t xml:space="preserve"> </w:t>
      </w:r>
      <m:oMath>
        <m:sSup>
          <m:e>
            <m:r>
              <m:t>t</m:t>
            </m:r>
          </m:e>
          <m:sup>
            <m:r>
              <m:rPr>
                <m:sty m:val="p"/>
              </m:rPr>
              <m:t>*</m:t>
            </m:r>
          </m:sup>
        </m:sSup>
        <m:r>
          <m:rPr>
            <m:sty m:val="p"/>
          </m:rPr>
          <m:t>=</m:t>
        </m:r>
        <m:r>
          <m:t>2022</m:t>
        </m:r>
      </m:oMath>
      <w:r>
        <w:t xml:space="preserve">T4 (descartada como buffer; el tratamiento es efectivo a partir de 2023T1). La identificación dentro de cada país proviene de la variación intra-ocupación en cómo la exposición interactúa con el indicador post-lanzamiento. La comparación entre países surge de la presentación lado a lado de los seis valores estimados</w:t>
      </w:r>
      <w:r>
        <w:t xml:space="preserve"> </w:t>
      </w:r>
      <m:oMath>
        <m:sSup>
          <m:e>
            <m:acc>
              <m:accPr>
                <m:chr m:val="̂"/>
              </m:accPr>
              <m:e>
                <m:r>
                  <m:t>τ</m:t>
                </m:r>
              </m:e>
            </m:acc>
          </m:e>
          <m:sup>
            <m:r>
              <m:t>c</m:t>
            </m:r>
          </m:sup>
        </m:sSup>
      </m:oMath>
      <w:r>
        <w:t xml:space="preserve">. Esta sección detalla la muestra, la variable de tratamiento, las especificaciones primaria y secundarias, los supuestos identificadores, el análisis de heterogeneidad intra-país centrado en la formalidad de línea base, la capa de robustez y las cuatro narrativas preregistradas.</w:t>
      </w:r>
    </w:p>
    <w:bookmarkStart w:id="29" w:name="subsec:method_sample"/>
    <w:p>
      <w:pPr>
        <w:pStyle w:val="Heading2"/>
      </w:pPr>
      <w:r>
        <w:rPr>
          <w:rStyle w:val="SectionNumber"/>
        </w:rPr>
        <w:t xml:space="preserve">4.1</w:t>
      </w:r>
      <w:r>
        <w:tab/>
      </w:r>
      <w:r>
        <w:t xml:space="preserve">Muestra y datos</w:t>
      </w:r>
    </w:p>
    <w:p>
      <w:pPr>
        <w:pStyle w:val="FirstParagraph"/>
      </w:pPr>
      <w:r>
        <w:t xml:space="preserve">La muestra son seis bases de datos de encuestas de fuerza laboral armonizadas a una frecuencia trimestral común. Los trimestres se definen siguiendo el calendario móvil estándar:</w:t>
      </w:r>
      <w:r>
        <w:t xml:space="preserve"> </w:t>
      </w:r>
      <m:oMath>
        <m:r>
          <m:rPr>
            <m:nor/>
            <m:sty m:val="p"/>
          </m:rPr>
          <m:t>T1</m:t>
        </m:r>
        <m:r>
          <m:rPr>
            <m:sty m:val="p"/>
          </m:rPr>
          <m:t>=</m:t>
        </m:r>
      </m:oMath>
      <w:r>
        <w:t xml:space="preserve"> </w:t>
      </w:r>
      <w:r>
        <w:t xml:space="preserve">enero–febrero–marzo,</w:t>
      </w:r>
      <w:r>
        <w:t xml:space="preserve"> </w:t>
      </w:r>
      <m:oMath>
        <m:r>
          <m:rPr>
            <m:nor/>
            <m:sty m:val="p"/>
          </m:rPr>
          <m:t>T2</m:t>
        </m:r>
        <m:r>
          <m:rPr>
            <m:sty m:val="p"/>
          </m:rPr>
          <m:t>=</m:t>
        </m:r>
      </m:oMath>
      <w:r>
        <w:t xml:space="preserve"> </w:t>
      </w:r>
      <w:r>
        <w:t xml:space="preserve">abril–mayo–junio,</w:t>
      </w:r>
      <w:r>
        <w:t xml:space="preserve"> </w:t>
      </w:r>
      <m:oMath>
        <m:r>
          <m:rPr>
            <m:nor/>
            <m:sty m:val="p"/>
          </m:rPr>
          <m:t>T3</m:t>
        </m:r>
        <m:r>
          <m:rPr>
            <m:sty m:val="p"/>
          </m:rPr>
          <m:t>=</m:t>
        </m:r>
      </m:oMath>
      <w:r>
        <w:t xml:space="preserve"> </w:t>
      </w:r>
      <w:r>
        <w:t xml:space="preserve">julio–agosto–septiembre,</w:t>
      </w:r>
      <w:r>
        <w:t xml:space="preserve"> </w:t>
      </w:r>
      <m:oMath>
        <m:r>
          <m:rPr>
            <m:nor/>
            <m:sty m:val="p"/>
          </m:rPr>
          <m:t>T4</m:t>
        </m:r>
        <m:r>
          <m:rPr>
            <m:sty m:val="p"/>
          </m:rPr>
          <m:t>=</m:t>
        </m:r>
      </m:oMath>
      <w:r>
        <w:t xml:space="preserve"> </w:t>
      </w:r>
      <w:r>
        <w:t xml:space="preserve">octubre–noviembre–diciembre. La armonización temporal opera bajo una sola regla: si la encuesta nativa es trimestral, se usa tal cual; si es mensual, los tres meses correspondientes a cada trimestre calendario se agregan en una sola celda; si la encuesta se publica anualmente pero su trabajo de campo es continuo a lo largo del año, los registros se separan en cuatro trimestres por mes de entrevista. La</w:t>
      </w:r>
      <w:r>
        <w:t xml:space="preserve"> </w:t>
      </w:r>
      <w:hyperlink w:anchor="tab:surveys">
        <w:r>
          <w:rPr>
            <w:rStyle w:val="Hyperlink"/>
          </w:rPr>
          <w:t xml:space="preserve">1</w:t>
        </w:r>
      </w:hyperlink>
      <w:r>
        <w:t xml:space="preserve"> </w:t>
      </w:r>
      <w:r>
        <w:t xml:space="preserve">resume las encuestas nativas y la regla de armonización aplicada a cada país, en una ventana muestral común de 2021T1 a 2025T4.</w:t>
      </w:r>
    </w:p>
    <w:bookmarkStart w:id="28" w:name="tab:surveys"/>
    <w:p>
      <w:pPr>
        <w:pStyle w:val="TableCaption"/>
      </w:pPr>
      <w:r>
        <w:t xml:space="preserve">Encuestas de fuerza laboral y armonización temporal</w:t>
      </w:r>
    </w:p>
    <w:tbl>
      <w:tblPr>
        <w:tblStyle w:val="Table"/>
        <w:tblW w:type="auto" w:w="0"/>
        <w:tblLook w:firstRow="1" w:lastRow="0" w:firstColumn="0" w:lastColumn="0" w:noHBand="0" w:noVBand="0" w:val="0020"/>
        <w:tblCaption w:val="Encuestas de fuerza laboral y armonización temporal"/>
      </w:tblPr>
      <w:tblGrid>
        <w:gridCol w:w="1980"/>
        <w:gridCol w:w="1980"/>
        <w:gridCol w:w="1980"/>
        <w:gridCol w:w="1980"/>
      </w:tblGrid>
      <w:tr>
        <w:trPr>
          <w:tblHeader w:val="on"/>
        </w:trPr>
        <w:tc>
          <w:tcPr/>
          <w:p>
            <w:pPr>
              <w:pStyle w:val="Compact"/>
              <w:jc w:val="left"/>
            </w:pPr>
            <w:r>
              <w:t xml:space="preserve">País</w:t>
            </w:r>
          </w:p>
        </w:tc>
        <w:tc>
          <w:tcPr/>
          <w:p>
            <w:pPr>
              <w:pStyle w:val="Compact"/>
              <w:jc w:val="left"/>
            </w:pPr>
            <w:r>
              <w:t xml:space="preserve">Encuesta</w:t>
            </w:r>
          </w:p>
        </w:tc>
        <w:tc>
          <w:tcPr/>
          <w:p>
            <w:pPr>
              <w:pStyle w:val="Compact"/>
              <w:jc w:val="left"/>
            </w:pPr>
            <w:r>
              <w:t xml:space="preserve">Frecuencia nativa</w:t>
            </w:r>
          </w:p>
        </w:tc>
        <w:tc>
          <w:tcPr/>
          <w:p>
            <w:pPr>
              <w:pStyle w:val="Compact"/>
              <w:jc w:val="left"/>
            </w:pPr>
            <w:r>
              <w:t xml:space="preserve">Armonización a trimestre móvil</w:t>
            </w:r>
          </w:p>
        </w:tc>
      </w:tr>
      <w:tr>
        <w:tc>
          <w:tcPr/>
          <w:p>
            <w:pPr>
              <w:pStyle w:val="Compact"/>
              <w:jc w:val="left"/>
            </w:pPr>
            <w:r>
              <w:t xml:space="preserve">Colombia</w:t>
            </w:r>
          </w:p>
        </w:tc>
        <w:tc>
          <w:tcPr/>
          <w:p>
            <w:pPr>
              <w:pStyle w:val="Compact"/>
              <w:jc w:val="left"/>
            </w:pPr>
            <w:r>
              <w:t xml:space="preserve">GEIH</w:t>
            </w:r>
          </w:p>
        </w:tc>
        <w:tc>
          <w:tcPr/>
          <w:p>
            <w:pPr>
              <w:pStyle w:val="Compact"/>
              <w:jc w:val="left"/>
            </w:pPr>
            <w:r>
              <w:t xml:space="preserve">Mensual</w:t>
            </w:r>
          </w:p>
        </w:tc>
        <w:tc>
          <w:tcPr/>
          <w:p>
            <w:pPr>
              <w:pStyle w:val="Compact"/>
              <w:jc w:val="left"/>
            </w:pPr>
            <w:r>
              <w:t xml:space="preserve">Agregar 3 meses</w:t>
            </w:r>
            <w:r>
              <w:t xml:space="preserve"> </w:t>
            </w:r>
            <m:oMath>
              <m:r>
                <m:rPr>
                  <m:sty m:val="p"/>
                </m:rPr>
                <m:t>→</m:t>
              </m:r>
            </m:oMath>
            <w:r>
              <w:t xml:space="preserve"> </w:t>
            </w:r>
            <w:r>
              <w:t xml:space="preserve">1 trimestre</w:t>
            </w:r>
          </w:p>
        </w:tc>
      </w:tr>
      <w:tr>
        <w:tc>
          <w:tcPr/>
          <w:p>
            <w:pPr>
              <w:pStyle w:val="Compact"/>
              <w:jc w:val="left"/>
            </w:pPr>
            <w:r>
              <w:t xml:space="preserve">Costa Rica</w:t>
            </w:r>
          </w:p>
        </w:tc>
        <w:tc>
          <w:tcPr/>
          <w:p>
            <w:pPr>
              <w:pStyle w:val="Compact"/>
              <w:jc w:val="left"/>
            </w:pPr>
            <w:r>
              <w:t xml:space="preserve">ECE</w:t>
            </w:r>
          </w:p>
        </w:tc>
        <w:tc>
          <w:tcPr/>
          <w:p>
            <w:pPr>
              <w:pStyle w:val="Compact"/>
              <w:jc w:val="left"/>
            </w:pPr>
            <w:r>
              <w:t xml:space="preserve">Trimestral</w:t>
            </w:r>
          </w:p>
        </w:tc>
        <w:tc>
          <w:tcPr/>
          <w:p>
            <w:pPr>
              <w:pStyle w:val="Compact"/>
              <w:jc w:val="left"/>
            </w:pPr>
            <w:r>
              <w:t xml:space="preserve">Tal cual</w:t>
            </w:r>
          </w:p>
        </w:tc>
      </w:tr>
      <w:tr>
        <w:tc>
          <w:tcPr/>
          <w:p>
            <w:pPr>
              <w:pStyle w:val="Compact"/>
              <w:jc w:val="left"/>
            </w:pPr>
            <w:r>
              <w:t xml:space="preserve">Ecuador</w:t>
            </w:r>
          </w:p>
        </w:tc>
        <w:tc>
          <w:tcPr/>
          <w:p>
            <w:pPr>
              <w:pStyle w:val="Compact"/>
              <w:jc w:val="left"/>
            </w:pPr>
            <w:r>
              <w:t xml:space="preserve">ENEMDU</w:t>
            </w:r>
          </w:p>
        </w:tc>
        <w:tc>
          <w:tcPr/>
          <w:p>
            <w:pPr>
              <w:pStyle w:val="Compact"/>
              <w:jc w:val="left"/>
            </w:pPr>
            <w:r>
              <w:t xml:space="preserve">Mensual (continua)</w:t>
            </w:r>
          </w:p>
        </w:tc>
        <w:tc>
          <w:tcPr/>
          <w:p>
            <w:pPr>
              <w:pStyle w:val="Compact"/>
              <w:jc w:val="left"/>
            </w:pPr>
            <w:r>
              <w:t xml:space="preserve">Agregar 3 meses</w:t>
            </w:r>
            <w:r>
              <w:t xml:space="preserve"> </w:t>
            </w:r>
            <m:oMath>
              <m:r>
                <m:rPr>
                  <m:sty m:val="p"/>
                </m:rPr>
                <m:t>→</m:t>
              </m:r>
            </m:oMath>
            <w:r>
              <w:t xml:space="preserve"> </w:t>
            </w:r>
            <w:r>
              <w:t xml:space="preserve">1 trimestre</w:t>
            </w:r>
          </w:p>
        </w:tc>
      </w:tr>
      <w:tr>
        <w:tc>
          <w:tcPr/>
          <w:p>
            <w:pPr>
              <w:pStyle w:val="Compact"/>
              <w:jc w:val="left"/>
            </w:pPr>
            <w:r>
              <w:t xml:space="preserve">México</w:t>
            </w:r>
          </w:p>
        </w:tc>
        <w:tc>
          <w:tcPr/>
          <w:p>
            <w:pPr>
              <w:pStyle w:val="Compact"/>
              <w:jc w:val="left"/>
            </w:pPr>
            <w:r>
              <w:t xml:space="preserve">ENOE</w:t>
            </w:r>
          </w:p>
        </w:tc>
        <w:tc>
          <w:tcPr/>
          <w:p>
            <w:pPr>
              <w:pStyle w:val="Compact"/>
              <w:jc w:val="left"/>
            </w:pPr>
            <w:r>
              <w:t xml:space="preserve">Trimestral</w:t>
            </w:r>
          </w:p>
        </w:tc>
        <w:tc>
          <w:tcPr/>
          <w:p>
            <w:pPr>
              <w:pStyle w:val="Compact"/>
              <w:jc w:val="left"/>
            </w:pPr>
            <w:r>
              <w:t xml:space="preserve">Tal cual</w:t>
            </w:r>
          </w:p>
        </w:tc>
      </w:tr>
      <w:tr>
        <w:tc>
          <w:tcPr/>
          <w:p>
            <w:pPr>
              <w:pStyle w:val="Compact"/>
              <w:jc w:val="left"/>
            </w:pPr>
            <w:r>
              <w:t xml:space="preserve">Perú</w:t>
            </w:r>
          </w:p>
        </w:tc>
        <w:tc>
          <w:tcPr/>
          <w:p>
            <w:pPr>
              <w:pStyle w:val="Compact"/>
              <w:jc w:val="left"/>
            </w:pPr>
            <w:r>
              <w:t xml:space="preserve">EPEN</w:t>
            </w:r>
          </w:p>
        </w:tc>
        <w:tc>
          <w:tcPr/>
          <w:p>
            <w:pPr>
              <w:pStyle w:val="Compact"/>
              <w:jc w:val="left"/>
            </w:pPr>
            <w:r>
              <w:t xml:space="preserve">Trimestral; Lima Metro</w:t>
            </w:r>
          </w:p>
        </w:tc>
        <w:tc>
          <w:tcPr/>
          <w:p>
            <w:pPr>
              <w:pStyle w:val="Compact"/>
              <w:jc w:val="left"/>
            </w:pPr>
            <w:r>
              <w:t xml:space="preserve">Tal cual</w:t>
            </w:r>
          </w:p>
        </w:tc>
      </w:tr>
      <w:tr>
        <w:tc>
          <w:tcPr/>
          <w:p>
            <w:pPr>
              <w:pStyle w:val="Compact"/>
              <w:jc w:val="left"/>
            </w:pPr>
            <w:r>
              <w:t xml:space="preserve">Uruguay</w:t>
            </w:r>
          </w:p>
        </w:tc>
        <w:tc>
          <w:tcPr/>
          <w:p>
            <w:pPr>
              <w:pStyle w:val="Compact"/>
              <w:jc w:val="left"/>
            </w:pPr>
            <w:r>
              <w:t xml:space="preserve">ECH</w:t>
            </w:r>
          </w:p>
        </w:tc>
        <w:tc>
          <w:tcPr/>
          <w:p>
            <w:pPr>
              <w:pStyle w:val="Compact"/>
              <w:jc w:val="left"/>
            </w:pPr>
            <w:r>
              <w:t xml:space="preserve">Anual (campo continuo)</w:t>
            </w:r>
          </w:p>
        </w:tc>
        <w:tc>
          <w:tcPr/>
          <w:p>
            <w:pPr>
              <w:pStyle w:val="Compact"/>
              <w:jc w:val="left"/>
            </w:pPr>
            <w:r>
              <w:t xml:space="preserve">Separar por mes de entrevista</w:t>
            </w:r>
            <w:r>
              <w:t xml:space="preserve"> </w:t>
            </w:r>
            <m:oMath>
              <m:r>
                <m:rPr>
                  <m:sty m:val="p"/>
                </m:rPr>
                <m:t>→</m:t>
              </m:r>
            </m:oMath>
            <w:r>
              <w:t xml:space="preserve"> </w:t>
            </w:r>
            <w:r>
              <w:t xml:space="preserve">4 trimestres</w:t>
            </w:r>
          </w:p>
        </w:tc>
      </w:tr>
    </w:tbl>
    <w:bookmarkEnd w:id="28"/>
    <w:p>
      <w:pPr>
        <w:pStyle w:val="BodyText"/>
      </w:pPr>
      <w:r>
        <w:rPr>
          <w:i/>
          <w:iCs/>
        </w:rPr>
        <w:t xml:space="preserve">Notas:</w:t>
      </w:r>
      <w:r>
        <w:t xml:space="preserve"> </w:t>
      </w:r>
      <w:r>
        <w:t xml:space="preserve">Trimestres definidos como T1 = enero-febrero-marzo, T2 = abril-mayo-junio, T3 = julio-agosto-septiembre y T4 = octubre-noviembre-diciembre. La ventana muestral cubre 2021T1 a 2025T4. El trimestre 2022T4 se descarta de la especificación primaria como período de transición y se incluye como tratado en una especificación de robustez. La EPEN del Perú cubre únicamente Lima Metropolitana; la estimación peruana</w:t>
      </w:r>
      <w:r>
        <w:t xml:space="preserve"> </w:t>
      </w:r>
      <m:oMath>
        <m:sSup>
          <m:e>
            <m:acc>
              <m:accPr>
                <m:chr m:val="̂"/>
              </m:accPr>
              <m:e>
                <m:r>
                  <m:t>τ</m:t>
                </m:r>
              </m:e>
            </m:acc>
          </m:e>
          <m:sup>
            <m:r>
              <m:rPr>
                <m:nor/>
                <m:sty m:val="p"/>
              </m:rPr>
              <m:t>Perú</m:t>
            </m:r>
          </m:sup>
        </m:sSup>
      </m:oMath>
      <w:r>
        <w:t xml:space="preserve"> </w:t>
      </w:r>
      <w:r>
        <w:t xml:space="preserve">debe leerse, por tanto, como específica de Lima Metropolitana y no como nacionalmente representativa. Para Uruguay, la ECH se publica anualmente pero el trabajo de campo se distribuye a lo largo del año, lo que permite asignar cada hogar a un trimestre según su mes de entrevista. Para Colombia, México y Ecuador, los tres meses calendario que componen cada trimestre se agregan ponderando por el factor de expansión de cada mes. Véase</w:t>
      </w:r>
      <w:r>
        <w:t xml:space="preserve"> </w:t>
      </w:r>
      <w:hyperlink w:anchor="subsec:method_sample">
        <w:r>
          <w:rPr>
            <w:rStyle w:val="Hyperlink"/>
          </w:rPr>
          <w:t xml:space="preserve">4.1</w:t>
        </w:r>
      </w:hyperlink>
      <w:r>
        <w:t xml:space="preserve"> </w:t>
      </w:r>
      <w:r>
        <w:t xml:space="preserve">para los criterios de selección de países.</w:t>
      </w:r>
    </w:p>
    <w:p>
      <w:pPr>
        <w:pStyle w:val="BodyText"/>
      </w:pPr>
      <w:r>
        <w:t xml:space="preserve">Los seis países se seleccionaron bajo dos criterios. Primero, compatibilidad de codificación ocupacional. Cinco (Costa Rica, Colombia, Ecuador, Perú, Uruguay) publican microdatos codificados directamente en ISCO-08 a nivel de cuatro dígitos. México publica en SINCO (Sistema Nacional de Clasificación de Ocupaciones), que mapeo a ISCO-08 usando el crosswalk oficial del INEGI. Otros países de ALC usan clasificadores nacionales sin crosswalks publicados a ISCO (la CIUO-CL de Chile, la CBO de Brasil) o publican a un nivel más grueso de detalle. Segundo, representatividad muestral. Las seis encuestas son nacionalmente representativas a frecuencia trimestral, con una excepción: el módulo trimestral del Perú (EPEN) cubre solo Lima Metropolitana, porque el rediseño de 2023 del ENAHO eliminó el módulo trimestral nacional de empleo y migró la publicación trimestral de empleo al EPEN, geográficamente restringido. La estimación peruana</w:t>
      </w:r>
      <w:r>
        <w:t xml:space="preserve"> </w:t>
      </w:r>
      <m:oMath>
        <m:sSup>
          <m:e>
            <m:acc>
              <m:accPr>
                <m:chr m:val="̂"/>
              </m:accPr>
              <m:e>
                <m:r>
                  <m:t>τ</m:t>
                </m:r>
              </m:e>
            </m:acc>
          </m:e>
          <m:sup>
            <m:r>
              <m:rPr>
                <m:nor/>
                <m:sty m:val="p"/>
              </m:rPr>
              <m:t>Perú</m:t>
            </m:r>
          </m:sup>
        </m:sSup>
      </m:oMath>
      <w:r>
        <w:t xml:space="preserve"> </w:t>
      </w:r>
      <w:r>
        <w:t xml:space="preserve">debe leerse, por tanto, como específica de Lima Metropolitana, no nacionalmente representativa. Vuelvo a marcar esta salvedad cuando discuto los resultados específicos de cada país.</w:t>
      </w:r>
    </w:p>
    <w:p>
      <w:pPr>
        <w:pStyle w:val="BodyText"/>
      </w:pPr>
      <w:r>
        <w:t xml:space="preserve">La ventana temporal es una decisión de diseño deliberada. Se excluyen los períodos previos a 2020 incluso donde existen datos. La COVID-19 afectó de forma diferencial a las ocupaciones cognitivas de alta exposición (migración al trabajo remoto, reasignación sectorial) en relación con las ocupaciones manuales y de servicios de baja exposición, de modo que combinar años pre-COVID y post-COVID compararía mercados laborales en dos equilibrios estructuralmente distintos. La fecha de inicio en 2021T1 asegura que los períodos pre-tratamiento y post-tratamiento se extraigan ambos del estado estacionario post-COVID. La contraparte es un pre-período corto: siete trimestres entre 2021T1 y 2022T3 para los seis países, ya que todos comparten la misma frecuencia trimestral móvil tras la armonización descrita en la</w:t>
      </w:r>
      <w:r>
        <w:t xml:space="preserve"> </w:t>
      </w:r>
      <w:hyperlink w:anchor="tab:surveys">
        <w:r>
          <w:rPr>
            <w:rStyle w:val="Hyperlink"/>
          </w:rPr>
          <w:t xml:space="preserve">1</w:t>
        </w:r>
      </w:hyperlink>
      <w:r>
        <w:t xml:space="preserve">. Lo mitigo elevando las cotas Honest-DiD de</w:t>
      </w:r>
      <w:r>
        <w:t xml:space="preserve"> </w:t>
      </w:r>
      <w:r>
        <w:t xml:space="preserve">Rambachan and Roth (2023)</w:t>
      </w:r>
      <w:r>
        <w:t xml:space="preserve"> </w:t>
      </w:r>
      <w:r>
        <w:t xml:space="preserve">de robustez a identificación principal, sustituyendo las fechas de placebo temporal (2019, 2021) por placebos transversales sobre ocupaciones con</w:t>
      </w:r>
      <w:r>
        <w:t xml:space="preserve"> </w:t>
      </w:r>
      <m:oMath>
        <m:r>
          <m:t>β</m:t>
        </m:r>
        <m:r>
          <m:rPr>
            <m:sty m:val="p"/>
          </m:rPr>
          <m:t>=</m:t>
        </m:r>
        <m:r>
          <m:t>0</m:t>
        </m:r>
      </m:oMath>
      <w:r>
        <w:t xml:space="preserve">, y aprovechando un post-período más largo de doce trimestres para compensar el pre-período más corto en el tamaño muestral agregado.</w:t>
      </w:r>
    </w:p>
    <w:p>
      <w:pPr>
        <w:pStyle w:val="BodyText"/>
      </w:pPr>
      <w:r>
        <w:t xml:space="preserve">La unidad de observación en el país</w:t>
      </w:r>
      <w:r>
        <w:t xml:space="preserve"> </w:t>
      </w:r>
      <m:oMath>
        <m:r>
          <m:t>c</m:t>
        </m:r>
      </m:oMath>
      <w:r>
        <w:t xml:space="preserve"> </w:t>
      </w:r>
      <w:r>
        <w:t xml:space="preserve">es el trabajador individual</w:t>
      </w:r>
      <w:r>
        <w:t xml:space="preserve"> </w:t>
      </w:r>
      <m:oMath>
        <m:r>
          <m:t>i</m:t>
        </m:r>
      </m:oMath>
      <w:r>
        <w:t xml:space="preserve"> </w:t>
      </w:r>
      <w:r>
        <w:t xml:space="preserve">en el momento</w:t>
      </w:r>
      <w:r>
        <w:t xml:space="preserve"> </w:t>
      </w:r>
      <m:oMath>
        <m:r>
          <m:t>t</m:t>
        </m:r>
      </m:oMath>
      <w:r>
        <w:t xml:space="preserve">, con la ocupación ISCO-08 a 4 dígitos</w:t>
      </w:r>
      <w:r>
        <w:t xml:space="preserve"> </w:t>
      </w:r>
      <m:oMath>
        <m:r>
          <m:t>o</m:t>
        </m:r>
        <m:r>
          <m:rPr>
            <m:sty m:val="p"/>
          </m:rPr>
          <m:t>(</m:t>
        </m:r>
        <m:r>
          <m:t>i</m:t>
        </m:r>
        <m:r>
          <m:rPr>
            <m:sty m:val="p"/>
          </m:rPr>
          <m:t>)</m:t>
        </m:r>
      </m:oMath>
      <w:r>
        <w:t xml:space="preserve"> </w:t>
      </w:r>
      <w:r>
        <w:t xml:space="preserve">registrada en la encuesta. Para las especificaciones agregadas de estudio de eventos y dosis-respuesta, los microdatos se agregan a la celda (ocupación, tiempo) dentro de cada país.</w:t>
      </w:r>
    </w:p>
    <w:bookmarkEnd w:id="29"/>
    <w:bookmarkStart w:id="30" w:name="subsec:method_treatment"/>
    <w:p>
      <w:pPr>
        <w:pStyle w:val="Heading2"/>
      </w:pPr>
      <w:r>
        <w:rPr>
          <w:rStyle w:val="SectionNumber"/>
        </w:rPr>
        <w:t xml:space="preserve">4.2</w:t>
      </w:r>
      <w:r>
        <w:tab/>
      </w:r>
      <w:r>
        <w:t xml:space="preserve">Variable de tratamiento</w:t>
      </w:r>
    </w:p>
    <w:p>
      <w:pPr>
        <w:pStyle w:val="FirstParagraph"/>
      </w:pPr>
      <w:r>
        <w:t xml:space="preserve">El tratamiento es la exposición ocupacional continua a los LLM, medida por el puntaje de exposición complementaria de Eloundou</w:t>
      </w:r>
      <w:r>
        <w:t xml:space="preserve"> </w:t>
      </w:r>
      <m:oMath>
        <m:sSub>
          <m:e>
            <m:r>
              <m:t>β</m:t>
            </m:r>
          </m:e>
          <m:sub>
            <m:r>
              <m:t>o</m:t>
            </m:r>
          </m:sub>
        </m:sSub>
      </m:oMath>
      <w:r>
        <w:t xml:space="preserve"> </w:t>
      </w:r>
      <w:r>
        <w:t xml:space="preserve">(Eloundou et al. 2024)</w:t>
      </w:r>
      <w:r>
        <w:t xml:space="preserve">. El puntaje es la participación de las tareas de una ocupación en las que al menos el 50 por ciento del tiempo requerido puede reducirse mediante software</w:t>
      </w:r>
      <w:r>
        <w:t xml:space="preserve"> </w:t>
      </w:r>
      <w:r>
        <w:rPr>
          <w:i/>
          <w:iCs/>
        </w:rPr>
        <w:t xml:space="preserve">construido sobre LLM</w:t>
      </w:r>
      <w:r>
        <w:t xml:space="preserve"> </w:t>
      </w:r>
      <w:r>
        <w:t xml:space="preserve">(aplicaciones aumentadas con LLM), distinta de</w:t>
      </w:r>
      <w:r>
        <w:t xml:space="preserve"> </w:t>
      </w:r>
      <m:oMath>
        <m:sSub>
          <m:e>
            <m:r>
              <m:t>α</m:t>
            </m:r>
          </m:e>
          <m:sub>
            <m:r>
              <m:t>o</m:t>
            </m:r>
          </m:sub>
        </m:sSub>
      </m:oMath>
      <w:r>
        <w:t xml:space="preserve"> </w:t>
      </w:r>
      <w:r>
        <w:t xml:space="preserve">(sustitución directa por LLM) y de</w:t>
      </w:r>
      <w:r>
        <w:t xml:space="preserve"> </w:t>
      </w:r>
      <m:oMath>
        <m:sSub>
          <m:e>
            <m:r>
              <m:t>ζ</m:t>
            </m:r>
          </m:e>
          <m:sub>
            <m:r>
              <m:t>o</m:t>
            </m:r>
          </m:sub>
        </m:sSub>
        <m:r>
          <m:rPr>
            <m:sty m:val="p"/>
          </m:rPr>
          <m:t>=</m:t>
        </m:r>
        <m:sSub>
          <m:e>
            <m:r>
              <m:t>α</m:t>
            </m:r>
          </m:e>
          <m:sub>
            <m:r>
              <m:t>o</m:t>
            </m:r>
          </m:sub>
        </m:sSub>
        <m:r>
          <m:rPr>
            <m:sty m:val="p"/>
          </m:rPr>
          <m:t>+</m:t>
        </m:r>
        <m:sSub>
          <m:e>
            <m:r>
              <m:t>β</m:t>
            </m:r>
          </m:e>
          <m:sub>
            <m:r>
              <m:t>o</m:t>
            </m:r>
          </m:sub>
        </m:sSub>
      </m:oMath>
      <w:r>
        <w:t xml:space="preserve"> </w:t>
      </w:r>
      <w:r>
        <w:t xml:space="preserve">(la cota superior); véase la Tabla 1 de</w:t>
      </w:r>
      <w:r>
        <w:t xml:space="preserve"> </w:t>
      </w:r>
      <w:r>
        <w:t xml:space="preserve">Eloundou et al. (2024)</w:t>
      </w:r>
      <w:r>
        <w:t xml:space="preserve">. En todo el documento,</w:t>
      </w:r>
      <w:r>
        <w:t xml:space="preserve"> </w:t>
      </w:r>
      <m:oMath>
        <m:sSub>
          <m:e>
            <m:r>
              <m:t>E</m:t>
            </m:r>
          </m:e>
          <m:sub>
            <m:r>
              <m:t>o</m:t>
            </m:r>
          </m:sub>
        </m:sSub>
        <m:r>
          <m:rPr>
            <m:sty m:val="p"/>
          </m:rPr>
          <m:t>≡</m:t>
        </m:r>
        <m:sSub>
          <m:e>
            <m:r>
              <m:t>β</m:t>
            </m:r>
          </m:e>
          <m:sub>
            <m:r>
              <m:t>o</m:t>
            </m:r>
          </m:sub>
        </m:sSub>
      </m:oMath>
      <w:r>
        <w:t xml:space="preserve"> </w:t>
      </w:r>
      <w:r>
        <w:t xml:space="preserve">es la variable operativa de exposición en la ecuación de estimación.</w:t>
      </w:r>
    </w:p>
    <w:p>
      <w:pPr>
        <w:pStyle w:val="BodyText"/>
      </w:pPr>
      <w:r>
        <w:t xml:space="preserve">La elección de</w:t>
      </w:r>
      <w:r>
        <w:t xml:space="preserve"> </w:t>
      </w:r>
      <m:oMath>
        <m:r>
          <m:t>β</m:t>
        </m:r>
      </m:oMath>
      <w:r>
        <w:t xml:space="preserve"> </w:t>
      </w:r>
      <w:r>
        <w:t xml:space="preserve">y no de</w:t>
      </w:r>
      <w:r>
        <w:t xml:space="preserve"> </w:t>
      </w:r>
      <m:oMath>
        <m:r>
          <m:t>ζ</m:t>
        </m:r>
      </m:oMath>
      <w:r>
        <w:t xml:space="preserve"> </w:t>
      </w:r>
      <w:r>
        <w:t xml:space="preserve">está motivada teóricamente. El canal complementario (</w:t>
      </w:r>
      <m:oMath>
        <m:r>
          <m:t>β</m:t>
        </m:r>
      </m:oMath>
      <w:r>
        <w:t xml:space="preserve">) captura la difusión de software aumentado con LLM (aplicaciones de terceros, herramientas de productividad, plataformas de relación con clientes, sistemas de contabilidad, chatbots de atención al cliente y asistentes de código construidos sobre APIs de LLM) a través del cual los trabajadores experimentan la capacidad LLM sin necesariamente escribir en una interfaz de chat. En América Latina, el uso directo de ChatGPT está rezagado respecto a los niveles de la OCDE, pero las firmas multinacionales despliegan software empresarial aumentado con LLM, de modo que</w:t>
      </w:r>
      <w:r>
        <w:t xml:space="preserve"> </w:t>
      </w:r>
      <m:oMath>
        <m:r>
          <m:t>β</m:t>
        </m:r>
      </m:oMath>
      <w:r>
        <w:t xml:space="preserve"> </w:t>
      </w:r>
      <w:r>
        <w:t xml:space="preserve">es la intensidad de tratamiento correcta para este contexto. También es más conservador que</w:t>
      </w:r>
      <w:r>
        <w:t xml:space="preserve"> </w:t>
      </w:r>
      <m:oMath>
        <m:r>
          <m:t>ζ</m:t>
        </m:r>
      </m:oMath>
      <w:r>
        <w:t xml:space="preserve">. El puntaje se mapea desde O*NET a ISCO-08 (el pipeline interno enruta vía SOC-2010 como puente, pero el crosswalk visible al usuario es O*NET-a-ISCO-08). Tras aplicar el crosswalk, el 98.2 por ciento de los códigos ISCO de 4 dígitos con empleo positivo en alguno de los seis países coincide con al menos una ocupación de O*NET; los códigos sin coincidencia se asignan a nivel de 3 dígitos. El crosswalk se construye sobre y extiende el piloto Chile-México-Perú validado en</w:t>
      </w:r>
      <w:r>
        <w:t xml:space="preserve"> </w:t>
      </w:r>
      <w:r>
        <w:t xml:space="preserve">Azuara Herrera et al. (2024)</w:t>
      </w:r>
      <w:r>
        <w:t xml:space="preserve">.</w:t>
      </w:r>
    </w:p>
    <w:p>
      <w:pPr>
        <w:pStyle w:val="BodyText"/>
      </w:pPr>
      <w:r>
        <w:t xml:space="preserve">El indicador post-tratamiento es</w:t>
      </w:r>
      <w:r>
        <w:t xml:space="preserve"> </w:t>
      </w:r>
      <m:oMath>
        <m:sSub>
          <m:e>
            <m:r>
              <m:rPr>
                <m:nor/>
                <m:sty m:val="p"/>
              </m:rPr>
              <m:t>Post</m:t>
            </m:r>
          </m:e>
          <m:sub>
            <m:r>
              <m:t>t</m:t>
            </m:r>
          </m:sub>
        </m:sSub>
        <m:r>
          <m:rPr>
            <m:sty m:val="p"/>
          </m:rPr>
          <m:t>=</m:t>
        </m:r>
        <m:r>
          <m:rPr>
            <m:scr m:val="double-struck"/>
            <m:sty m:val="p"/>
          </m:rPr>
          <m:t>1</m:t>
        </m:r>
        <m:r>
          <m:rPr>
            <m:sty m:val="p"/>
          </m:rPr>
          <m:t>[</m:t>
        </m:r>
        <m:r>
          <m:t>t</m:t>
        </m:r>
        <m:r>
          <m:rPr>
            <m:sty m:val="p"/>
          </m:rPr>
          <m:t>≥</m:t>
        </m:r>
        <m:r>
          <m:t>2023</m:t>
        </m:r>
        <m:r>
          <m:rPr>
            <m:nor/>
            <m:sty m:val="p"/>
          </m:rPr>
          <m:t>T1</m:t>
        </m:r>
        <m:r>
          <m:rPr>
            <m:sty m:val="p"/>
          </m:rPr>
          <m:t>]</m:t>
        </m:r>
      </m:oMath>
      <w:r>
        <w:t xml:space="preserve">. El trimestre 2022T4 se descarta de la especificación primaria porque los promedios de T4 son dos tercios pre-lanzamiento, lo que sesgaría</w:t>
      </w:r>
      <w:r>
        <w:t xml:space="preserve"> </w:t>
      </w:r>
      <m:oMath>
        <m:r>
          <m:t>τ</m:t>
        </m:r>
      </m:oMath>
      <w:r>
        <w:t xml:space="preserve"> </w:t>
      </w:r>
      <w:r>
        <w:t xml:space="preserve">hacia cero si el trimestre se codificara como tratado. Una especificación de robustez incluye 2022T4 como tratado para entregar una cota inferior conservadora; esto coincide con la convención en</w:t>
      </w:r>
      <w:r>
        <w:t xml:space="preserve"> </w:t>
      </w:r>
      <w:r>
        <w:t xml:space="preserve">Humlum and Vestergaard (2025a)</w:t>
      </w:r>
      <w:r>
        <w:t xml:space="preserve"> </w:t>
      </w:r>
      <w:r>
        <w:t xml:space="preserve">y</w:t>
      </w:r>
      <w:r>
        <w:t xml:space="preserve"> </w:t>
      </w:r>
      <w:r>
        <w:t xml:space="preserve">Hartley et al. (2024)</w:t>
      </w:r>
      <w:r>
        <w:t xml:space="preserve">.</w:t>
      </w:r>
    </w:p>
    <w:bookmarkEnd w:id="30"/>
    <w:bookmarkStart w:id="32" w:name="subsec:method_primary"/>
    <w:p>
      <w:pPr>
        <w:pStyle w:val="Heading2"/>
      </w:pPr>
      <w:r>
        <w:rPr>
          <w:rStyle w:val="SectionNumber"/>
        </w:rPr>
        <w:t xml:space="preserve">4.3</w:t>
      </w:r>
      <w:r>
        <w:tab/>
      </w:r>
      <w:r>
        <w:t xml:space="preserve">Especificación primaria: DiD continuo país por país</w:t>
      </w:r>
    </w:p>
    <w:p>
      <w:pPr>
        <w:pStyle w:val="FirstParagraph"/>
      </w:pPr>
      <w:r>
        <w:t xml:space="preserve">El estimador primario es el DiD de tratamiento continuo de</w:t>
      </w:r>
      <w:r>
        <w:t xml:space="preserve"> </w:t>
      </w:r>
      <w:r>
        <w:t xml:space="preserve">Callaway et al. (2024)</w:t>
      </w:r>
      <w:r>
        <w:t xml:space="preserve">, aplicado por separado a cada uno de los seis países. La fecha de tratamiento es idéntica entre países:</w:t>
      </w:r>
      <w:r>
        <w:t xml:space="preserve"> </w:t>
      </w:r>
      <m:oMath>
        <m:sSup>
          <m:e>
            <m:r>
              <m:t>t</m:t>
            </m:r>
          </m:e>
          <m:sup>
            <m:r>
              <m:rPr>
                <m:sty m:val="p"/>
              </m:rPr>
              <m:t>*</m:t>
            </m:r>
          </m:sup>
        </m:sSup>
        <m:r>
          <m:rPr>
            <m:sty m:val="p"/>
          </m:rPr>
          <m:t>=</m:t>
        </m:r>
        <m:r>
          <m:t>2022</m:t>
        </m:r>
      </m:oMath>
      <w:r>
        <w:t xml:space="preserve">T4 en todos los casos, porque el lanzamiento de ChatGPT en noviembre de 2022 fue un único evento global. El parámetro objetivo es la Respuesta Causal Promedio sobre los Tratados (ACRT, por sus siglas en inglés) específica del país a lo largo de la dimensión de dosis, promediada sobre la distribución de exposición del país. Bajo el caso de cohorte tratada única que aplica aquí (todas las ocupaciones de un país comparten la misma</w:t>
      </w:r>
      <w:r>
        <w:t xml:space="preserve"> </w:t>
      </w:r>
      <m:oMath>
        <m:sSup>
          <m:e>
            <m:r>
              <m:t>t</m:t>
            </m:r>
          </m:e>
          <m:sup>
            <m:r>
              <m:rPr>
                <m:sty m:val="p"/>
              </m:rPr>
              <m:t>*</m:t>
            </m:r>
          </m:sup>
        </m:sSup>
      </m:oMath>
      <w:r>
        <w:t xml:space="preserve">), la implementación operativa coincide con un TWFE ponderado con la interacción</w:t>
      </w:r>
      <w:r>
        <w:t xml:space="preserve"> </w:t>
      </w:r>
      <m:oMath>
        <m:sSub>
          <m:e>
            <m:r>
              <m:t>β</m:t>
            </m:r>
          </m:e>
          <m:sub>
            <m:r>
              <m:t>o</m:t>
            </m:r>
          </m:sub>
        </m:sSub>
        <m:r>
          <m:rPr>
            <m:sty m:val="p"/>
          </m:rPr>
          <m:t>⋅</m:t>
        </m:r>
        <m:sSub>
          <m:e>
            <m:r>
              <m:rPr>
                <m:nor/>
                <m:sty m:val="p"/>
              </m:rPr>
              <m:t>Post</m:t>
            </m:r>
          </m:e>
          <m:sub>
            <m:r>
              <m:t>t</m:t>
            </m:r>
          </m:sub>
        </m:sSub>
      </m:oMath>
      <w:r>
        <w:t xml:space="preserve">; reporto el coeficiente con errores estándar agrupados a nivel ocupacional. Tras agregar los microdatos a la celda (ocupación, tiempo), la especificación estimada dentro del país</w:t>
      </w:r>
      <w:r>
        <w:t xml:space="preserve"> </w:t>
      </w:r>
      <m:oMath>
        <m:r>
          <m:t>c</m:t>
        </m:r>
      </m:oMath>
      <w:r>
        <w:t xml:space="preserve"> </w:t>
      </w:r>
      <w:r>
        <w:t xml:space="preserve">es</w:t>
      </w:r>
    </w:p>
    <w:p>
      <w:pPr>
        <w:pStyle w:val="BodyText"/>
      </w:pPr>
      <m:oMathPara>
        <m:oMathParaPr>
          <m:jc m:val="center"/>
        </m:oMathParaPr>
        <m:oMath>
          <m:sSubSup>
            <m:e>
              <m:r>
                <m:t>Y</m:t>
              </m:r>
            </m:e>
            <m:sub>
              <m:r>
                <m:t>o</m:t>
              </m:r>
              <m:r>
                <m:t>t</m:t>
              </m:r>
            </m:sub>
            <m:sup>
              <m:r>
                <m:t>c</m:t>
              </m:r>
            </m:sup>
          </m:sSubSup>
          <m:r>
            <m:t> </m:t>
          </m:r>
          <m:r>
            <m:rPr>
              <m:sty m:val="p"/>
            </m:rPr>
            <m:t>=</m:t>
          </m:r>
          <m:r>
            <m:t> </m:t>
          </m:r>
          <m:sSup>
            <m:e>
              <m:r>
                <m:t>τ</m:t>
              </m:r>
            </m:e>
            <m:sup>
              <m:r>
                <m:t>c</m:t>
              </m:r>
            </m:sup>
          </m:sSup>
          <m:r>
            <m:rPr>
              <m:sty m:val="p"/>
            </m:rPr>
            <m:t>⋅</m:t>
          </m:r>
          <m:d>
            <m:dPr>
              <m:begChr m:val="("/>
              <m:sepChr m:val=""/>
              <m:endChr m:val=")"/>
              <m:grow/>
            </m:dPr>
            <m:e>
              <m:sSub>
                <m:e>
                  <m:r>
                    <m:t>E</m:t>
                  </m:r>
                </m:e>
                <m:sub>
                  <m:r>
                    <m:t>o</m:t>
                  </m:r>
                </m:sub>
              </m:sSub>
              <m:r>
                <m:rPr>
                  <m:sty m:val="p"/>
                </m:rPr>
                <m:t>⋅</m:t>
              </m:r>
              <m:sSub>
                <m:e>
                  <m:r>
                    <m:rPr>
                      <m:nor/>
                      <m:sty m:val="p"/>
                    </m:rPr>
                    <m:t>Post</m:t>
                  </m:r>
                </m:e>
                <m:sub>
                  <m:r>
                    <m:t>t</m:t>
                  </m:r>
                </m:sub>
              </m:sSub>
            </m:e>
          </m:d>
          <m:r>
            <m:t> </m:t>
          </m:r>
          <m:r>
            <m:rPr>
              <m:sty m:val="p"/>
            </m:rPr>
            <m:t>+</m:t>
          </m:r>
          <m:r>
            <m:t> </m:t>
          </m:r>
          <m:sSubSup>
            <m:e>
              <m:r>
                <m:t>α</m:t>
              </m:r>
            </m:e>
            <m:sub>
              <m:r>
                <m:t>o</m:t>
              </m:r>
            </m:sub>
            <m:sup>
              <m:r>
                <m:t>c</m:t>
              </m:r>
            </m:sup>
          </m:sSubSup>
          <m:r>
            <m:t> </m:t>
          </m:r>
          <m:r>
            <m:rPr>
              <m:sty m:val="p"/>
            </m:rPr>
            <m:t>+</m:t>
          </m:r>
          <m:r>
            <m:t> </m:t>
          </m:r>
          <m:sSubSup>
            <m:e>
              <m:r>
                <m:t>α</m:t>
              </m:r>
            </m:e>
            <m:sub>
              <m:r>
                <m:t>t</m:t>
              </m:r>
            </m:sub>
            <m:sup>
              <m:r>
                <m:t>c</m:t>
              </m:r>
            </m:sup>
          </m:sSubSup>
          <m:r>
            <m:t> </m:t>
          </m:r>
          <m:r>
            <m:rPr>
              <m:sty m:val="p"/>
            </m:rPr>
            <m:t>+</m:t>
          </m:r>
          <m:r>
            <m:t> </m:t>
          </m:r>
          <m:sSubSup>
            <m:e>
              <m:r>
                <m:t>ε</m:t>
              </m:r>
            </m:e>
            <m:sub>
              <m:r>
                <m:t>o</m:t>
              </m:r>
              <m:r>
                <m:t>t</m:t>
              </m:r>
            </m:sub>
            <m:sup>
              <m:r>
                <m:t>c</m:t>
              </m:r>
            </m:sup>
          </m:sSubSup>
          <m:r>
            <m:rPr>
              <m:sty m:val="p"/>
            </m:rPr>
            <m:t>,</m:t>
          </m:r>
        </m:oMath>
      </m:oMathPara>
    </w:p>
    <w:p>
      <w:pPr>
        <w:pStyle w:val="FirstParagraph"/>
      </w:pPr>
      <w:r>
        <w:t xml:space="preserve">donde</w:t>
      </w:r>
      <w:r>
        <w:t xml:space="preserve"> </w:t>
      </w:r>
      <m:oMath>
        <m:sSubSup>
          <m:e>
            <m:r>
              <m:t>Y</m:t>
            </m:r>
          </m:e>
          <m:sub>
            <m:r>
              <m:t>o</m:t>
            </m:r>
            <m:r>
              <m:t>t</m:t>
            </m:r>
          </m:sub>
          <m:sup>
            <m:r>
              <m:t>c</m:t>
            </m:r>
          </m:sup>
        </m:sSubSup>
      </m:oMath>
      <w:r>
        <w:t xml:space="preserve"> </w:t>
      </w:r>
      <w:r>
        <w:t xml:space="preserve">es uno de tres resultados primarios (logaritmo del empleo expandido por la encuesta, horas semanales promedio o logaritmo del salario por hora promedio) en la celda (ocupación, tiempo) del país</w:t>
      </w:r>
      <w:r>
        <w:t xml:space="preserve"> </w:t>
      </w:r>
      <m:oMath>
        <m:r>
          <m:t>c</m:t>
        </m:r>
      </m:oMath>
      <w:r>
        <w:t xml:space="preserve">,</w:t>
      </w:r>
      <w:r>
        <w:t xml:space="preserve"> </w:t>
      </w:r>
      <m:oMath>
        <m:sSub>
          <m:e>
            <m:r>
              <m:t>E</m:t>
            </m:r>
          </m:e>
          <m:sub>
            <m:r>
              <m:t>o</m:t>
            </m:r>
          </m:sub>
        </m:sSub>
        <m:r>
          <m:rPr>
            <m:sty m:val="p"/>
          </m:rPr>
          <m:t>≡</m:t>
        </m:r>
        <m:sSub>
          <m:e>
            <m:r>
              <m:t>β</m:t>
            </m:r>
          </m:e>
          <m:sub>
            <m:r>
              <m:t>o</m:t>
            </m:r>
          </m:sub>
        </m:sSub>
        <m:r>
          <m:rPr>
            <m:sty m:val="p"/>
          </m:rPr>
          <m:t>∈</m:t>
        </m:r>
        <m:r>
          <m:rPr>
            <m:sty m:val="p"/>
          </m:rPr>
          <m:t>[</m:t>
        </m:r>
        <m:r>
          <m:t>0</m:t>
        </m:r>
        <m:r>
          <m:rPr>
            <m:sty m:val="p"/>
          </m:rPr>
          <m:t>,</m:t>
        </m:r>
        <m:r>
          <m:t>1</m:t>
        </m:r>
        <m:r>
          <m:rPr>
            <m:sty m:val="p"/>
          </m:rPr>
          <m:t>]</m:t>
        </m:r>
      </m:oMath>
      <w:r>
        <w:t xml:space="preserve"> </w:t>
      </w:r>
      <w:r>
        <w:t xml:space="preserve">es el puntaje de exposición complementaria de Eloundou para la ocupación ISCO de 4 dígitos,</w:t>
      </w:r>
      <w:r>
        <w:t xml:space="preserve"> </w:t>
      </w:r>
      <m:oMath>
        <m:sSub>
          <m:e>
            <m:r>
              <m:rPr>
                <m:nor/>
                <m:sty m:val="p"/>
              </m:rPr>
              <m:t>Post</m:t>
            </m:r>
          </m:e>
          <m:sub>
            <m:r>
              <m:t>t</m:t>
            </m:r>
          </m:sub>
        </m:sSub>
        <m:r>
          <m:rPr>
            <m:sty m:val="p"/>
          </m:rPr>
          <m:t>=</m:t>
        </m:r>
        <m:r>
          <m:rPr>
            <m:scr m:val="double-struck"/>
            <m:sty m:val="p"/>
          </m:rPr>
          <m:t>1</m:t>
        </m:r>
        <m:r>
          <m:rPr>
            <m:sty m:val="p"/>
          </m:rPr>
          <m:t>[</m:t>
        </m:r>
        <m:r>
          <m:t>t</m:t>
        </m:r>
        <m:r>
          <m:rPr>
            <m:sty m:val="p"/>
          </m:rPr>
          <m:t>≥</m:t>
        </m:r>
        <m:r>
          <m:t>2023</m:t>
        </m:r>
        <m:r>
          <m:rPr>
            <m:nor/>
            <m:sty m:val="p"/>
          </m:rPr>
          <m:t>T1</m:t>
        </m:r>
        <m:r>
          <m:rPr>
            <m:sty m:val="p"/>
          </m:rPr>
          <m:t>]</m:t>
        </m:r>
      </m:oMath>
      <w:r>
        <w:t xml:space="preserve">,</w:t>
      </w:r>
      <w:r>
        <w:t xml:space="preserve"> </w:t>
      </w:r>
      <m:oMath>
        <m:sSubSup>
          <m:e>
            <m:r>
              <m:t>α</m:t>
            </m:r>
          </m:e>
          <m:sub>
            <m:r>
              <m:t>o</m:t>
            </m:r>
          </m:sub>
          <m:sup>
            <m:r>
              <m:t>c</m:t>
            </m:r>
          </m:sup>
        </m:sSubSup>
      </m:oMath>
      <w:r>
        <w:t xml:space="preserve"> </w:t>
      </w:r>
      <w:r>
        <w:t xml:space="preserve">es un efecto fijo de ocupación (dentro del país),</w:t>
      </w:r>
      <w:r>
        <w:t xml:space="preserve"> </w:t>
      </w:r>
      <m:oMath>
        <m:sSubSup>
          <m:e>
            <m:r>
              <m:t>α</m:t>
            </m:r>
          </m:e>
          <m:sub>
            <m:r>
              <m:t>t</m:t>
            </m:r>
          </m:sub>
          <m:sup>
            <m:r>
              <m:t>c</m:t>
            </m:r>
          </m:sup>
        </m:sSubSup>
      </m:oMath>
      <w:r>
        <w:t xml:space="preserve"> </w:t>
      </w:r>
      <w:r>
        <w:t xml:space="preserve">es un efecto fijo de tiempo (dentro del país) y</w:t>
      </w:r>
      <w:r>
        <w:t xml:space="preserve"> </w:t>
      </w:r>
      <m:oMath>
        <m:sSubSup>
          <m:e>
            <m:r>
              <m:t>ε</m:t>
            </m:r>
          </m:e>
          <m:sub>
            <m:r>
              <m:t>o</m:t>
            </m:r>
            <m:r>
              <m:t>t</m:t>
            </m:r>
          </m:sub>
          <m:sup>
            <m:r>
              <m:t>c</m:t>
            </m:r>
          </m:sup>
        </m:sSubSup>
      </m:oMath>
      <w:r>
        <w:t xml:space="preserve"> </w:t>
      </w:r>
      <w:r>
        <w:t xml:space="preserve">es un error idiosincrático. Los controles a nivel del trabajador (edad, edad al cuadrado, género, categoría educativa, indicador urbano, jefatura de hogar) se absorben en la etapa de construcción de celdas al agregar los resultados dentro de celdas demográficas antes de la regresión.</w:t>
      </w:r>
    </w:p>
    <w:p>
      <w:pPr>
        <w:pStyle w:val="BodyText"/>
      </w:pPr>
      <w:r>
        <w:t xml:space="preserve">El coeficiente</w:t>
      </w:r>
      <w:r>
        <w:t xml:space="preserve"> </w:t>
      </w:r>
      <m:oMath>
        <m:sSup>
          <m:e>
            <m:r>
              <m:t>τ</m:t>
            </m:r>
          </m:e>
          <m:sup>
            <m:r>
              <m:t>c</m:t>
            </m:r>
          </m:sup>
        </m:sSup>
      </m:oMath>
      <w:r>
        <w:t xml:space="preserve"> </w:t>
      </w:r>
      <w:r>
        <w:t xml:space="preserve">es el parámetro ACRT del país</w:t>
      </w:r>
      <w:r>
        <w:t xml:space="preserve"> </w:t>
      </w:r>
      <m:oMath>
        <m:r>
          <m:t>c</m:t>
        </m:r>
      </m:oMath>
      <w:r>
        <w:t xml:space="preserve">. El efecto fijo de ocupación</w:t>
      </w:r>
      <w:r>
        <w:t xml:space="preserve"> </w:t>
      </w:r>
      <m:oMath>
        <m:sSubSup>
          <m:e>
            <m:r>
              <m:t>α</m:t>
            </m:r>
          </m:e>
          <m:sub>
            <m:r>
              <m:t>o</m:t>
            </m:r>
          </m:sub>
          <m:sup>
            <m:r>
              <m:t>c</m:t>
            </m:r>
          </m:sup>
        </m:sSubSup>
      </m:oMath>
      <w:r>
        <w:t xml:space="preserve"> </w:t>
      </w:r>
      <w:r>
        <w:t xml:space="preserve">absorbe el nivel de</w:t>
      </w:r>
      <w:r>
        <w:t xml:space="preserve"> </w:t>
      </w:r>
      <m:oMath>
        <m:sSub>
          <m:e>
            <m:r>
              <m:t>E</m:t>
            </m:r>
          </m:e>
          <m:sub>
            <m:r>
              <m:t>o</m:t>
            </m:r>
          </m:sub>
        </m:sSub>
      </m:oMath>
      <w:r>
        <w:t xml:space="preserve"> </w:t>
      </w:r>
      <w:r>
        <w:t xml:space="preserve">(que es invariante en el tiempo dentro de una ocupación) y la estructura salarial ocupacional de línea base específica del país. El efecto fijo de tiempo</w:t>
      </w:r>
      <w:r>
        <w:t xml:space="preserve"> </w:t>
      </w:r>
      <m:oMath>
        <m:sSubSup>
          <m:e>
            <m:r>
              <m:t>α</m:t>
            </m:r>
          </m:e>
          <m:sub>
            <m:r>
              <m:t>t</m:t>
            </m:r>
          </m:sub>
          <m:sup>
            <m:r>
              <m:t>c</m:t>
            </m:r>
          </m:sup>
        </m:sSubSup>
      </m:oMath>
      <w:r>
        <w:t xml:space="preserve"> </w:t>
      </w:r>
      <w:r>
        <w:t xml:space="preserve">absorbe los shocks macroeconómicos específicos del país, incluyendo la recuperación post-COVID y la inflación. Lo que queda es la variación intra-ocupación en cómo el resultado responde al indicador post-lanzamiento, ponderada por la intensidad de exposición. La</w:t>
      </w:r>
      <w:r>
        <w:t xml:space="preserve"> </w:t>
      </w:r>
      <w:hyperlink w:anchor="tab:fe_identification">
        <w:r>
          <w:rPr>
            <w:rStyle w:val="Hyperlink"/>
          </w:rPr>
          <w:t xml:space="preserve">2</w:t>
        </w:r>
      </w:hyperlink>
      <w:r>
        <w:t xml:space="preserve"> </w:t>
      </w:r>
      <w:r>
        <w:t xml:space="preserve">aclara qué identifica cada estructura de efectos fijos dentro de un único país.</w:t>
      </w:r>
    </w:p>
    <w:bookmarkStart w:id="31" w:name="tab:fe_identification"/>
    <w:p>
      <w:pPr>
        <w:pStyle w:val="TableCaption"/>
      </w:pPr>
      <w:r>
        <w:t xml:space="preserve">Estructuras de efectos fijos intra-país y qué identifican</w:t>
      </w:r>
    </w:p>
    <w:tbl>
      <w:tblPr>
        <w:tblStyle w:val="Table"/>
        <w:tblW w:type="auto" w:w="0"/>
        <w:tblLook w:firstRow="1" w:lastRow="0" w:firstColumn="0" w:lastColumn="0" w:noHBand="0" w:noVBand="0" w:val="0020"/>
        <w:tblCaption w:val="Estructuras de efectos fijos intra-país y qué identifican"/>
      </w:tblPr>
      <w:tblGrid>
        <w:gridCol w:w="2640"/>
        <w:gridCol w:w="2640"/>
        <w:gridCol w:w="2640"/>
      </w:tblGrid>
      <w:tr>
        <w:trPr>
          <w:tblHeader w:val="on"/>
        </w:trPr>
        <w:tc>
          <w:tcPr/>
          <w:p>
            <w:pPr>
              <w:pStyle w:val="Compact"/>
              <w:jc w:val="left"/>
            </w:pPr>
            <w:r>
              <w:t xml:space="preserve">Efectos fijos</w:t>
            </w:r>
          </w:p>
        </w:tc>
        <w:tc>
          <w:tcPr/>
          <w:p>
            <w:pPr>
              <w:pStyle w:val="Compact"/>
              <w:jc w:val="left"/>
            </w:pPr>
            <m:oMath>
              <m:sSup>
                <m:e>
                  <m:r>
                    <m:t>τ</m:t>
                  </m:r>
                </m:e>
                <m:sup>
                  <m:r>
                    <m:t>c</m:t>
                  </m:r>
                </m:sup>
              </m:sSup>
            </m:oMath>
            <w:r>
              <w:t xml:space="preserve"> </w:t>
            </w:r>
            <w:r>
              <w:t xml:space="preserve">identificado a partir de</w:t>
            </w:r>
          </w:p>
        </w:tc>
        <w:tc>
          <w:tcPr/>
          <w:p>
            <w:pPr>
              <w:pStyle w:val="Compact"/>
              <w:jc w:val="left"/>
            </w:pPr>
            <w:r>
              <w:t xml:space="preserve">Interpretación</w:t>
            </w:r>
          </w:p>
        </w:tc>
      </w:tr>
      <w:tr>
        <w:tc>
          <w:tcPr/>
          <w:p>
            <w:pPr>
              <w:pStyle w:val="Compact"/>
              <w:jc w:val="left"/>
            </w:pPr>
            <m:oMath>
              <m:sSubSup>
                <m:e>
                  <m:r>
                    <m:t>α</m:t>
                  </m:r>
                </m:e>
                <m:sub>
                  <m:r>
                    <m:t>o</m:t>
                  </m:r>
                </m:sub>
                <m:sup>
                  <m:r>
                    <m:t>c</m:t>
                  </m:r>
                </m:sup>
              </m:sSubSup>
              <m:r>
                <m:rPr>
                  <m:sty m:val="p"/>
                </m:rPr>
                <m:t>+</m:t>
              </m:r>
              <m:sSubSup>
                <m:e>
                  <m:r>
                    <m:t>α</m:t>
                  </m:r>
                </m:e>
                <m:sub>
                  <m:r>
                    <m:t>t</m:t>
                  </m:r>
                </m:sub>
                <m:sup>
                  <m:r>
                    <m:t>c</m:t>
                  </m:r>
                </m:sup>
              </m:sSubSup>
            </m:oMath>
          </w:p>
        </w:tc>
        <w:tc>
          <w:tcPr/>
          <w:p>
            <w:pPr>
              <w:pStyle w:val="Compact"/>
              <w:jc w:val="left"/>
            </w:pPr>
            <w:r>
              <w:t xml:space="preserve">Variación temporal intra-ocupación</w:t>
            </w:r>
          </w:p>
        </w:tc>
        <w:tc>
          <w:tcPr/>
          <w:p>
            <w:pPr>
              <w:pStyle w:val="Compact"/>
              <w:jc w:val="left"/>
            </w:pPr>
            <w:r>
              <w:rPr>
                <w:b/>
                <w:bCs/>
              </w:rPr>
              <w:t xml:space="preserve">DiD primario (intra-país)</w:t>
            </w:r>
          </w:p>
        </w:tc>
      </w:tr>
      <w:tr>
        <w:tc>
          <w:tcPr/>
          <w:p>
            <w:pPr>
              <w:pStyle w:val="Compact"/>
              <w:jc w:val="left"/>
            </w:pPr>
            <m:oMath>
              <m:sSubSup>
                <m:e>
                  <m:r>
                    <m:t>α</m:t>
                  </m:r>
                </m:e>
                <m:sub>
                  <m:r>
                    <m:t>o</m:t>
                  </m:r>
                  <m:r>
                    <m:t>t</m:t>
                  </m:r>
                </m:sub>
                <m:sup>
                  <m:r>
                    <m:t>c</m:t>
                  </m:r>
                </m:sup>
              </m:sSubSup>
            </m:oMath>
          </w:p>
        </w:tc>
        <w:tc>
          <w:tcPr/>
          <w:p>
            <w:pPr>
              <w:pStyle w:val="Compact"/>
              <w:jc w:val="left"/>
            </w:pPr>
            <w:r>
              <w:t xml:space="preserve">No identificado (tratamiento absorbido)</w:t>
            </w:r>
          </w:p>
        </w:tc>
        <w:tc>
          <w:tcPr/>
          <w:p>
            <w:pPr>
              <w:pStyle w:val="Compact"/>
              <w:jc w:val="left"/>
            </w:pPr>
            <w:r>
              <w:t xml:space="preserve">No estimado</w:t>
            </w:r>
          </w:p>
        </w:tc>
      </w:tr>
    </w:tbl>
    <w:bookmarkEnd w:id="31"/>
    <w:p>
      <w:pPr>
        <w:pStyle w:val="BodyText"/>
      </w:pPr>
      <w:r>
        <w:rPr>
          <w:i/>
          <w:iCs/>
        </w:rPr>
        <w:t xml:space="preserve">Notas:</w:t>
      </w:r>
      <w:r>
        <w:t xml:space="preserve"> </w:t>
      </w:r>
      <w:r>
        <w:t xml:space="preserve">Dentro del país</w:t>
      </w:r>
      <w:r>
        <w:t xml:space="preserve"> </w:t>
      </w:r>
      <m:oMath>
        <m:r>
          <m:t>c</m:t>
        </m:r>
      </m:oMath>
      <w:r>
        <w:t xml:space="preserve">, el DiD primario compara el cambio temporal intra-ocupación ponderado por</w:t>
      </w:r>
      <w:r>
        <w:t xml:space="preserve"> </w:t>
      </w:r>
      <m:oMath>
        <m:r>
          <m:t>β</m:t>
        </m:r>
      </m:oMath>
      <w:r>
        <w:t xml:space="preserve">. La comparación entre países ocurre al nivel de los seis valores estimados</w:t>
      </w:r>
      <w:r>
        <w:t xml:space="preserve"> </w:t>
      </w:r>
      <m:oMath>
        <m:sSup>
          <m:e>
            <m:acc>
              <m:accPr>
                <m:chr m:val="̂"/>
              </m:accPr>
              <m:e>
                <m:r>
                  <m:t>τ</m:t>
                </m:r>
              </m:e>
            </m:acc>
          </m:e>
          <m:sup>
            <m:r>
              <m:t>c</m:t>
            </m:r>
          </m:sup>
        </m:sSup>
      </m:oMath>
      <w:r>
        <w:t xml:space="preserve">, no dentro de una sola regresión.</w:t>
      </w:r>
    </w:p>
    <w:p>
      <w:pPr>
        <w:pStyle w:val="BodyText"/>
      </w:pPr>
      <w:r>
        <w:t xml:space="preserve">El resultado principal del artículo es la comparación lado a lado de</w:t>
      </w:r>
      <w:r>
        <w:t xml:space="preserve"> </w:t>
      </w:r>
      <m:oMath>
        <m:r>
          <m:rPr>
            <m:sty m:val="p"/>
          </m:rPr>
          <m:t>{</m:t>
        </m:r>
        <m:sSup>
          <m:e>
            <m:acc>
              <m:accPr>
                <m:chr m:val="̂"/>
              </m:accPr>
              <m:e>
                <m:r>
                  <m:t>τ</m:t>
                </m:r>
              </m:e>
            </m:acc>
          </m:e>
          <m:sup>
            <m:r>
              <m:t>c</m:t>
            </m:r>
          </m:sup>
        </m:sSup>
        <m:sSubSup>
          <m:e>
            <m:r>
              <m:rPr>
                <m:sty m:val="p"/>
              </m:rPr>
              <m:t>}</m:t>
            </m:r>
          </m:e>
          <m:sub>
            <m:r>
              <m:t>c</m:t>
            </m:r>
            <m:r>
              <m:rPr>
                <m:sty m:val="p"/>
              </m:rPr>
              <m:t>=</m:t>
            </m:r>
            <m:r>
              <m:t>1</m:t>
            </m:r>
          </m:sub>
          <m:sup>
            <m:r>
              <m:t>6</m:t>
            </m:r>
          </m:sup>
        </m:sSubSup>
      </m:oMath>
      <w:r>
        <w:t xml:space="preserve"> </w:t>
      </w:r>
      <w:r>
        <w:t xml:space="preserve">entre los seis países, reportada en la Tabla 1 de la</w:t>
      </w:r>
      <w:r>
        <w:t xml:space="preserve"> </w:t>
      </w:r>
      <w:hyperlink w:anchor="sec:results">
        <w:r>
          <w:rPr>
            <w:rStyle w:val="Hyperlink"/>
          </w:rPr>
          <w:t xml:space="preserve">6</w:t>
        </w:r>
      </w:hyperlink>
      <w:r>
        <w:t xml:space="preserve"> </w:t>
      </w:r>
      <w:r>
        <w:t xml:space="preserve">con una columna por país, y cada fila mostrando la estimación puntual específica del país, el error estándar y la cota de quiebre Honest-DiD. La variación entre países en</w:t>
      </w:r>
      <w:r>
        <w:t xml:space="preserve"> </w:t>
      </w:r>
      <m:oMath>
        <m:sSup>
          <m:e>
            <m:acc>
              <m:accPr>
                <m:chr m:val="̂"/>
              </m:accPr>
              <m:e>
                <m:r>
                  <m:t>τ</m:t>
                </m:r>
              </m:e>
            </m:acc>
          </m:e>
          <m:sup>
            <m:r>
              <m:t>c</m:t>
            </m:r>
          </m:sup>
        </m:sSup>
      </m:oMath>
      <w:r>
        <w:t xml:space="preserve"> </w:t>
      </w:r>
      <w:r>
        <w:t xml:space="preserve">es el objeto empírico de interés.</w:t>
      </w:r>
    </w:p>
    <w:p>
      <w:pPr>
        <w:pStyle w:val="BodyText"/>
      </w:pPr>
      <w:r>
        <w:t xml:space="preserve">También estimo la curva dosis-respuesta de manera no paramétrica dentro de cada país particionando la exposición en quintiles y estimando el ATT para cada quintil relativo al más bajo:</w:t>
      </w:r>
    </w:p>
    <w:p>
      <w:pPr>
        <w:pStyle w:val="BodyText"/>
      </w:pPr>
      <m:oMathPara>
        <m:oMathParaPr>
          <m:jc m:val="center"/>
        </m:oMathParaPr>
        <m:oMath>
          <m:sSubSup>
            <m:e>
              <m:r>
                <m:t>Y</m:t>
              </m:r>
            </m:e>
            <m:sub>
              <m:r>
                <m:t>o</m:t>
              </m:r>
              <m:r>
                <m:t>t</m:t>
              </m:r>
            </m:sub>
            <m:sup>
              <m:r>
                <m:t>c</m:t>
              </m:r>
            </m:sup>
          </m:sSubSup>
          <m:r>
            <m:t> </m:t>
          </m:r>
          <m:r>
            <m:rPr>
              <m:sty m:val="p"/>
            </m:rPr>
            <m:t>=</m:t>
          </m:r>
          <m:r>
            <m:t> </m:t>
          </m:r>
          <m:nary>
            <m:naryPr>
              <m:chr m:val="∑"/>
              <m:limLoc m:val="undOvr"/>
              <m:subHide m:val="off"/>
              <m:supHide m:val="off"/>
            </m:naryPr>
            <m:sub>
              <m:r>
                <m:t>q</m:t>
              </m:r>
              <m:r>
                <m:rPr>
                  <m:sty m:val="p"/>
                </m:rPr>
                <m:t>=</m:t>
              </m:r>
              <m:r>
                <m:t>2</m:t>
              </m:r>
            </m:sub>
            <m:sup>
              <m:r>
                <m:t>5</m:t>
              </m:r>
            </m:sup>
            <m:e>
              <m:sSubSup>
                <m:e>
                  <m:r>
                    <m:t>τ</m:t>
                  </m:r>
                </m:e>
                <m:sub>
                  <m:r>
                    <m:t>q</m:t>
                  </m:r>
                </m:sub>
                <m:sup>
                  <m:r>
                    <m:t>c</m:t>
                  </m:r>
                </m:sup>
              </m:sSubSup>
            </m:e>
          </m:nary>
          <m:r>
            <m:rPr>
              <m:sty m:val="p"/>
            </m:rPr>
            <m:t>⋅</m:t>
          </m:r>
          <m:r>
            <m:rPr>
              <m:scr m:val="double-struck"/>
              <m:sty m:val="p"/>
            </m:rPr>
            <m:t>1</m:t>
          </m:r>
          <m:r>
            <m:rPr>
              <m:sty m:val="p"/>
            </m:rPr>
            <m:t>[</m:t>
          </m:r>
          <m:sSub>
            <m:e>
              <m:r>
                <m:t>E</m:t>
              </m:r>
            </m:e>
            <m:sub>
              <m:r>
                <m:t>o</m:t>
              </m:r>
            </m:sub>
          </m:sSub>
          <m:r>
            <m:rPr>
              <m:sty m:val="p"/>
            </m:rPr>
            <m:t>∈</m:t>
          </m:r>
          <m:sSubSup>
            <m:e>
              <m:r>
                <m:t>Q</m:t>
              </m:r>
            </m:e>
            <m:sub>
              <m:r>
                <m:t>q</m:t>
              </m:r>
            </m:sub>
            <m:sup>
              <m:r>
                <m:t>c</m:t>
              </m:r>
            </m:sup>
          </m:sSubSup>
          <m:r>
            <m:rPr>
              <m:sty m:val="p"/>
            </m:rPr>
            <m:t>]</m:t>
          </m:r>
          <m:r>
            <m:rPr>
              <m:sty m:val="p"/>
            </m:rPr>
            <m:t>⋅</m:t>
          </m:r>
          <m:sSub>
            <m:e>
              <m:r>
                <m:rPr>
                  <m:nor/>
                  <m:sty m:val="p"/>
                </m:rPr>
                <m:t>Post</m:t>
              </m:r>
            </m:e>
            <m:sub>
              <m:r>
                <m:t>t</m:t>
              </m:r>
            </m:sub>
          </m:sSub>
          <m:r>
            <m:t> </m:t>
          </m:r>
          <m:r>
            <m:rPr>
              <m:sty m:val="p"/>
            </m:rPr>
            <m:t>+</m:t>
          </m:r>
          <m:r>
            <m:t> </m:t>
          </m:r>
          <m:sSubSup>
            <m:e>
              <m:r>
                <m:t>α</m:t>
              </m:r>
            </m:e>
            <m:sub>
              <m:r>
                <m:t>o</m:t>
              </m:r>
            </m:sub>
            <m:sup>
              <m:r>
                <m:t>c</m:t>
              </m:r>
            </m:sup>
          </m:sSubSup>
          <m:r>
            <m:t> </m:t>
          </m:r>
          <m:r>
            <m:rPr>
              <m:sty m:val="p"/>
            </m:rPr>
            <m:t>+</m:t>
          </m:r>
          <m:r>
            <m:t> </m:t>
          </m:r>
          <m:sSubSup>
            <m:e>
              <m:r>
                <m:t>α</m:t>
              </m:r>
            </m:e>
            <m:sub>
              <m:r>
                <m:t>t</m:t>
              </m:r>
            </m:sub>
            <m:sup>
              <m:r>
                <m:t>c</m:t>
              </m:r>
            </m:sup>
          </m:sSubSup>
          <m:r>
            <m:t> </m:t>
          </m:r>
          <m:r>
            <m:rPr>
              <m:sty m:val="p"/>
            </m:rPr>
            <m:t>+</m:t>
          </m:r>
          <m:r>
            <m:t> </m:t>
          </m:r>
          <m:sSubSup>
            <m:e>
              <m:r>
                <m:t>ε</m:t>
              </m:r>
            </m:e>
            <m:sub>
              <m:r>
                <m:t>o</m:t>
              </m:r>
              <m:r>
                <m:t>t</m:t>
              </m:r>
            </m:sub>
            <m:sup>
              <m:r>
                <m:t>c</m:t>
              </m:r>
            </m:sup>
          </m:sSubSup>
          <m:r>
            <m:rPr>
              <m:sty m:val="p"/>
            </m:rPr>
            <m:t>,</m:t>
          </m:r>
        </m:oMath>
      </m:oMathPara>
    </w:p>
    <w:p>
      <w:pPr>
        <w:pStyle w:val="FirstParagraph"/>
      </w:pPr>
      <w:r>
        <w:t xml:space="preserve">donde</w:t>
      </w:r>
      <w:r>
        <w:t xml:space="preserve"> </w:t>
      </w:r>
      <m:oMath>
        <m:sSubSup>
          <m:e>
            <m:r>
              <m:t>Q</m:t>
            </m:r>
          </m:e>
          <m:sub>
            <m:r>
              <m:t>q</m:t>
            </m:r>
          </m:sub>
          <m:sup>
            <m:r>
              <m:t>c</m:t>
            </m:r>
          </m:sup>
        </m:sSubSup>
      </m:oMath>
      <w:r>
        <w:t xml:space="preserve"> </w:t>
      </w:r>
      <w:r>
        <w:t xml:space="preserve">son los quintiles de exposición ponderados por empleo del país</w:t>
      </w:r>
      <w:r>
        <w:t xml:space="preserve"> </w:t>
      </w:r>
      <m:oMath>
        <m:r>
          <m:t>c</m:t>
        </m:r>
      </m:oMath>
      <w:r>
        <w:t xml:space="preserve">. La monotonicidad de</w:t>
      </w:r>
      <w:r>
        <w:t xml:space="preserve"> </w:t>
      </w:r>
      <m:oMath>
        <m:r>
          <m:rPr>
            <m:sty m:val="p"/>
          </m:rPr>
          <m:t>{</m:t>
        </m:r>
        <m:sSubSup>
          <m:e>
            <m:r>
              <m:t>τ</m:t>
            </m:r>
          </m:e>
          <m:sub>
            <m:r>
              <m:t>2</m:t>
            </m:r>
          </m:sub>
          <m:sup>
            <m:r>
              <m:t>c</m:t>
            </m:r>
          </m:sup>
        </m:sSubSup>
        <m:r>
          <m:rPr>
            <m:sty m:val="p"/>
          </m:rPr>
          <m:t>,</m:t>
        </m:r>
        <m:r>
          <m:rPr>
            <m:sty m:val="p"/>
          </m:rPr>
          <m:t>…</m:t>
        </m:r>
        <m:r>
          <m:rPr>
            <m:sty m:val="p"/>
          </m:rPr>
          <m:t>,</m:t>
        </m:r>
        <m:sSubSup>
          <m:e>
            <m:r>
              <m:t>τ</m:t>
            </m:r>
          </m:e>
          <m:sub>
            <m:r>
              <m:t>5</m:t>
            </m:r>
          </m:sub>
          <m:sup>
            <m:r>
              <m:t>c</m:t>
            </m:r>
          </m:sup>
        </m:sSubSup>
        <m:r>
          <m:rPr>
            <m:sty m:val="p"/>
          </m:rPr>
          <m:t>}</m:t>
        </m:r>
      </m:oMath>
      <w:r>
        <w:t xml:space="preserve"> </w:t>
      </w:r>
      <w:r>
        <w:t xml:space="preserve">es una implicancia contrastable de una relación dosis-respuesta limpia dentro del país</w:t>
      </w:r>
      <w:r>
        <w:t xml:space="preserve"> </w:t>
      </w:r>
      <m:oMath>
        <m:r>
          <m:t>c</m:t>
        </m:r>
      </m:oMath>
      <w:r>
        <w:t xml:space="preserve">.</w:t>
      </w:r>
    </w:p>
    <w:p>
      <w:pPr>
        <w:pStyle w:val="BodyText"/>
      </w:pPr>
      <w:r>
        <w:t xml:space="preserve">Las celdas se ponderan por el empleo expandido por la encuesta para representatividad poblacional, con estimaciones no ponderadas reportadas como robustez siguiendo a</w:t>
      </w:r>
      <w:r>
        <w:t xml:space="preserve"> </w:t>
      </w:r>
      <w:r>
        <w:t xml:space="preserve">Solon et al. (2015)</w:t>
      </w:r>
      <w:r>
        <w:t xml:space="preserve">. Los errores estándar se agrupan al nivel de la ocupación ISCO de 4 dígitos dentro del país, la unidad a la que varía</w:t>
      </w:r>
      <w:r>
        <w:t xml:space="preserve"> </w:t>
      </w:r>
      <m:oMath>
        <m:sSub>
          <m:e>
            <m:r>
              <m:t>E</m:t>
            </m:r>
          </m:e>
          <m:sub>
            <m:r>
              <m:t>o</m:t>
            </m:r>
          </m:sub>
        </m:sSub>
      </m:oMath>
      <w:r>
        <w:t xml:space="preserve"> </w:t>
      </w:r>
      <w:r>
        <w:t xml:space="preserve">(Abadie et al. 2023)</w:t>
      </w:r>
      <w:r>
        <w:t xml:space="preserve">. Para especificaciones con menos de cincuenta clusters (análisis de celdas de heterogeneidad dentro de países más pequeños), uso el bootstrap wild cluster vía</w:t>
      </w:r>
      <w:r>
        <w:t xml:space="preserve"> </w:t>
      </w:r>
      <w:r>
        <w:rPr>
          <w:rStyle w:val="VerbatimChar"/>
        </w:rPr>
        <w:t xml:space="preserve">fwildclusterboot</w:t>
      </w:r>
      <w:r>
        <w:t xml:space="preserve">.</w:t>
      </w:r>
    </w:p>
    <w:bookmarkEnd w:id="32"/>
    <w:bookmarkStart w:id="33" w:name="subsec:method_secondary"/>
    <w:p>
      <w:pPr>
        <w:pStyle w:val="Heading2"/>
      </w:pPr>
      <w:r>
        <w:rPr>
          <w:rStyle w:val="SectionNumber"/>
        </w:rPr>
        <w:t xml:space="preserve">4.4</w:t>
      </w:r>
      <w:r>
        <w:tab/>
      </w:r>
      <w:r>
        <w:t xml:space="preserve">Estimadores secundarios</w:t>
      </w:r>
    </w:p>
    <w:p>
      <w:pPr>
        <w:pStyle w:val="FirstParagraph"/>
      </w:pPr>
      <w:r>
        <w:t xml:space="preserve">Dos estimadores secundarios triangulan el resultado primario dentro de cada país. El primero es el DiD con corte binario de</w:t>
      </w:r>
      <w:r>
        <w:t xml:space="preserve"> </w:t>
      </w:r>
      <w:r>
        <w:t xml:space="preserve">Callaway and Sant’Anna (2021)</w:t>
      </w:r>
      <w:r>
        <w:t xml:space="preserve">:</w:t>
      </w:r>
    </w:p>
    <w:p>
      <w:pPr>
        <w:pStyle w:val="BodyText"/>
      </w:pPr>
      <m:oMathPara>
        <m:oMathParaPr>
          <m:jc m:val="center"/>
        </m:oMathParaPr>
        <m:oMath>
          <m:sSubSup>
            <m:e>
              <m:r>
                <m:t>Y</m:t>
              </m:r>
            </m:e>
            <m:sub>
              <m:r>
                <m:t>o</m:t>
              </m:r>
              <m:r>
                <m:t>t</m:t>
              </m:r>
            </m:sub>
            <m:sup>
              <m:r>
                <m:t>c</m:t>
              </m:r>
            </m:sup>
          </m:sSubSup>
          <m:r>
            <m:t> </m:t>
          </m:r>
          <m:r>
            <m:rPr>
              <m:sty m:val="p"/>
            </m:rPr>
            <m:t>=</m:t>
          </m:r>
          <m:r>
            <m:t> </m:t>
          </m:r>
          <m:sSup>
            <m:e>
              <m:r>
                <m:t>τ</m:t>
              </m:r>
            </m:e>
            <m:sup>
              <m:r>
                <m:t>c</m:t>
              </m:r>
              <m:r>
                <m:rPr>
                  <m:sty m:val="p"/>
                </m:rPr>
                <m:t>,</m:t>
              </m:r>
              <m:r>
                <m:rPr>
                  <m:nor/>
                  <m:sty m:val="p"/>
                </m:rPr>
                <m:t>bin</m:t>
              </m:r>
            </m:sup>
          </m:sSup>
          <m:r>
            <m:rPr>
              <m:sty m:val="p"/>
            </m:rPr>
            <m:t>⋅</m:t>
          </m:r>
          <m:r>
            <m:rPr>
              <m:sty m:val="p"/>
            </m:rPr>
            <m:t>(</m:t>
          </m:r>
          <m:sSub>
            <m:e>
              <m:r>
                <m:t>D</m:t>
              </m:r>
            </m:e>
            <m:sub>
              <m:r>
                <m:t>o</m:t>
              </m:r>
            </m:sub>
          </m:sSub>
          <m:r>
            <m:rPr>
              <m:sty m:val="p"/>
            </m:rPr>
            <m:t>⋅</m:t>
          </m:r>
          <m:sSub>
            <m:e>
              <m:r>
                <m:rPr>
                  <m:nor/>
                  <m:sty m:val="p"/>
                </m:rPr>
                <m:t>Post</m:t>
              </m:r>
            </m:e>
            <m:sub>
              <m:r>
                <m:t>t</m:t>
              </m:r>
            </m:sub>
          </m:sSub>
          <m:r>
            <m:rPr>
              <m:sty m:val="p"/>
            </m:rPr>
            <m:t>)</m:t>
          </m:r>
          <m:r>
            <m:t> </m:t>
          </m:r>
          <m:r>
            <m:rPr>
              <m:sty m:val="p"/>
            </m:rPr>
            <m:t>+</m:t>
          </m:r>
          <m:r>
            <m:t> </m:t>
          </m:r>
          <m:sSubSup>
            <m:e>
              <m:r>
                <m:t>α</m:t>
              </m:r>
            </m:e>
            <m:sub>
              <m:r>
                <m:t>o</m:t>
              </m:r>
            </m:sub>
            <m:sup>
              <m:r>
                <m:t>c</m:t>
              </m:r>
            </m:sup>
          </m:sSubSup>
          <m:r>
            <m:t> </m:t>
          </m:r>
          <m:r>
            <m:rPr>
              <m:sty m:val="p"/>
            </m:rPr>
            <m:t>+</m:t>
          </m:r>
          <m:r>
            <m:t> </m:t>
          </m:r>
          <m:sSubSup>
            <m:e>
              <m:r>
                <m:t>α</m:t>
              </m:r>
            </m:e>
            <m:sub>
              <m:r>
                <m:t>t</m:t>
              </m:r>
            </m:sub>
            <m:sup>
              <m:r>
                <m:t>c</m:t>
              </m:r>
            </m:sup>
          </m:sSubSup>
          <m:r>
            <m:t> </m:t>
          </m:r>
          <m:r>
            <m:rPr>
              <m:sty m:val="p"/>
            </m:rPr>
            <m:t>+</m:t>
          </m:r>
          <m:r>
            <m:t> </m:t>
          </m:r>
          <m:sSubSup>
            <m:e>
              <m:r>
                <m:t>ε</m:t>
              </m:r>
            </m:e>
            <m:sub>
              <m:r>
                <m:t>o</m:t>
              </m:r>
              <m:r>
                <m:t>t</m:t>
              </m:r>
            </m:sub>
            <m:sup>
              <m:r>
                <m:t>c</m:t>
              </m:r>
            </m:sup>
          </m:sSubSup>
          <m:r>
            <m:rPr>
              <m:sty m:val="p"/>
            </m:rPr>
            <m:t>,</m:t>
          </m:r>
          <m:r>
            <m:t>  </m:t>
          </m:r>
          <m:sSub>
            <m:e>
              <m:r>
                <m:t>D</m:t>
              </m:r>
            </m:e>
            <m:sub>
              <m:r>
                <m:t>o</m:t>
              </m:r>
            </m:sub>
          </m:sSub>
          <m:r>
            <m:rPr>
              <m:sty m:val="p"/>
            </m:rPr>
            <m:t>=</m:t>
          </m:r>
          <m:r>
            <m:rPr>
              <m:scr m:val="double-struck"/>
              <m:sty m:val="p"/>
            </m:rPr>
            <m:t>1</m:t>
          </m:r>
          <m:r>
            <m:rPr>
              <m:sty m:val="p"/>
            </m:rPr>
            <m:t>[</m:t>
          </m:r>
          <m:sSub>
            <m:e>
              <m:r>
                <m:t>E</m:t>
              </m:r>
            </m:e>
            <m:sub>
              <m:r>
                <m:t>o</m:t>
              </m:r>
            </m:sub>
          </m:sSub>
          <m:r>
            <m:rPr>
              <m:sty m:val="p"/>
            </m:rPr>
            <m:t>&gt;</m:t>
          </m:r>
          <m:sSup>
            <m:e>
              <m:r>
                <m:rPr>
                  <m:nor/>
                  <m:sty m:val="p"/>
                </m:rPr>
                <m:t>mediana</m:t>
              </m:r>
            </m:e>
            <m:sup>
              <m:r>
                <m:t>c</m:t>
              </m:r>
            </m:sup>
          </m:sSup>
          <m:r>
            <m:rPr>
              <m:sty m:val="p"/>
            </m:rPr>
            <m:t>(</m:t>
          </m:r>
          <m:r>
            <m:t>E</m:t>
          </m:r>
          <m:r>
            <m:rPr>
              <m:sty m:val="p"/>
            </m:rPr>
            <m:t>)</m:t>
          </m:r>
          <m:r>
            <m:rPr>
              <m:sty m:val="p"/>
            </m:rPr>
            <m:t>]</m:t>
          </m:r>
          <m:r>
            <m:rPr>
              <m:sty m:val="p"/>
            </m:rPr>
            <m:t>.</m:t>
          </m:r>
        </m:oMath>
      </m:oMathPara>
    </w:p>
    <w:p>
      <w:pPr>
        <w:pStyle w:val="FirstParagraph"/>
      </w:pPr>
      <w:r>
        <w:t xml:space="preserve">Esta especificación se reporta porque es el diseño de identificación usado por</w:t>
      </w:r>
      <w:r>
        <w:t xml:space="preserve"> </w:t>
      </w:r>
      <w:r>
        <w:t xml:space="preserve">Hartley et al. (2024)</w:t>
      </w:r>
      <w:r>
        <w:t xml:space="preserve">,</w:t>
      </w:r>
      <w:r>
        <w:t xml:space="preserve"> </w:t>
      </w:r>
      <w:r>
        <w:t xml:space="preserve">Hui et al. (2024)</w:t>
      </w:r>
      <w:r>
        <w:t xml:space="preserve"> </w:t>
      </w:r>
      <w:r>
        <w:t xml:space="preserve">y</w:t>
      </w:r>
      <w:r>
        <w:t xml:space="preserve"> </w:t>
      </w:r>
      <w:r>
        <w:t xml:space="preserve">Liu et al. (2023)</w:t>
      </w:r>
      <w:r>
        <w:t xml:space="preserve">, lo que permite una comparación directa de magnitudes. El corte es la mediana ponderada por empleo específica de cada país (</w:t>
      </w:r>
      <m:oMath>
        <m:r>
          <m:t>p</m:t>
        </m:r>
        <m:r>
          <m:t>50</m:t>
        </m:r>
      </m:oMath>
      <w:r>
        <w:t xml:space="preserve">). Uso la mediana específica del país en lugar del umbral teórico</w:t>
      </w:r>
      <w:r>
        <w:t xml:space="preserve"> </w:t>
      </w:r>
      <m:oMath>
        <m:r>
          <m:rPr>
            <m:sty m:val="p"/>
          </m:rPr>
          <m:t>&gt;</m:t>
        </m:r>
        <m:r>
          <m:t>50</m:t>
        </m:r>
        <m:r>
          <m:rPr>
            <m:sty m:val="p"/>
          </m:rPr>
          <m:t>%</m:t>
        </m:r>
      </m:oMath>
      <w:r>
        <w:t xml:space="preserve"> </w:t>
      </w:r>
      <w:r>
        <w:t xml:space="preserve">porque</w:t>
      </w:r>
      <w:r>
        <w:t xml:space="preserve"> </w:t>
      </w:r>
      <m:oMath>
        <m:r>
          <m:t>β</m:t>
        </m:r>
      </m:oMath>
      <w:r>
        <w:t xml:space="preserve"> </w:t>
      </w:r>
      <w:r>
        <w:t xml:space="preserve">de Eloundou tiene una larga cola izquierda; solo entre 5 y 10 por ciento de las ocupaciones ISCO-08 supera 0.5, de modo que un corte</w:t>
      </w:r>
      <w:r>
        <w:t xml:space="preserve"> </w:t>
      </w:r>
      <m:oMath>
        <m:r>
          <m:rPr>
            <m:sty m:val="p"/>
          </m:rPr>
          <m:t>&gt;</m:t>
        </m:r>
        <m:r>
          <m:t>50</m:t>
        </m:r>
        <m:r>
          <m:rPr>
            <m:sty m:val="p"/>
          </m:rPr>
          <m:t>%</m:t>
        </m:r>
      </m:oMath>
      <w:r>
        <w:t xml:space="preserve"> </w:t>
      </w:r>
      <w:r>
        <w:t xml:space="preserve">produce grupos extremadamente desbalanceados y errores estándar grandes. El corte mediano, usado por</w:t>
      </w:r>
      <w:r>
        <w:t xml:space="preserve"> </w:t>
      </w:r>
      <w:r>
        <w:t xml:space="preserve">Liu et al. (2023)</w:t>
      </w:r>
      <w:r>
        <w:t xml:space="preserve">, entrega celdas balanceadas preservando la interpretación binaria. La especificación continua (la primaria del artículo) no se ve afectada por esta elección. La robustez reporta cortes alternativos en el umbral teórico</w:t>
      </w:r>
      <w:r>
        <w:t xml:space="preserve"> </w:t>
      </w:r>
      <m:oMath>
        <m:r>
          <m:rPr>
            <m:sty m:val="p"/>
          </m:rPr>
          <m:t>&gt;</m:t>
        </m:r>
        <m:r>
          <m:t>50</m:t>
        </m:r>
        <m:r>
          <m:rPr>
            <m:sty m:val="p"/>
          </m:rPr>
          <m:t>%</m:t>
        </m:r>
      </m:oMath>
      <w:r>
        <w:t xml:space="preserve">, en los percentiles 25 y 75, y en la mediana agrupada entre países.</w:t>
      </w:r>
    </w:p>
    <w:p>
      <w:pPr>
        <w:pStyle w:val="BodyText"/>
      </w:pPr>
      <w:r>
        <w:t xml:space="preserve">El segundo estimador secundario es un estudio de eventos TWFE con interacción dosis-tiempo, estimado dentro de cada país. Cuando la cohorte tratada es única, como en este diseño donde las seis muestras comparten la misma fecha global</w:t>
      </w:r>
      <w:r>
        <w:t xml:space="preserve"> </w:t>
      </w:r>
      <m:oMath>
        <m:sSup>
          <m:e>
            <m:r>
              <m:t>t</m:t>
            </m:r>
          </m:e>
          <m:sup>
            <m:r>
              <m:rPr>
                <m:sty m:val="p"/>
              </m:rPr>
              <m:t>*</m:t>
            </m:r>
          </m:sup>
        </m:sSup>
        <m:r>
          <m:rPr>
            <m:sty m:val="p"/>
          </m:rPr>
          <m:t>=</m:t>
        </m:r>
        <m:r>
          <m:t>2022</m:t>
        </m:r>
        <m:r>
          <m:rPr>
            <m:nor/>
            <m:sty m:val="p"/>
          </m:rPr>
          <m:t>T4</m:t>
        </m:r>
      </m:oMath>
      <w:r>
        <w:t xml:space="preserve">, los problemas de contaminación entre cohortes que motivan a</w:t>
      </w:r>
      <w:r>
        <w:t xml:space="preserve"> </w:t>
      </w:r>
      <w:r>
        <w:t xml:space="preserve">Sun and Abraham (2021)</w:t>
      </w:r>
      <w:r>
        <w:t xml:space="preserve"> </w:t>
      </w:r>
      <w:r>
        <w:t xml:space="preserve">no aplican; la versión de</w:t>
      </w:r>
      <w:r>
        <w:t xml:space="preserve"> </w:t>
      </w:r>
      <w:r>
        <w:t xml:space="preserve">Chaisemartin et al. (2022)</w:t>
      </w:r>
      <w:r>
        <w:t xml:space="preserve"> </w:t>
      </w:r>
      <w:r>
        <w:t xml:space="preserve">formaliza el caso continuo. La interacción de</w:t>
      </w:r>
      <w:r>
        <w:t xml:space="preserve"> </w:t>
      </w:r>
      <w:r>
        <w:t xml:space="preserve">Sun and Abraham (2021)</w:t>
      </w:r>
      <w:r>
        <w:t xml:space="preserve"> </w:t>
      </w:r>
      <w:r>
        <w:t xml:space="preserve">se invoca como diagnóstico complementario donde el desbalance ocupacional lo justifica. La especificación es:</w:t>
      </w:r>
    </w:p>
    <w:p>
      <w:pPr>
        <w:pStyle w:val="BodyText"/>
      </w:pPr>
      <m:oMathPara>
        <m:oMathParaPr>
          <m:jc m:val="center"/>
        </m:oMathParaPr>
        <m:oMath>
          <m:sSubSup>
            <m:e>
              <m:r>
                <m:t>Y</m:t>
              </m:r>
            </m:e>
            <m:sub>
              <m:r>
                <m:t>o</m:t>
              </m:r>
              <m:r>
                <m:t>t</m:t>
              </m:r>
            </m:sub>
            <m:sup>
              <m:r>
                <m:t>c</m:t>
              </m:r>
            </m:sup>
          </m:sSubSup>
          <m:r>
            <m:t> </m:t>
          </m:r>
          <m:r>
            <m:rPr>
              <m:sty m:val="p"/>
            </m:rPr>
            <m:t>=</m:t>
          </m:r>
          <m:r>
            <m:t> </m:t>
          </m:r>
          <m:nary>
            <m:naryPr>
              <m:chr m:val="∑"/>
              <m:limLoc m:val="undOvr"/>
              <m:subHide m:val="off"/>
              <m:supHide m:val="off"/>
            </m:naryPr>
            <m:sub>
              <m:m>
                <m:mPr>
                  <m:baseJc m:val="center"/>
                  <m:plcHide m:val="on"/>
                  <m:mcs>
                    <m:mc>
                      <m:mcPr>
                        <m:mcJc m:val="center"/>
                        <m:count m:val="1"/>
                      </m:mcPr>
                    </m:mc>
                  </m:mcs>
                </m:mPr>
                <m:mr>
                  <m:e>
                    <m:r>
                      <m:t>k</m:t>
                    </m:r>
                    <m:r>
                      <m:rPr>
                        <m:sty m:val="p"/>
                      </m:rPr>
                      <m:t>=</m:t>
                    </m:r>
                    <m:r>
                      <m:rPr>
                        <m:sty m:val="p"/>
                      </m:rPr>
                      <m:t>−</m:t>
                    </m:r>
                    <m:r>
                      <m:t>K</m:t>
                    </m:r>
                  </m:e>
                </m:mr>
                <m:mr>
                  <m:e>
                    <m:r>
                      <m:t>k</m:t>
                    </m:r>
                    <m:r>
                      <m:rPr>
                        <m:sty m:val="p"/>
                      </m:rPr>
                      <m:t>≠</m:t>
                    </m:r>
                    <m:r>
                      <m:rPr>
                        <m:sty m:val="p"/>
                      </m:rPr>
                      <m:t>−</m:t>
                    </m:r>
                    <m:r>
                      <m:t>1</m:t>
                    </m:r>
                  </m:e>
                </m:mr>
              </m:m>
            </m:sub>
            <m:sup>
              <m:r>
                <m:t>K</m:t>
              </m:r>
            </m:sup>
            <m:e>
              <m:sSubSup>
                <m:e>
                  <m:r>
                    <m:t>θ</m:t>
                  </m:r>
                </m:e>
                <m:sub>
                  <m:r>
                    <m:t>k</m:t>
                  </m:r>
                </m:sub>
                <m:sup>
                  <m:r>
                    <m:t>c</m:t>
                  </m:r>
                </m:sup>
              </m:sSubSup>
            </m:e>
          </m:nary>
          <m:r>
            <m:rPr>
              <m:sty m:val="p"/>
            </m:rPr>
            <m:t>⋅</m:t>
          </m:r>
          <m:d>
            <m:dPr>
              <m:begChr m:val="("/>
              <m:sepChr m:val=""/>
              <m:endChr m:val=")"/>
              <m:grow/>
            </m:dPr>
            <m:e>
              <m:sSub>
                <m:e>
                  <m:r>
                    <m:t>E</m:t>
                  </m:r>
                </m:e>
                <m:sub>
                  <m:r>
                    <m:t>o</m:t>
                  </m:r>
                </m:sub>
              </m:sSub>
              <m:r>
                <m:rPr>
                  <m:sty m:val="p"/>
                </m:rPr>
                <m:t>⋅</m:t>
              </m:r>
              <m:r>
                <m:rPr>
                  <m:scr m:val="double-struck"/>
                  <m:sty m:val="p"/>
                </m:rPr>
                <m:t>1</m:t>
              </m:r>
              <m:r>
                <m:rPr>
                  <m:sty m:val="p"/>
                </m:rPr>
                <m:t>[</m:t>
              </m:r>
              <m:r>
                <m:t>t</m:t>
              </m:r>
              <m:r>
                <m:rPr>
                  <m:sty m:val="p"/>
                </m:rPr>
                <m:t>−</m:t>
              </m:r>
              <m:sSup>
                <m:e>
                  <m:r>
                    <m:t>t</m:t>
                  </m:r>
                </m:e>
                <m:sup>
                  <m:r>
                    <m:rPr>
                      <m:sty m:val="p"/>
                    </m:rPr>
                    <m:t>*</m:t>
                  </m:r>
                </m:sup>
              </m:sSup>
              <m:r>
                <m:rPr>
                  <m:sty m:val="p"/>
                </m:rPr>
                <m:t>=</m:t>
              </m:r>
              <m:r>
                <m:t>k</m:t>
              </m:r>
              <m:r>
                <m:rPr>
                  <m:sty m:val="p"/>
                </m:rPr>
                <m:t>]</m:t>
              </m:r>
            </m:e>
          </m:d>
          <m:r>
            <m:t> </m:t>
          </m:r>
          <m:r>
            <m:rPr>
              <m:sty m:val="p"/>
            </m:rPr>
            <m:t>+</m:t>
          </m:r>
          <m:r>
            <m:t> </m:t>
          </m:r>
          <m:sSubSup>
            <m:e>
              <m:r>
                <m:t>α</m:t>
              </m:r>
            </m:e>
            <m:sub>
              <m:r>
                <m:t>o</m:t>
              </m:r>
            </m:sub>
            <m:sup>
              <m:r>
                <m:t>c</m:t>
              </m:r>
            </m:sup>
          </m:sSubSup>
          <m:r>
            <m:t> </m:t>
          </m:r>
          <m:r>
            <m:rPr>
              <m:sty m:val="p"/>
            </m:rPr>
            <m:t>+</m:t>
          </m:r>
          <m:r>
            <m:t> </m:t>
          </m:r>
          <m:sSubSup>
            <m:e>
              <m:r>
                <m:t>α</m:t>
              </m:r>
            </m:e>
            <m:sub>
              <m:r>
                <m:t>t</m:t>
              </m:r>
            </m:sub>
            <m:sup>
              <m:r>
                <m:t>c</m:t>
              </m:r>
            </m:sup>
          </m:sSubSup>
          <m:r>
            <m:t> </m:t>
          </m:r>
          <m:r>
            <m:rPr>
              <m:sty m:val="p"/>
            </m:rPr>
            <m:t>+</m:t>
          </m:r>
          <m:r>
            <m:t> </m:t>
          </m:r>
          <m:sSubSup>
            <m:e>
              <m:r>
                <m:t>ε</m:t>
              </m:r>
            </m:e>
            <m:sub>
              <m:r>
                <m:t>o</m:t>
              </m:r>
              <m:r>
                <m:t>t</m:t>
              </m:r>
            </m:sub>
            <m:sup>
              <m:r>
                <m:t>c</m:t>
              </m:r>
            </m:sup>
          </m:sSubSup>
          <m:r>
            <m:rPr>
              <m:sty m:val="p"/>
            </m:rPr>
            <m:t>,</m:t>
          </m:r>
        </m:oMath>
      </m:oMathPara>
    </w:p>
    <w:p>
      <w:pPr>
        <w:pStyle w:val="FirstParagraph"/>
      </w:pPr>
      <w:r>
        <w:t xml:space="preserve">donde</w:t>
      </w:r>
      <w:r>
        <w:t xml:space="preserve"> </w:t>
      </w:r>
      <m:oMath>
        <m:sSup>
          <m:e>
            <m:r>
              <m:t>t</m:t>
            </m:r>
          </m:e>
          <m:sup>
            <m:r>
              <m:rPr>
                <m:sty m:val="p"/>
              </m:rPr>
              <m:t>*</m:t>
            </m:r>
          </m:sup>
        </m:sSup>
        <m:r>
          <m:rPr>
            <m:sty m:val="p"/>
          </m:rPr>
          <m:t>=</m:t>
        </m:r>
        <m:r>
          <m:t>2023</m:t>
        </m:r>
        <m:r>
          <m:rPr>
            <m:nor/>
            <m:sty m:val="p"/>
          </m:rPr>
          <m:t>T1</m:t>
        </m:r>
      </m:oMath>
      <w:r>
        <w:t xml:space="preserve"> </w:t>
      </w:r>
      <w:r>
        <w:t xml:space="preserve">es la fecha de tratamiento y</w:t>
      </w:r>
      <w:r>
        <w:t xml:space="preserve"> </w:t>
      </w:r>
      <m:oMath>
        <m:r>
          <m:t>k</m:t>
        </m:r>
        <m:r>
          <m:rPr>
            <m:sty m:val="p"/>
          </m:rPr>
          <m:t>=</m:t>
        </m:r>
        <m:r>
          <m:rPr>
            <m:sty m:val="p"/>
          </m:rPr>
          <m:t>−</m:t>
        </m:r>
        <m:r>
          <m:t>1</m:t>
        </m:r>
      </m:oMath>
      <w:r>
        <w:t xml:space="preserve"> </w:t>
      </w:r>
      <w:r>
        <w:t xml:space="preserve">es el período de referencia. Tras la armonización temporal a trimestre móvil descrita en la</w:t>
      </w:r>
      <w:r>
        <w:t xml:space="preserve"> </w:t>
      </w:r>
      <w:hyperlink w:anchor="tab:surveys">
        <w:r>
          <w:rPr>
            <w:rStyle w:val="Hyperlink"/>
          </w:rPr>
          <w:t xml:space="preserve">1</w:t>
        </w:r>
      </w:hyperlink>
      <w:r>
        <w:t xml:space="preserve">, los seis países comparten una ventana común de eventos</w:t>
      </w:r>
      <w:r>
        <w:t xml:space="preserve"> </w:t>
      </w:r>
      <m:oMath>
        <m:r>
          <m:t>k</m:t>
        </m:r>
        <m:r>
          <m:rPr>
            <m:sty m:val="p"/>
          </m:rPr>
          <m:t>∈</m:t>
        </m:r>
        <m:r>
          <m:rPr>
            <m:sty m:val="p"/>
          </m:rPr>
          <m:t>[</m:t>
        </m:r>
        <m:r>
          <m:rPr>
            <m:sty m:val="p"/>
          </m:rPr>
          <m:t>−</m:t>
        </m:r>
        <m:r>
          <m:t>7</m:t>
        </m:r>
        <m:r>
          <m:rPr>
            <m:sty m:val="p"/>
          </m:rPr>
          <m:t>,</m:t>
        </m:r>
        <m:r>
          <m:rPr>
            <m:sty m:val="p"/>
          </m:rPr>
          <m:t>+</m:t>
        </m:r>
        <m:r>
          <m:t>12</m:t>
        </m:r>
        <m:r>
          <m:rPr>
            <m:sty m:val="p"/>
          </m:rPr>
          <m:t>]</m:t>
        </m:r>
      </m:oMath>
      <w:r>
        <w:t xml:space="preserve"> </w:t>
      </w:r>
      <w:r>
        <w:t xml:space="preserve">trimestres en torno al lanzamiento, con</w:t>
      </w:r>
      <w:r>
        <w:t xml:space="preserve"> </w:t>
      </w:r>
      <m:oMath>
        <m:r>
          <m:t>k</m:t>
        </m:r>
        <m:r>
          <m:rPr>
            <m:sty m:val="p"/>
          </m:rPr>
          <m:t>=</m:t>
        </m:r>
        <m:r>
          <m:rPr>
            <m:sty m:val="p"/>
          </m:rPr>
          <m:t>−</m:t>
        </m:r>
        <m:r>
          <m:t>1</m:t>
        </m:r>
      </m:oMath>
      <w:r>
        <w:t xml:space="preserve"> </w:t>
      </w:r>
      <w:r>
        <w:t xml:space="preserve">(2022T3) como referencia y</w:t>
      </w:r>
      <w:r>
        <w:t xml:space="preserve"> </w:t>
      </w:r>
      <m:oMath>
        <m:r>
          <m:t>k</m:t>
        </m:r>
        <m:r>
          <m:rPr>
            <m:sty m:val="p"/>
          </m:rPr>
          <m:t>=</m:t>
        </m:r>
        <m:r>
          <m:t>0</m:t>
        </m:r>
      </m:oMath>
      <w:r>
        <w:t xml:space="preserve"> </w:t>
      </w:r>
      <w:r>
        <w:t xml:space="preserve">(2022T4) excluido como buffer. El patrón esperado es</w:t>
      </w:r>
      <w:r>
        <w:t xml:space="preserve"> </w:t>
      </w:r>
      <m:oMath>
        <m:sSubSup>
          <m:e>
            <m:r>
              <m:t>θ</m:t>
            </m:r>
          </m:e>
          <m:sub>
            <m:r>
              <m:t>k</m:t>
            </m:r>
          </m:sub>
          <m:sup>
            <m:r>
              <m:t>c</m:t>
            </m:r>
          </m:sup>
        </m:sSubSup>
      </m:oMath>
      <w:r>
        <w:t xml:space="preserve"> </w:t>
      </w:r>
      <w:r>
        <w:t xml:space="preserve">plano para</w:t>
      </w:r>
      <w:r>
        <w:t xml:space="preserve"> </w:t>
      </w:r>
      <m:oMath>
        <m:r>
          <m:t>k</m:t>
        </m:r>
        <m:r>
          <m:rPr>
            <m:sty m:val="p"/>
          </m:rPr>
          <m:t>&lt;</m:t>
        </m:r>
        <m:r>
          <m:rPr>
            <m:sty m:val="p"/>
          </m:rPr>
          <m:t>−</m:t>
        </m:r>
        <m:r>
          <m:t>1</m:t>
        </m:r>
      </m:oMath>
      <w:r>
        <w:t xml:space="preserve"> </w:t>
      </w:r>
      <w:r>
        <w:t xml:space="preserve">(tendencias previas paralelas) y un cambio de escalón en</w:t>
      </w:r>
      <w:r>
        <w:t xml:space="preserve"> </w:t>
      </w:r>
      <m:oMath>
        <m:r>
          <m:t>k</m:t>
        </m:r>
        <m:r>
          <m:rPr>
            <m:sty m:val="p"/>
          </m:rPr>
          <m:t>=</m:t>
        </m:r>
        <m:r>
          <m:rPr>
            <m:sty m:val="p"/>
          </m:rPr>
          <m:t>+</m:t>
        </m:r>
        <m:r>
          <m:t>1</m:t>
        </m:r>
      </m:oMath>
      <w:r>
        <w:t xml:space="preserve"> </w:t>
      </w:r>
      <w:r>
        <w:t xml:space="preserve">que persiste o crece.</w:t>
      </w:r>
    </w:p>
    <w:p>
      <w:pPr>
        <w:pStyle w:val="BodyText"/>
      </w:pPr>
      <w:r>
        <w:t xml:space="preserve">Una especificación shift-share específica por país sigue a</w:t>
      </w:r>
      <w:r>
        <w:t xml:space="preserve"> </w:t>
      </w:r>
      <w:r>
        <w:t xml:space="preserve">Goldsmith-Pinkham et al. (2020)</w:t>
      </w:r>
      <w:r>
        <w:t xml:space="preserve"> </w:t>
      </w:r>
      <w:r>
        <w:t xml:space="preserve">y</w:t>
      </w:r>
      <w:r>
        <w:t xml:space="preserve"> </w:t>
      </w:r>
      <w:r>
        <w:t xml:space="preserve">Borusyak et al. (2022)</w:t>
      </w:r>
      <w:r>
        <w:t xml:space="preserve">. Para cada mercado laboral local</w:t>
      </w:r>
      <w:r>
        <w:t xml:space="preserve"> </w:t>
      </w:r>
      <m:oMath>
        <m:r>
          <m:t>ℓ</m:t>
        </m:r>
      </m:oMath>
      <w:r>
        <w:t xml:space="preserve"> </w:t>
      </w:r>
      <w:r>
        <w:t xml:space="preserve">en el país</w:t>
      </w:r>
      <w:r>
        <w:t xml:space="preserve"> </w:t>
      </w:r>
      <m:oMath>
        <m:r>
          <m:t>c</m:t>
        </m:r>
      </m:oMath>
      <w:r>
        <w:t xml:space="preserve">, construyo un índice de exposición por participación ocupacional predeterminada</w:t>
      </w:r>
      <w:r>
        <w:t xml:space="preserve"> </w:t>
      </w:r>
      <m:oMath>
        <m:sSub>
          <m:e>
            <m:r>
              <m:t>Z</m:t>
            </m:r>
          </m:e>
          <m:sub>
            <m:r>
              <m:t>ℓ</m:t>
            </m:r>
            <m:r>
              <m:t>c</m:t>
            </m:r>
          </m:sub>
        </m:sSub>
        <m:r>
          <m:rPr>
            <m:sty m:val="p"/>
          </m:rPr>
          <m:t>=</m:t>
        </m:r>
        <m:nary>
          <m:naryPr>
            <m:chr m:val="∑"/>
            <m:limLoc m:val="undOvr"/>
            <m:subHide m:val="off"/>
            <m:supHide m:val="on"/>
          </m:naryPr>
          <m:sub>
            <m:r>
              <m:t>o</m:t>
            </m:r>
          </m:sub>
          <m:sup>
            <m:r>
              <m:t>​</m:t>
            </m:r>
          </m:sup>
          <m:e>
            <m:sSub>
              <m:e>
                <m:r>
                  <m:rPr>
                    <m:nor/>
                    <m:sty m:val="p"/>
                  </m:rPr>
                  <m:t>emp</m:t>
                </m:r>
              </m:e>
              <m:sub>
                <m:r>
                  <m:t>o</m:t>
                </m:r>
                <m:r>
                  <m:rPr>
                    <m:sty m:val="p"/>
                  </m:rPr>
                  <m:t>,</m:t>
                </m:r>
                <m:r>
                  <m:t>ℓ</m:t>
                </m:r>
                <m:r>
                  <m:t>c</m:t>
                </m:r>
                <m:r>
                  <m:rPr>
                    <m:sty m:val="p"/>
                  </m:rPr>
                  <m:t>,</m:t>
                </m:r>
                <m:r>
                  <m:t>2021</m:t>
                </m:r>
              </m:sub>
            </m:sSub>
          </m:e>
        </m:nary>
        <m:r>
          <m:rPr>
            <m:sty m:val="p"/>
          </m:rPr>
          <m:t>⋅</m:t>
        </m:r>
        <m:sSub>
          <m:e>
            <m:r>
              <m:t>E</m:t>
            </m:r>
          </m:e>
          <m:sub>
            <m:r>
              <m:t>o</m:t>
            </m:r>
          </m:sub>
        </m:sSub>
      </m:oMath>
      <w:r>
        <w:t xml:space="preserve"> </w:t>
      </w:r>
      <w:r>
        <w:t xml:space="preserve">usando las participaciones de empleo de 2021 (el primer año post-COVID, predeterminado respecto a ChatGPT por dos años) y estimo</w:t>
      </w:r>
    </w:p>
    <w:p>
      <w:pPr>
        <w:pStyle w:val="BodyText"/>
      </w:pPr>
      <m:oMathPara>
        <m:oMathParaPr>
          <m:jc m:val="center"/>
        </m:oMathParaPr>
        <m:oMath>
          <m:sSubSup>
            <m:e>
              <m:r>
                <m:t>Y</m:t>
              </m:r>
            </m:e>
            <m:sub>
              <m:r>
                <m:t>ℓ</m:t>
              </m:r>
              <m:r>
                <m:t>t</m:t>
              </m:r>
            </m:sub>
            <m:sup>
              <m:r>
                <m:t>c</m:t>
              </m:r>
            </m:sup>
          </m:sSubSup>
          <m:r>
            <m:t> </m:t>
          </m:r>
          <m:r>
            <m:rPr>
              <m:sty m:val="p"/>
            </m:rPr>
            <m:t>=</m:t>
          </m:r>
          <m:r>
            <m:t> </m:t>
          </m:r>
          <m:sSup>
            <m:e>
              <m:r>
                <m:t>γ</m:t>
              </m:r>
            </m:e>
            <m:sup>
              <m:r>
                <m:t>c</m:t>
              </m:r>
            </m:sup>
          </m:sSup>
          <m:r>
            <m:rPr>
              <m:sty m:val="p"/>
            </m:rPr>
            <m:t>⋅</m:t>
          </m:r>
          <m:r>
            <m:rPr>
              <m:sty m:val="p"/>
            </m:rPr>
            <m:t>(</m:t>
          </m:r>
          <m:sSub>
            <m:e>
              <m:r>
                <m:t>Z</m:t>
              </m:r>
            </m:e>
            <m:sub>
              <m:r>
                <m:t>ℓ</m:t>
              </m:r>
              <m:r>
                <m:t>c</m:t>
              </m:r>
            </m:sub>
          </m:sSub>
          <m:r>
            <m:rPr>
              <m:sty m:val="p"/>
            </m:rPr>
            <m:t>⋅</m:t>
          </m:r>
          <m:sSub>
            <m:e>
              <m:r>
                <m:rPr>
                  <m:nor/>
                  <m:sty m:val="p"/>
                </m:rPr>
                <m:t>Post</m:t>
              </m:r>
            </m:e>
            <m:sub>
              <m:r>
                <m:t>t</m:t>
              </m:r>
            </m:sub>
          </m:sSub>
          <m:r>
            <m:rPr>
              <m:sty m:val="p"/>
            </m:rPr>
            <m:t>)</m:t>
          </m:r>
          <m:r>
            <m:t> </m:t>
          </m:r>
          <m:r>
            <m:rPr>
              <m:sty m:val="p"/>
            </m:rPr>
            <m:t>+</m:t>
          </m:r>
          <m:r>
            <m:t> </m:t>
          </m:r>
          <m:sSubSup>
            <m:e>
              <m:r>
                <m:t>α</m:t>
              </m:r>
            </m:e>
            <m:sub>
              <m:r>
                <m:t>ℓ</m:t>
              </m:r>
            </m:sub>
            <m:sup>
              <m:r>
                <m:t>c</m:t>
              </m:r>
            </m:sup>
          </m:sSubSup>
          <m:r>
            <m:t> </m:t>
          </m:r>
          <m:r>
            <m:rPr>
              <m:sty m:val="p"/>
            </m:rPr>
            <m:t>+</m:t>
          </m:r>
          <m:r>
            <m:t> </m:t>
          </m:r>
          <m:sSubSup>
            <m:e>
              <m:r>
                <m:t>α</m:t>
              </m:r>
            </m:e>
            <m:sub>
              <m:r>
                <m:t>t</m:t>
              </m:r>
            </m:sub>
            <m:sup>
              <m:r>
                <m:t>c</m:t>
              </m:r>
            </m:sup>
          </m:sSubSup>
          <m:r>
            <m:t> </m:t>
          </m:r>
          <m:r>
            <m:rPr>
              <m:sty m:val="p"/>
            </m:rPr>
            <m:t>+</m:t>
          </m:r>
          <m:r>
            <m:t> </m:t>
          </m:r>
          <m:sSubSup>
            <m:e>
              <m:r>
                <m:t>ε</m:t>
              </m:r>
            </m:e>
            <m:sub>
              <m:r>
                <m:t>ℓ</m:t>
              </m:r>
              <m:r>
                <m:t>t</m:t>
              </m:r>
            </m:sub>
            <m:sup>
              <m:r>
                <m:t>c</m:t>
              </m:r>
            </m:sup>
          </m:sSubSup>
          <m:r>
            <m:rPr>
              <m:sty m:val="p"/>
            </m:rPr>
            <m:t>.</m:t>
          </m:r>
        </m:oMath>
      </m:oMathPara>
    </w:p>
    <w:p>
      <w:pPr>
        <w:pStyle w:val="FirstParagraph"/>
      </w:pPr>
      <w:r>
        <w:t xml:space="preserve">El shift en este diseño es específico del país (el shock de adopción del país en la era de ChatGPT); las shares también son específicas del país (la composición local del empleo de 2021 de cada país). Las ponderaciones de Rotemberg se reportan en una tabla del apéndice con una discusión narrativa de las ocupaciones más ponderadas dentro de cada país. La robustez re-estima descartando la ocupación con mayor ponderación y usando las shares promedio 2021–2022. La inferencia usa los errores estándar de Adão-Kolesár-Morales vía</w:t>
      </w:r>
      <w:r>
        <w:t xml:space="preserve"> </w:t>
      </w:r>
      <w:r>
        <w:rPr>
          <w:rStyle w:val="VerbatimChar"/>
        </w:rPr>
        <w:t xml:space="preserve">ShiftShareSE</w:t>
      </w:r>
      <w:r>
        <w:t xml:space="preserve">.</w:t>
      </w:r>
    </w:p>
    <w:bookmarkEnd w:id="33"/>
    <w:bookmarkStart w:id="34" w:name="subsec:method_assumptions"/>
    <w:p>
      <w:pPr>
        <w:pStyle w:val="Heading2"/>
      </w:pPr>
      <w:r>
        <w:rPr>
          <w:rStyle w:val="SectionNumber"/>
        </w:rPr>
        <w:t xml:space="preserve">4.5</w:t>
      </w:r>
      <w:r>
        <w:tab/>
      </w:r>
      <w:r>
        <w:t xml:space="preserve">Supuestos identificadores</w:t>
      </w:r>
    </w:p>
    <w:p>
      <w:pPr>
        <w:pStyle w:val="FirstParagraph"/>
      </w:pPr>
      <w:r>
        <w:t xml:space="preserve">La especificación país por país identifica</w:t>
      </w:r>
      <w:r>
        <w:t xml:space="preserve"> </w:t>
      </w:r>
      <m:oMath>
        <m:sSup>
          <m:e>
            <m:r>
              <m:t>τ</m:t>
            </m:r>
          </m:e>
          <m:sup>
            <m:r>
              <m:t>c</m:t>
            </m:r>
          </m:sup>
        </m:sSup>
      </m:oMath>
      <w:r>
        <w:t xml:space="preserve"> </w:t>
      </w:r>
      <w:r>
        <w:t xml:space="preserve">bajo cuatro supuestos, evaluados por separado dentro de cada país.</w:t>
      </w:r>
    </w:p>
    <w:p>
      <w:pPr>
        <w:pStyle w:val="BodyText"/>
      </w:pPr>
      <w:r>
        <w:rPr>
          <w:i/>
          <w:iCs/>
        </w:rPr>
        <w:t xml:space="preserve">Tendencias paralelas.</w:t>
      </w:r>
      <w:r>
        <w:t xml:space="preserve"> </w:t>
      </w:r>
      <w:r>
        <w:t xml:space="preserve">Dentro del país</w:t>
      </w:r>
      <w:r>
        <w:t xml:space="preserve"> </w:t>
      </w:r>
      <m:oMath>
        <m:r>
          <m:t>c</m:t>
        </m:r>
      </m:oMath>
      <w:r>
        <w:t xml:space="preserve">, para cualquier nivel de exposición</w:t>
      </w:r>
      <w:r>
        <w:t xml:space="preserve"> </w:t>
      </w:r>
      <m:oMath>
        <m:r>
          <m:t>e</m:t>
        </m:r>
      </m:oMath>
      <w:r>
        <w:t xml:space="preserve">, la trayectoria contrafactual del resultado para ocupaciones tratadas habría evolucionado en paralelo con la trayectoria de las ocupaciones de exposición cero en ausencia del shock de LLM. Formalmente,</w:t>
      </w:r>
      <w:r>
        <w:t xml:space="preserve"> </w:t>
      </w:r>
      <m:oMath>
        <m:r>
          <m:rPr>
            <m:scr m:val="double-struck"/>
            <m:sty m:val="p"/>
          </m:rPr>
          <m:t>E</m:t>
        </m:r>
        <m:r>
          <m:rPr>
            <m:sty m:val="p"/>
          </m:rPr>
          <m:t>[</m:t>
        </m:r>
        <m:sSubSup>
          <m:e>
            <m:r>
              <m:t>Y</m:t>
            </m:r>
          </m:e>
          <m:sub>
            <m:r>
              <m:t>o</m:t>
            </m:r>
            <m:r>
              <m:t>t</m:t>
            </m:r>
          </m:sub>
          <m:sup>
            <m:r>
              <m:t>c</m:t>
            </m:r>
          </m:sup>
        </m:sSubSup>
        <m:r>
          <m:rPr>
            <m:sty m:val="p"/>
          </m:rPr>
          <m:t>(</m:t>
        </m:r>
        <m:r>
          <m:t>0</m:t>
        </m:r>
        <m:r>
          <m:rPr>
            <m:sty m:val="p"/>
          </m:rPr>
          <m:t>)</m:t>
        </m:r>
        <m:r>
          <m:rPr>
            <m:sty m:val="p"/>
          </m:rPr>
          <m:t>−</m:t>
        </m:r>
        <m:sSubSup>
          <m:e>
            <m:r>
              <m:t>Y</m:t>
            </m:r>
          </m:e>
          <m:sub>
            <m:r>
              <m:t>o</m:t>
            </m:r>
            <m:r>
              <m:rPr>
                <m:sty m:val="p"/>
              </m:rPr>
              <m:t>,</m:t>
            </m:r>
            <m:sSup>
              <m:e>
                <m:r>
                  <m:t>t</m:t>
                </m:r>
              </m:e>
              <m:sup>
                <m:r>
                  <m:rPr>
                    <m:sty m:val="p"/>
                  </m:rPr>
                  <m:t>*</m:t>
                </m:r>
              </m:sup>
            </m:sSup>
            <m:r>
              <m:rPr>
                <m:sty m:val="p"/>
              </m:rPr>
              <m:t>−</m:t>
            </m:r>
            <m:r>
              <m:t>1</m:t>
            </m:r>
          </m:sub>
          <m:sup>
            <m:r>
              <m:t>c</m:t>
            </m:r>
          </m:sup>
        </m:sSubSup>
        <m:r>
          <m:rPr>
            <m:sty m:val="p"/>
          </m:rPr>
          <m:t>(</m:t>
        </m:r>
        <m:r>
          <m:t>0</m:t>
        </m:r>
        <m:r>
          <m:rPr>
            <m:sty m:val="p"/>
          </m:rPr>
          <m:t>)</m:t>
        </m:r>
        <m:r>
          <m:rPr>
            <m:sty m:val="p"/>
          </m:rPr>
          <m:t>∣</m:t>
        </m:r>
        <m:sSub>
          <m:e>
            <m:r>
              <m:t>E</m:t>
            </m:r>
          </m:e>
          <m:sub>
            <m:r>
              <m:t>o</m:t>
            </m:r>
          </m:sub>
        </m:sSub>
        <m:r>
          <m:rPr>
            <m:sty m:val="p"/>
          </m:rPr>
          <m:t>=</m:t>
        </m:r>
        <m:r>
          <m:t>e</m:t>
        </m:r>
        <m:r>
          <m:rPr>
            <m:sty m:val="p"/>
          </m:rPr>
          <m:t>]</m:t>
        </m:r>
        <m:r>
          <m:rPr>
            <m:sty m:val="p"/>
          </m:rPr>
          <m:t>=</m:t>
        </m:r>
        <m:r>
          <m:rPr>
            <m:scr m:val="double-struck"/>
            <m:sty m:val="p"/>
          </m:rPr>
          <m:t>E</m:t>
        </m:r>
        <m:r>
          <m:rPr>
            <m:sty m:val="p"/>
          </m:rPr>
          <m:t>[</m:t>
        </m:r>
        <m:sSubSup>
          <m:e>
            <m:r>
              <m:t>Y</m:t>
            </m:r>
          </m:e>
          <m:sub>
            <m:r>
              <m:t>o</m:t>
            </m:r>
            <m:r>
              <m:t>t</m:t>
            </m:r>
          </m:sub>
          <m:sup>
            <m:r>
              <m:t>c</m:t>
            </m:r>
          </m:sup>
        </m:sSubSup>
        <m:r>
          <m:rPr>
            <m:sty m:val="p"/>
          </m:rPr>
          <m:t>(</m:t>
        </m:r>
        <m:r>
          <m:t>0</m:t>
        </m:r>
        <m:r>
          <m:rPr>
            <m:sty m:val="p"/>
          </m:rPr>
          <m:t>)</m:t>
        </m:r>
        <m:r>
          <m:rPr>
            <m:sty m:val="p"/>
          </m:rPr>
          <m:t>−</m:t>
        </m:r>
        <m:sSubSup>
          <m:e>
            <m:r>
              <m:t>Y</m:t>
            </m:r>
          </m:e>
          <m:sub>
            <m:r>
              <m:t>o</m:t>
            </m:r>
            <m:r>
              <m:rPr>
                <m:sty m:val="p"/>
              </m:rPr>
              <m:t>,</m:t>
            </m:r>
            <m:sSup>
              <m:e>
                <m:r>
                  <m:t>t</m:t>
                </m:r>
              </m:e>
              <m:sup>
                <m:r>
                  <m:rPr>
                    <m:sty m:val="p"/>
                  </m:rPr>
                  <m:t>*</m:t>
                </m:r>
              </m:sup>
            </m:sSup>
            <m:r>
              <m:rPr>
                <m:sty m:val="p"/>
              </m:rPr>
              <m:t>−</m:t>
            </m:r>
            <m:r>
              <m:t>1</m:t>
            </m:r>
          </m:sub>
          <m:sup>
            <m:r>
              <m:t>c</m:t>
            </m:r>
          </m:sup>
        </m:sSubSup>
        <m:r>
          <m:rPr>
            <m:sty m:val="p"/>
          </m:rPr>
          <m:t>(</m:t>
        </m:r>
        <m:r>
          <m:t>0</m:t>
        </m:r>
        <m:r>
          <m:rPr>
            <m:sty m:val="p"/>
          </m:rPr>
          <m:t>)</m:t>
        </m:r>
        <m:r>
          <m:rPr>
            <m:sty m:val="p"/>
          </m:rPr>
          <m:t>∣</m:t>
        </m:r>
        <m:sSub>
          <m:e>
            <m:r>
              <m:t>E</m:t>
            </m:r>
          </m:e>
          <m:sub>
            <m:r>
              <m:t>o</m:t>
            </m:r>
          </m:sub>
        </m:sSub>
        <m:r>
          <m:rPr>
            <m:sty m:val="p"/>
          </m:rPr>
          <m:t>=</m:t>
        </m:r>
        <m:r>
          <m:t>0</m:t>
        </m:r>
        <m:r>
          <m:rPr>
            <m:sty m:val="p"/>
          </m:rPr>
          <m:t>]</m:t>
        </m:r>
      </m:oMath>
      <w:r>
        <w:t xml:space="preserve"> </w:t>
      </w:r>
      <w:r>
        <w:t xml:space="preserve">para todo</w:t>
      </w:r>
      <w:r>
        <w:t xml:space="preserve"> </w:t>
      </w:r>
      <m:oMath>
        <m:r>
          <m:t>e</m:t>
        </m:r>
      </m:oMath>
      <w:r>
        <w:t xml:space="preserve"> </w:t>
      </w:r>
      <w:r>
        <w:t xml:space="preserve">y todo</w:t>
      </w:r>
      <w:r>
        <w:t xml:space="preserve"> </w:t>
      </w:r>
      <m:oMath>
        <m:r>
          <m:t>t</m:t>
        </m:r>
        <m:r>
          <m:rPr>
            <m:sty m:val="p"/>
          </m:rPr>
          <m:t>≥</m:t>
        </m:r>
        <m:sSup>
          <m:e>
            <m:r>
              <m:t>t</m:t>
            </m:r>
          </m:e>
          <m:sup>
            <m:r>
              <m:rPr>
                <m:sty m:val="p"/>
              </m:rPr>
              <m:t>*</m:t>
            </m:r>
          </m:sup>
        </m:sSup>
      </m:oMath>
      <w:r>
        <w:t xml:space="preserve">. Este supuesto se defiende dentro de cada país con el estudio de eventos de tendencias previas de Sun-Abraham, una prueba conjunta de que</w:t>
      </w:r>
      <w:r>
        <w:t xml:space="preserve"> </w:t>
      </w:r>
      <m:oMath>
        <m:sSubSup>
          <m:e>
            <m:r>
              <m:t>θ</m:t>
            </m:r>
          </m:e>
          <m:sub>
            <m:r>
              <m:t>k</m:t>
            </m:r>
          </m:sub>
          <m:sup>
            <m:r>
              <m:t>c</m:t>
            </m:r>
          </m:sup>
        </m:sSubSup>
        <m:r>
          <m:rPr>
            <m:sty m:val="p"/>
          </m:rPr>
          <m:t>=</m:t>
        </m:r>
        <m:r>
          <m:t>0</m:t>
        </m:r>
      </m:oMath>
      <w:r>
        <w:t xml:space="preserve"> </w:t>
      </w:r>
      <w:r>
        <w:t xml:space="preserve">para</w:t>
      </w:r>
      <w:r>
        <w:t xml:space="preserve"> </w:t>
      </w:r>
      <m:oMath>
        <m:r>
          <m:t>k</m:t>
        </m:r>
        <m:r>
          <m:rPr>
            <m:sty m:val="p"/>
          </m:rPr>
          <m:t>&lt;</m:t>
        </m:r>
        <m:r>
          <m:rPr>
            <m:sty m:val="p"/>
          </m:rPr>
          <m:t>−</m:t>
        </m:r>
        <m:r>
          <m:t>1</m:t>
        </m:r>
      </m:oMath>
      <w:r>
        <w:t xml:space="preserve">, placebos transversales sobre ocupaciones de exposición cero y cotas de identificación parcial siguiendo a</w:t>
      </w:r>
      <w:r>
        <w:t xml:space="preserve"> </w:t>
      </w:r>
      <w:r>
        <w:t xml:space="preserve">Rambachan and Roth (2023)</w:t>
      </w:r>
      <w:r>
        <w:t xml:space="preserve">. Dado el pre-período corto, las cotas Honest-DiD se reportan como identificación principal dentro de cada país; las afirmaciones principales para el país</w:t>
      </w:r>
      <w:r>
        <w:t xml:space="preserve"> </w:t>
      </w:r>
      <m:oMath>
        <m:r>
          <m:t>c</m:t>
        </m:r>
      </m:oMath>
      <w:r>
        <w:t xml:space="preserve"> </w:t>
      </w:r>
      <w:r>
        <w:t xml:space="preserve">requieren un valor de quiebre específico del país</w:t>
      </w:r>
      <w:r>
        <w:t xml:space="preserve"> </w:t>
      </w:r>
      <m:oMath>
        <m:sSup>
          <m:e>
            <m:acc>
              <m:accPr>
                <m:chr m:val="‾"/>
              </m:accPr>
              <m:e>
                <m:r>
                  <m:t>M</m:t>
                </m:r>
              </m:e>
            </m:acc>
          </m:e>
          <m:sup>
            <m:r>
              <m:t>c</m:t>
            </m:r>
          </m:sup>
        </m:sSup>
        <m:r>
          <m:rPr>
            <m:sty m:val="p"/>
          </m:rPr>
          <m:t>≥</m:t>
        </m:r>
        <m:r>
          <m:t>2</m:t>
        </m:r>
      </m:oMath>
      <w:r>
        <w:t xml:space="preserve">. Sigo a</w:t>
      </w:r>
      <w:r>
        <w:t xml:space="preserve"> </w:t>
      </w:r>
      <w:r>
        <w:t xml:space="preserve">Roth (2022)</w:t>
      </w:r>
      <w:r>
        <w:t xml:space="preserve"> </w:t>
      </w:r>
      <w:r>
        <w:t xml:space="preserve">en interpretar las pruebas de tendencias previas con cautela: una prueba que no rechaza la hipótesis nula no es evidencia de tendencias paralelas, sino solo evidencia de que la prueba carece de poder contra alternativas relevantes. Reporto la potencia de las pruebas de tendencias previas frente a alternativas económicamente significativas usando el procedimiento de</w:t>
      </w:r>
      <w:r>
        <w:t xml:space="preserve"> </w:t>
      </w:r>
      <w:r>
        <w:t xml:space="preserve">Roth (2022)</w:t>
      </w:r>
      <w:r>
        <w:t xml:space="preserve">.</w:t>
      </w:r>
    </w:p>
    <w:p>
      <w:pPr>
        <w:pStyle w:val="BodyText"/>
      </w:pPr>
      <w:r>
        <w:rPr>
          <w:i/>
          <w:iCs/>
        </w:rPr>
        <w:t xml:space="preserve">No anticipación.</w:t>
      </w:r>
      <w:r>
        <w:t xml:space="preserve"> </w:t>
      </w:r>
      <w:r>
        <w:t xml:space="preserve">Los trabajadores en el país</w:t>
      </w:r>
      <w:r>
        <w:t xml:space="preserve"> </w:t>
      </w:r>
      <m:oMath>
        <m:r>
          <m:t>c</m:t>
        </m:r>
      </m:oMath>
      <w:r>
        <w:t xml:space="preserve"> </w:t>
      </w:r>
      <w:r>
        <w:t xml:space="preserve">no ajustaron oferta laboral o resultados de empleo en anticipación de ChatGPT antes de su lanzamiento. El lanzamiento fue exógeno a los mercados laborales de ALC: el acceso previo al lanzamiento estuvo restringido a empleados de OpenAI y testeadores externos seleccionados, ninguno de los cuales operaba en mercados laborales de ALC a la escala necesaria para mover los resultados agregados. Un canal residual débil de anticipación vía la API de GPT-3.5 (lanzada en marzo de 2022) queda acotado por los coeficientes del estudio de eventos</w:t>
      </w:r>
      <w:r>
        <w:t xml:space="preserve"> </w:t>
      </w:r>
      <m:oMath>
        <m:sSubSup>
          <m:e>
            <m:r>
              <m:t>θ</m:t>
            </m:r>
          </m:e>
          <m:sub>
            <m:r>
              <m:rPr>
                <m:sty m:val="p"/>
              </m:rPr>
              <m:t>−</m:t>
            </m:r>
            <m:r>
              <m:t>2</m:t>
            </m:r>
          </m:sub>
          <m:sup>
            <m:r>
              <m:t>c</m:t>
            </m:r>
          </m:sup>
        </m:sSubSup>
      </m:oMath>
      <w:r>
        <w:t xml:space="preserve"> </w:t>
      </w:r>
      <w:r>
        <w:t xml:space="preserve">y</w:t>
      </w:r>
      <w:r>
        <w:t xml:space="preserve"> </w:t>
      </w:r>
      <m:oMath>
        <m:sSubSup>
          <m:e>
            <m:r>
              <m:t>θ</m:t>
            </m:r>
          </m:e>
          <m:sub>
            <m:r>
              <m:rPr>
                <m:sty m:val="p"/>
              </m:rPr>
              <m:t>−</m:t>
            </m:r>
            <m:r>
              <m:t>1</m:t>
            </m:r>
          </m:sub>
          <m:sup>
            <m:r>
              <m:t>c</m:t>
            </m:r>
          </m:sup>
        </m:sSubSup>
      </m:oMath>
      <w:r>
        <w:t xml:space="preserve"> </w:t>
      </w:r>
      <w:r>
        <w:t xml:space="preserve">dentro de cada país.</w:t>
      </w:r>
    </w:p>
    <w:p>
      <w:pPr>
        <w:pStyle w:val="BodyText"/>
      </w:pPr>
      <w:r>
        <w:rPr>
          <w:i/>
          <w:iCs/>
        </w:rPr>
        <w:t xml:space="preserve">Exogeneidad de la exposición.</w:t>
      </w:r>
      <w:r>
        <w:t xml:space="preserve"> </w:t>
      </w:r>
      <w:r>
        <w:t xml:space="preserve">El puntaje de exposición</w:t>
      </w:r>
      <w:r>
        <w:t xml:space="preserve"> </w:t>
      </w:r>
      <m:oMath>
        <m:r>
          <m:t>β</m:t>
        </m:r>
      </m:oMath>
      <w:r>
        <w:t xml:space="preserve"> </w:t>
      </w:r>
      <w:r>
        <w:t xml:space="preserve">se construye a partir del contenido de tareas de O*NET (EE.UU., 2022–2023) usando GPT-4 y una rúbrica humana. Ni el contenido de tareas ni el procedimiento de calificación son función de los resultados del mercado laboral del país</w:t>
      </w:r>
      <w:r>
        <w:t xml:space="preserve"> </w:t>
      </w:r>
      <m:oMath>
        <m:r>
          <m:t>c</m:t>
        </m:r>
      </m:oMath>
      <w:r>
        <w:t xml:space="preserve"> </w:t>
      </w:r>
      <w:r>
        <w:t xml:space="preserve">en 2023. El contenido de tareas dentro de los códigos ISCO es estable entre países; esto fue validado en</w:t>
      </w:r>
      <w:r>
        <w:t xml:space="preserve"> </w:t>
      </w:r>
      <w:r>
        <w:t xml:space="preserve">Azuara Herrera et al. (2024)</w:t>
      </w:r>
      <w:r>
        <w:t xml:space="preserve"> </w:t>
      </w:r>
      <w:r>
        <w:t xml:space="preserve">para Chile, México y Perú. La robustez usando</w:t>
      </w:r>
      <w:r>
        <w:t xml:space="preserve"> </w:t>
      </w:r>
      <m:oMath>
        <m:r>
          <m:t>α</m:t>
        </m:r>
      </m:oMath>
      <w:r>
        <w:t xml:space="preserve">,</w:t>
      </w:r>
      <w:r>
        <w:t xml:space="preserve"> </w:t>
      </w:r>
      <m:oMath>
        <m:r>
          <m:t>ζ</m:t>
        </m:r>
      </m:oMath>
      <w:r>
        <w:t xml:space="preserve">, la medida basada en patentes de Webb y el AIOE de Felten confirma que los resultados intra-país no dependen del puntaje complementario específico de Eloundou.</w:t>
      </w:r>
    </w:p>
    <w:p>
      <w:pPr>
        <w:pStyle w:val="BodyText"/>
      </w:pPr>
      <w:r>
        <w:rPr>
          <w:i/>
          <w:iCs/>
        </w:rPr>
        <w:t xml:space="preserve">SUTVA.</w:t>
      </w:r>
      <w:r>
        <w:t xml:space="preserve"> </w:t>
      </w:r>
      <w:r>
        <w:t xml:space="preserve">El supuesto de valor de tratamiento estable por unidad descarta los derrames entre ocupaciones dentro de un país. Los derrames intra-firma sesgan hacia cero: si los colegas de alta exposición elevan la productividad de los colegas de baja exposición, el efecto desplazamiento estimado subestima la verdadera dosis-respuesta. Los efectos fijos de industria por tiempo dentro del país acotan la magnitud de los derrames en la robustez; la cota narrativa de</w:t>
      </w:r>
      <w:r>
        <w:t xml:space="preserve"> </w:t>
      </w:r>
      <w:r>
        <w:t xml:space="preserve">Berg et al. (2018)</w:t>
      </w:r>
      <w:r>
        <w:t xml:space="preserve"> </w:t>
      </w:r>
      <w:r>
        <w:t xml:space="preserve">sugiere que con adopción inferior al 20 por ciento, los derrames de equilibrio general entre ocupaciones son modestos. SUTVA es el supuesto de mayor riesgo y se reconoce como tal para cada estimación por país.</w:t>
      </w:r>
    </w:p>
    <w:p>
      <w:pPr>
        <w:pStyle w:val="BodyText"/>
      </w:pPr>
      <w:r>
        <w:t xml:space="preserve">Las pruebas de placebo temporal en 2019 o 2021 son inviables dada la ventana muestral post-COVID. Las sustituyo por placebos transversales que restringen la estimación a ocupaciones con</w:t>
      </w:r>
      <w:r>
        <w:t xml:space="preserve"> </w:t>
      </w:r>
      <m:oMath>
        <m:r>
          <m:t>β</m:t>
        </m:r>
        <m:r>
          <m:rPr>
            <m:sty m:val="p"/>
          </m:rPr>
          <m:t>=</m:t>
        </m:r>
        <m:r>
          <m:t>0</m:t>
        </m:r>
      </m:oMath>
      <w:r>
        <w:t xml:space="preserve"> </w:t>
      </w:r>
      <w:r>
        <w:t xml:space="preserve">dentro de cada país (el grupo de control de cero verdadero) y por resultados placebo que no deberían responder a la exposición a LLM (horas semanales de obreros agrícolas manuales).</w:t>
      </w:r>
    </w:p>
    <w:bookmarkEnd w:id="34"/>
    <w:bookmarkStart w:id="35" w:name="subsec:method_heterogeneity"/>
    <w:p>
      <w:pPr>
        <w:pStyle w:val="Heading2"/>
      </w:pPr>
      <w:r>
        <w:rPr>
          <w:rStyle w:val="SectionNumber"/>
        </w:rPr>
        <w:t xml:space="preserve">4.6</w:t>
      </w:r>
      <w:r>
        <w:tab/>
      </w:r>
      <w:r>
        <w:t xml:space="preserve">Heterogeneidad intra-país: la formalidad de línea base como margen central</w:t>
      </w:r>
    </w:p>
    <w:p>
      <w:pPr>
        <w:pStyle w:val="FirstParagraph"/>
      </w:pPr>
      <w:r>
        <w:t xml:space="preserve">El estatus de formalidad de línea base</w:t>
      </w:r>
      <w:r>
        <w:t xml:space="preserve"> </w:t>
      </w:r>
      <m:oMath>
        <m:sSub>
          <m:e>
            <m:r>
              <m:t>F</m:t>
            </m:r>
          </m:e>
          <m:sub>
            <m:r>
              <m:t>i</m:t>
            </m:r>
            <m:r>
              <m:rPr>
                <m:sty m:val="p"/>
              </m:rPr>
              <m:t>,</m:t>
            </m:r>
            <m:r>
              <m:t>2021</m:t>
            </m:r>
          </m:sub>
        </m:sSub>
      </m:oMath>
      <w:r>
        <w:t xml:space="preserve"> </w:t>
      </w:r>
      <w:r>
        <w:t xml:space="preserve">es la dimensión central de heterogeneidad intra-país preregistrada para cada país en el que la segmentación formal-informal es no trivial. Uso la formalidad</w:t>
      </w:r>
      <w:r>
        <w:t xml:space="preserve"> </w:t>
      </w:r>
      <w:r>
        <w:rPr>
          <w:i/>
          <w:iCs/>
        </w:rPr>
        <w:t xml:space="preserve">de línea base</w:t>
      </w:r>
      <w:r>
        <w:t xml:space="preserve"> </w:t>
      </w:r>
      <w:r>
        <w:t xml:space="preserve">y no la contemporánea porque la</w:t>
      </w:r>
      <w:r>
        <w:t xml:space="preserve"> </w:t>
      </w:r>
      <m:oMath>
        <m:sSub>
          <m:e>
            <m:r>
              <m:t>F</m:t>
            </m:r>
          </m:e>
          <m:sub>
            <m:r>
              <m:t>i</m:t>
            </m:r>
            <m:r>
              <m:t>c</m:t>
            </m:r>
            <m:r>
              <m:t>t</m:t>
            </m:r>
          </m:sub>
        </m:sSub>
      </m:oMath>
      <w:r>
        <w:t xml:space="preserve"> </w:t>
      </w:r>
      <w:r>
        <w:t xml:space="preserve">contemporánea es ella misma un resultado de la exposición a LLM: un trabajador puede transitar de formal a informal por causa del tratamiento, y condicionar sobre un resultado post-tratamiento es un mal control. La</w:t>
      </w:r>
      <w:r>
        <w:t xml:space="preserve"> </w:t>
      </w:r>
      <m:oMath>
        <m:sSub>
          <m:e>
            <m:r>
              <m:t>F</m:t>
            </m:r>
          </m:e>
          <m:sub>
            <m:r>
              <m:t>i</m:t>
            </m:r>
            <m:r>
              <m:rPr>
                <m:sty m:val="p"/>
              </m:rPr>
              <m:t>,</m:t>
            </m:r>
            <m:r>
              <m:t>2021</m:t>
            </m:r>
          </m:sub>
        </m:sSub>
      </m:oMath>
      <w:r>
        <w:t xml:space="preserve"> </w:t>
      </w:r>
      <w:r>
        <w:t xml:space="preserve">de línea base es el estatus de formalidad del trabajador en la última observación previa a 2023 y es econométricamente predeterminada respecto al shock de ChatGPT.</w:t>
      </w:r>
    </w:p>
    <w:p>
      <w:pPr>
        <w:pStyle w:val="BodyText"/>
      </w:pPr>
      <w:r>
        <w:t xml:space="preserve">El protocolo de imputación depende de la estructura de la encuesta. Para la ENOE de México (un panel rotativo a nivel de hogar usado de forma agregada en este artículo y de forma individual en el segundo artículo del proyecto),</w:t>
      </w:r>
      <w:r>
        <w:t xml:space="preserve"> </w:t>
      </w:r>
      <m:oMath>
        <m:sSub>
          <m:e>
            <m:r>
              <m:t>F</m:t>
            </m:r>
          </m:e>
          <m:sub>
            <m:r>
              <m:t>i</m:t>
            </m:r>
            <m:r>
              <m:rPr>
                <m:sty m:val="p"/>
              </m:rPr>
              <m:t>,</m:t>
            </m:r>
            <m:r>
              <m:t>2021</m:t>
            </m:r>
          </m:sub>
        </m:sSub>
      </m:oMath>
      <w:r>
        <w:t xml:space="preserve"> </w:t>
      </w:r>
      <w:r>
        <w:t xml:space="preserve">es el último estatus de formalidad observado del trabajador antes de 2023T1; los trabajadores que ingresaron después de 2023T1 se descartan del análisis de interacción con la formalidad. Para los cinco cortes transversales repetidos (GEIH de Colombia, EPEN de Perú, ECE de Costa Rica, ENEMDU de Ecuador, ECH de Uruguay),</w:t>
      </w:r>
      <w:r>
        <w:t xml:space="preserve"> </w:t>
      </w:r>
      <m:oMath>
        <m:sSub>
          <m:e>
            <m:r>
              <m:t>F</m:t>
            </m:r>
          </m:e>
          <m:sub>
            <m:r>
              <m:t>i</m:t>
            </m:r>
            <m:r>
              <m:rPr>
                <m:sty m:val="p"/>
              </m:rPr>
              <m:t>,</m:t>
            </m:r>
            <m:r>
              <m:t>2021</m:t>
            </m:r>
          </m:sub>
        </m:sSub>
      </m:oMath>
      <w:r>
        <w:t xml:space="preserve"> </w:t>
      </w:r>
      <w:r>
        <w:t xml:space="preserve">se imputa por celda como la share de 2021 de trabajadores formales en la celda (ocupación ISCO de 4 dígitos, bin de edad de 5 años, género, nivel educativo, urbano) del trabajador dentro del país</w:t>
      </w:r>
      <w:r>
        <w:t xml:space="preserve"> </w:t>
      </w:r>
      <m:oMath>
        <m:r>
          <m:t>c</m:t>
        </m:r>
      </m:oMath>
      <w:r>
        <w:t xml:space="preserve">. El análisis de sensibilidad usa celdas ISCO de 3 dígitos.</w:t>
      </w:r>
    </w:p>
    <w:p>
      <w:pPr>
        <w:pStyle w:val="BodyText"/>
      </w:pPr>
      <w:r>
        <w:t xml:space="preserve">La especificación de interacción intra-país (estimada por separado para cada país) es</w:t>
      </w:r>
    </w:p>
    <w:p>
      <w:pPr>
        <w:pStyle w:val="BodyText"/>
      </w:pPr>
      <m:oMathPara>
        <m:oMathParaPr>
          <m:jc m:val="center"/>
        </m:oMathParaPr>
        <m:oMath>
          <m:sSubSup>
            <m:e>
              <m:r>
                <m:t>Y</m:t>
              </m:r>
            </m:e>
            <m:sub>
              <m:r>
                <m:t>o</m:t>
              </m:r>
              <m:r>
                <m:t>t</m:t>
              </m:r>
            </m:sub>
            <m:sup>
              <m:r>
                <m:t>c</m:t>
              </m:r>
            </m:sup>
          </m:sSubSup>
          <m:r>
            <m:t> </m:t>
          </m:r>
          <m:r>
            <m:rPr>
              <m:sty m:val="p"/>
            </m:rPr>
            <m:t>=</m:t>
          </m:r>
          <m:r>
            <m:t> </m:t>
          </m:r>
          <m:sSubSup>
            <m:e>
              <m:r>
                <m:t>τ</m:t>
              </m:r>
            </m:e>
            <m:sub>
              <m:r>
                <m:t>F</m:t>
              </m:r>
            </m:sub>
            <m:sup>
              <m:r>
                <m:t>c</m:t>
              </m:r>
            </m:sup>
          </m:sSubSup>
          <m:r>
            <m:rPr>
              <m:sty m:val="p"/>
            </m:rPr>
            <m:t>⋅</m:t>
          </m:r>
          <m:r>
            <m:rPr>
              <m:sty m:val="p"/>
            </m:rPr>
            <m:t>(</m:t>
          </m:r>
          <m:sSub>
            <m:e>
              <m:r>
                <m:t>E</m:t>
              </m:r>
            </m:e>
            <m:sub>
              <m:r>
                <m:t>o</m:t>
              </m:r>
            </m:sub>
          </m:sSub>
          <m:r>
            <m:rPr>
              <m:sty m:val="p"/>
            </m:rPr>
            <m:t>⋅</m:t>
          </m:r>
          <m:sSub>
            <m:e>
              <m:r>
                <m:rPr>
                  <m:nor/>
                  <m:sty m:val="p"/>
                </m:rPr>
                <m:t>Post</m:t>
              </m:r>
            </m:e>
            <m:sub>
              <m:r>
                <m:t>t</m:t>
              </m:r>
            </m:sub>
          </m:sSub>
          <m:r>
            <m:rPr>
              <m:sty m:val="p"/>
            </m:rPr>
            <m:t>⋅</m:t>
          </m:r>
          <m:sSubSup>
            <m:e>
              <m:r>
                <m:t>F</m:t>
              </m:r>
            </m:e>
            <m:sub>
              <m:r>
                <m:t>o</m:t>
              </m:r>
              <m:r>
                <m:rPr>
                  <m:sty m:val="p"/>
                </m:rPr>
                <m:t>,</m:t>
              </m:r>
              <m:r>
                <m:t>2021</m:t>
              </m:r>
            </m:sub>
            <m:sup>
              <m:r>
                <m:t>c</m:t>
              </m:r>
            </m:sup>
          </m:sSubSup>
          <m:r>
            <m:rPr>
              <m:sty m:val="p"/>
            </m:rPr>
            <m:t>)</m:t>
          </m:r>
          <m:r>
            <m:t> </m:t>
          </m:r>
          <m:r>
            <m:rPr>
              <m:sty m:val="p"/>
            </m:rPr>
            <m:t>+</m:t>
          </m:r>
          <m:r>
            <m:t> </m:t>
          </m:r>
          <m:sSubSup>
            <m:e>
              <m:r>
                <m:t>τ</m:t>
              </m:r>
            </m:e>
            <m:sub>
              <m:r>
                <m:t>I</m:t>
              </m:r>
            </m:sub>
            <m:sup>
              <m:r>
                <m:t>c</m:t>
              </m:r>
            </m:sup>
          </m:sSubSup>
          <m:r>
            <m:rPr>
              <m:sty m:val="p"/>
            </m:rPr>
            <m:t>⋅</m:t>
          </m:r>
          <m:r>
            <m:rPr>
              <m:sty m:val="p"/>
            </m:rPr>
            <m:t>(</m:t>
          </m:r>
          <m:sSub>
            <m:e>
              <m:r>
                <m:t>E</m:t>
              </m:r>
            </m:e>
            <m:sub>
              <m:r>
                <m:t>o</m:t>
              </m:r>
            </m:sub>
          </m:sSub>
          <m:r>
            <m:rPr>
              <m:sty m:val="p"/>
            </m:rPr>
            <m:t>⋅</m:t>
          </m:r>
          <m:sSub>
            <m:e>
              <m:r>
                <m:rPr>
                  <m:nor/>
                  <m:sty m:val="p"/>
                </m:rPr>
                <m:t>Post</m:t>
              </m:r>
            </m:e>
            <m:sub>
              <m:r>
                <m:t>t</m:t>
              </m:r>
            </m:sub>
          </m:sSub>
          <m:r>
            <m:rPr>
              <m:sty m:val="p"/>
            </m:rPr>
            <m:t>⋅</m:t>
          </m:r>
          <m:r>
            <m:rPr>
              <m:sty m:val="p"/>
            </m:rPr>
            <m:t>(</m:t>
          </m:r>
          <m:r>
            <m:t>1</m:t>
          </m:r>
          <m:r>
            <m:rPr>
              <m:sty m:val="p"/>
            </m:rPr>
            <m:t>−</m:t>
          </m:r>
          <m:sSubSup>
            <m:e>
              <m:r>
                <m:t>F</m:t>
              </m:r>
            </m:e>
            <m:sub>
              <m:r>
                <m:t>o</m:t>
              </m:r>
              <m:r>
                <m:rPr>
                  <m:sty m:val="p"/>
                </m:rPr>
                <m:t>,</m:t>
              </m:r>
              <m:r>
                <m:t>2021</m:t>
              </m:r>
            </m:sub>
            <m:sup>
              <m:r>
                <m:t>c</m:t>
              </m:r>
            </m:sup>
          </m:sSubSup>
          <m:r>
            <m:rPr>
              <m:sty m:val="p"/>
            </m:rPr>
            <m:t>)</m:t>
          </m:r>
          <m:r>
            <m:rPr>
              <m:sty m:val="p"/>
            </m:rPr>
            <m:t>)</m:t>
          </m:r>
          <m:r>
            <m:t> </m:t>
          </m:r>
          <m:r>
            <m:rPr>
              <m:sty m:val="p"/>
            </m:rPr>
            <m:t>+</m:t>
          </m:r>
          <m:r>
            <m:t> </m:t>
          </m:r>
          <m:sSubSup>
            <m:e>
              <m:r>
                <m:t>α</m:t>
              </m:r>
            </m:e>
            <m:sub>
              <m:r>
                <m:t>o</m:t>
              </m:r>
            </m:sub>
            <m:sup>
              <m:r>
                <m:t>c</m:t>
              </m:r>
            </m:sup>
          </m:sSubSup>
          <m:r>
            <m:t> </m:t>
          </m:r>
          <m:r>
            <m:rPr>
              <m:sty m:val="p"/>
            </m:rPr>
            <m:t>+</m:t>
          </m:r>
          <m:r>
            <m:t> </m:t>
          </m:r>
          <m:sSubSup>
            <m:e>
              <m:r>
                <m:t>α</m:t>
              </m:r>
            </m:e>
            <m:sub>
              <m:r>
                <m:t>t</m:t>
              </m:r>
            </m:sub>
            <m:sup>
              <m:r>
                <m:t>c</m:t>
              </m:r>
            </m:sup>
          </m:sSubSup>
          <m:r>
            <m:t> </m:t>
          </m:r>
          <m:r>
            <m:rPr>
              <m:sty m:val="p"/>
            </m:rPr>
            <m:t>+</m:t>
          </m:r>
          <m:r>
            <m:t> </m:t>
          </m:r>
          <m:sSubSup>
            <m:e>
              <m:r>
                <m:t>ε</m:t>
              </m:r>
            </m:e>
            <m:sub>
              <m:r>
                <m:t>o</m:t>
              </m:r>
              <m:r>
                <m:t>t</m:t>
              </m:r>
            </m:sub>
            <m:sup>
              <m:r>
                <m:t>c</m:t>
              </m:r>
            </m:sup>
          </m:sSubSup>
          <m:r>
            <m:rPr>
              <m:sty m:val="p"/>
            </m:rPr>
            <m:t>,</m:t>
          </m:r>
        </m:oMath>
      </m:oMathPara>
    </w:p>
    <w:p>
      <w:pPr>
        <w:pStyle w:val="FirstParagraph"/>
      </w:pPr>
      <w:r>
        <w:t xml:space="preserve">donde</w:t>
      </w:r>
      <w:r>
        <w:t xml:space="preserve"> </w:t>
      </w:r>
      <m:oMath>
        <m:sSubSup>
          <m:e>
            <m:r>
              <m:t>τ</m:t>
            </m:r>
          </m:e>
          <m:sub>
            <m:r>
              <m:t>F</m:t>
            </m:r>
          </m:sub>
          <m:sup>
            <m:r>
              <m:t>c</m:t>
            </m:r>
          </m:sup>
        </m:sSubSup>
      </m:oMath>
      <w:r>
        <w:t xml:space="preserve"> </w:t>
      </w:r>
      <w:r>
        <w:t xml:space="preserve">y</w:t>
      </w:r>
      <w:r>
        <w:t xml:space="preserve"> </w:t>
      </w:r>
      <m:oMath>
        <m:sSubSup>
          <m:e>
            <m:r>
              <m:t>τ</m:t>
            </m:r>
          </m:e>
          <m:sub>
            <m:r>
              <m:t>I</m:t>
            </m:r>
          </m:sub>
          <m:sup>
            <m:r>
              <m:t>c</m:t>
            </m:r>
          </m:sup>
        </m:sSubSup>
      </m:oMath>
      <w:r>
        <w:t xml:space="preserve"> </w:t>
      </w:r>
      <w:r>
        <w:t xml:space="preserve">son los coeficientes ACRT para celdas formal e informal de línea base dentro del país</w:t>
      </w:r>
      <w:r>
        <w:t xml:space="preserve"> </w:t>
      </w:r>
      <m:oMath>
        <m:r>
          <m:t>c</m:t>
        </m:r>
      </m:oMath>
      <w:r>
        <w:t xml:space="preserve">, y</w:t>
      </w:r>
      <w:r>
        <w:t xml:space="preserve"> </w:t>
      </w:r>
      <m:oMath>
        <m:sSubSup>
          <m:e>
            <m:r>
              <m:t>F</m:t>
            </m:r>
          </m:e>
          <m:sub>
            <m:r>
              <m:t>o</m:t>
            </m:r>
            <m:r>
              <m:rPr>
                <m:sty m:val="p"/>
              </m:rPr>
              <m:t>,</m:t>
            </m:r>
            <m:r>
              <m:t>2021</m:t>
            </m:r>
          </m:sub>
          <m:sup>
            <m:r>
              <m:t>c</m:t>
            </m:r>
          </m:sup>
        </m:sSubSup>
      </m:oMath>
      <w:r>
        <w:t xml:space="preserve"> </w:t>
      </w:r>
      <w:r>
        <w:t xml:space="preserve">es la share de formalidad de línea base imputada para la ocupación</w:t>
      </w:r>
      <w:r>
        <w:t xml:space="preserve"> </w:t>
      </w:r>
      <m:oMath>
        <m:r>
          <m:t>o</m:t>
        </m:r>
      </m:oMath>
      <w:r>
        <w:t xml:space="preserve"> </w:t>
      </w:r>
      <w:r>
        <w:t xml:space="preserve">en el país</w:t>
      </w:r>
      <w:r>
        <w:t xml:space="preserve"> </w:t>
      </w:r>
      <m:oMath>
        <m:r>
          <m:t>c</m:t>
        </m:r>
      </m:oMath>
      <w:r>
        <w:t xml:space="preserve">. Las cuatro narrativas de la</w:t>
      </w:r>
      <w:r>
        <w:t xml:space="preserve"> </w:t>
      </w:r>
      <w:hyperlink w:anchor="subsec:method_narratives">
        <w:r>
          <w:rPr>
            <w:rStyle w:val="Hyperlink"/>
          </w:rPr>
          <w:t xml:space="preserve">4.8</w:t>
        </w:r>
      </w:hyperlink>
      <w:r>
        <w:t xml:space="preserve"> </w:t>
      </w:r>
      <w:r>
        <w:t xml:space="preserve">se evalúan dentro de cada país en términos de los signos y magnitudes de</w:t>
      </w:r>
      <w:r>
        <w:t xml:space="preserve"> </w:t>
      </w:r>
      <m:oMath>
        <m:r>
          <m:rPr>
            <m:sty m:val="p"/>
          </m:rPr>
          <m:t>(</m:t>
        </m:r>
        <m:sSup>
          <m:e>
            <m:r>
              <m:t>τ</m:t>
            </m:r>
          </m:e>
          <m:sup>
            <m:r>
              <m:t>c</m:t>
            </m:r>
          </m:sup>
        </m:sSup>
        <m:r>
          <m:rPr>
            <m:sty m:val="p"/>
          </m:rPr>
          <m:t>,</m:t>
        </m:r>
        <m:sSubSup>
          <m:e>
            <m:r>
              <m:t>τ</m:t>
            </m:r>
          </m:e>
          <m:sub>
            <m:r>
              <m:t>F</m:t>
            </m:r>
          </m:sub>
          <m:sup>
            <m:r>
              <m:t>c</m:t>
            </m:r>
          </m:sup>
        </m:sSubSup>
        <m:r>
          <m:rPr>
            <m:sty m:val="p"/>
          </m:rPr>
          <m:t>,</m:t>
        </m:r>
        <m:sSubSup>
          <m:e>
            <m:r>
              <m:t>τ</m:t>
            </m:r>
          </m:e>
          <m:sub>
            <m:r>
              <m:t>I</m:t>
            </m:r>
          </m:sub>
          <m:sup>
            <m:r>
              <m:t>c</m:t>
            </m:r>
          </m:sup>
        </m:sSubSup>
        <m:r>
          <m:rPr>
            <m:sty m:val="p"/>
          </m:rPr>
          <m:t>)</m:t>
        </m:r>
      </m:oMath>
      <w:r>
        <w:t xml:space="preserve">.</w:t>
      </w:r>
    </w:p>
    <w:p>
      <w:pPr>
        <w:pStyle w:val="BodyText"/>
      </w:pPr>
      <w:r>
        <w:t xml:space="preserve">Otras dimensiones de heterogeneidad intra-país preregistradas son género, educación (terciaria vs. menos que terciaria), edad (15–29, 30–49, 50+), sector ISIC de 1 dígito, nivel de calificación (ISCO de 1 dígito) y urbano/rural. Los bosques causales</w:t>
      </w:r>
      <w:r>
        <w:t xml:space="preserve"> </w:t>
      </w:r>
      <w:r>
        <w:t xml:space="preserve">(Wager and Athey 2018)</w:t>
      </w:r>
      <w:r>
        <w:t xml:space="preserve"> </w:t>
      </w:r>
      <w:r>
        <w:t xml:space="preserve">aportan un complemento exploratorio guiado por los datos, ejecutado dentro de cada país.</w:t>
      </w:r>
    </w:p>
    <w:bookmarkEnd w:id="35"/>
    <w:bookmarkStart w:id="37" w:name="subsec:method_robustness"/>
    <w:p>
      <w:pPr>
        <w:pStyle w:val="Heading2"/>
      </w:pPr>
      <w:r>
        <w:rPr>
          <w:rStyle w:val="SectionNumber"/>
        </w:rPr>
        <w:t xml:space="preserve">4.7</w:t>
      </w:r>
      <w:r>
        <w:tab/>
      </w:r>
      <w:r>
        <w:t xml:space="preserve">Capa de robustez</w:t>
      </w:r>
    </w:p>
    <w:p>
      <w:pPr>
        <w:pStyle w:val="FirstParagraph"/>
      </w:pPr>
      <w:r>
        <w:t xml:space="preserve">La capa de robustez se ejecuta dentro de cada país. Reporto las cotas Honest-DiD de</w:t>
      </w:r>
      <w:r>
        <w:t xml:space="preserve"> </w:t>
      </w:r>
      <w:r>
        <w:t xml:space="preserve">Rambachan and Roth (2023)</w:t>
      </w:r>
      <w:r>
        <w:t xml:space="preserve"> </w:t>
      </w:r>
      <w:r>
        <w:t xml:space="preserve">con el valor de quiebre</w:t>
      </w:r>
      <w:r>
        <w:t xml:space="preserve"> </w:t>
      </w:r>
      <m:oMath>
        <m:sSup>
          <m:e>
            <m:acc>
              <m:accPr>
                <m:chr m:val="‾"/>
              </m:accPr>
              <m:e>
                <m:r>
                  <m:t>M</m:t>
                </m:r>
              </m:e>
            </m:acc>
          </m:e>
          <m:sup>
            <m:r>
              <m:t>c</m:t>
            </m:r>
          </m:sup>
        </m:sSup>
      </m:oMath>
      <w:r>
        <w:t xml:space="preserve"> </w:t>
      </w:r>
      <w:r>
        <w:t xml:space="preserve">para cada resultado principal por país. Los placebos transversales restringen la muestra del país a ocupaciones con</w:t>
      </w:r>
      <w:r>
        <w:t xml:space="preserve"> </w:t>
      </w:r>
      <m:oMath>
        <m:r>
          <m:t>β</m:t>
        </m:r>
        <m:r>
          <m:rPr>
            <m:sty m:val="p"/>
          </m:rPr>
          <m:t>=</m:t>
        </m:r>
        <m:r>
          <m:t>0</m:t>
        </m:r>
      </m:oMath>
      <w:r>
        <w:t xml:space="preserve">. Las pruebas de resultados placebo usan variables que no deberían responder a la exposición a LLM (horas trabajadas por obreros agrícolas manuales). Se sustituyen medidas alternativas de exposición (</w:t>
      </w:r>
      <m:oMath>
        <m:r>
          <m:t>α</m:t>
        </m:r>
      </m:oMath>
      <w:r>
        <w:t xml:space="preserve">,</w:t>
      </w:r>
      <w:r>
        <w:t xml:space="preserve"> </w:t>
      </w:r>
      <m:oMath>
        <m:r>
          <m:t>ζ</m:t>
        </m:r>
      </m:oMath>
      <w:r>
        <w:t xml:space="preserve">, Webb, Felten) por el puntaje</w:t>
      </w:r>
      <w:r>
        <w:t xml:space="preserve"> </w:t>
      </w:r>
      <m:oMath>
        <m:r>
          <m:t>β</m:t>
        </m:r>
      </m:oMath>
      <w:r>
        <w:t xml:space="preserve"> </w:t>
      </w:r>
      <w:r>
        <w:t xml:space="preserve">dentro de cada país. Un retroceso a ISCO de 3 dígitos atiende preocupaciones de celdas pequeñas. Se reportan cortes binarios alternativos en los percentiles 25, 33, 66 y 75 dentro de cada país. El bootstrap wild cluster</w:t>
      </w:r>
      <w:r>
        <w:t xml:space="preserve"> </w:t>
      </w:r>
      <w:r>
        <w:t xml:space="preserve">(Abadie et al. 2023)</w:t>
      </w:r>
      <w:r>
        <w:t xml:space="preserve"> </w:t>
      </w:r>
      <w:r>
        <w:t xml:space="preserve">se usa para especificaciones con menos de cincuenta clusters vía</w:t>
      </w:r>
      <w:r>
        <w:t xml:space="preserve"> </w:t>
      </w:r>
      <w:r>
        <w:rPr>
          <w:rStyle w:val="VerbatimChar"/>
        </w:rPr>
        <w:t xml:space="preserve">fwildclusterboot</w:t>
      </w:r>
      <w:r>
        <w:t xml:space="preserve">. La especificación Bartik se reporta con ponderaciones de Rotemberg específicas del país y se re-estima descartando la ocupación con mayor ponderación. Las cotas de Oster</w:t>
      </w:r>
      <w:r>
        <w:t xml:space="preserve"> </w:t>
      </w:r>
      <w:r>
        <w:t xml:space="preserve">(Oster 2019)</w:t>
      </w:r>
      <w:r>
        <w:t xml:space="preserve"> </w:t>
      </w:r>
      <w:r>
        <w:t xml:space="preserve">se reportan con</w:t>
      </w:r>
      <w:r>
        <w:t xml:space="preserve"> </w:t>
      </w:r>
      <m:oMath>
        <m:r>
          <m:t>δ</m:t>
        </m:r>
        <m:r>
          <m:rPr>
            <m:sty m:val="p"/>
          </m:rPr>
          <m:t>=</m:t>
        </m:r>
        <m:r>
          <m:t>1</m:t>
        </m:r>
      </m:oMath>
      <w:r>
        <w:t xml:space="preserve"> </w:t>
      </w:r>
      <w:r>
        <w:t xml:space="preserve">y</w:t>
      </w:r>
      <w:r>
        <w:t xml:space="preserve"> </w:t>
      </w:r>
      <m:oMath>
        <m:sSubSup>
          <m:e>
            <m:r>
              <m:t>R</m:t>
            </m:r>
          </m:e>
          <m:sub>
            <m:r>
              <m:rPr>
                <m:sty m:val="p"/>
              </m:rPr>
              <m:t>max</m:t>
            </m:r>
          </m:sub>
          <m:sup>
            <m:r>
              <m:t>2</m:t>
            </m:r>
          </m:sup>
        </m:sSubSup>
        <m:r>
          <m:rPr>
            <m:sty m:val="p"/>
          </m:rPr>
          <m:t>=</m:t>
        </m:r>
        <m:r>
          <m:t>1.3</m:t>
        </m:r>
        <m:sSup>
          <m:e>
            <m:r>
              <m:t>R</m:t>
            </m:r>
          </m:e>
          <m:sup>
            <m:r>
              <m:t>2</m:t>
            </m:r>
          </m:sup>
        </m:sSup>
      </m:oMath>
      <w:r>
        <w:t xml:space="preserve"> </w:t>
      </w:r>
      <w:r>
        <w:t xml:space="preserve">vía</w:t>
      </w:r>
      <w:r>
        <w:t xml:space="preserve"> </w:t>
      </w:r>
      <w:r>
        <w:rPr>
          <w:rStyle w:val="VerbatimChar"/>
        </w:rPr>
        <w:t xml:space="preserve">sensemakr</w:t>
      </w:r>
      <w:r>
        <w:t xml:space="preserve"> </w:t>
      </w:r>
      <w:r>
        <w:t xml:space="preserve">para cada resultado principal por país; si el conjunto identificado incluye al cero, el resultado principal del país se marca como no robusto y requiere Honest-DiD</w:t>
      </w:r>
      <w:r>
        <w:t xml:space="preserve"> </w:t>
      </w:r>
      <m:oMath>
        <m:sSup>
          <m:e>
            <m:acc>
              <m:accPr>
                <m:chr m:val="‾"/>
              </m:accPr>
              <m:e>
                <m:r>
                  <m:t>M</m:t>
                </m:r>
              </m:e>
            </m:acc>
          </m:e>
          <m:sup>
            <m:r>
              <m:t>c</m:t>
            </m:r>
          </m:sup>
        </m:sSup>
        <m:r>
          <m:rPr>
            <m:sty m:val="p"/>
          </m:rPr>
          <m:t>≥</m:t>
        </m:r>
        <m:r>
          <m:t>2</m:t>
        </m:r>
      </m:oMath>
      <w:r>
        <w:t xml:space="preserve"> </w:t>
      </w:r>
      <w:r>
        <w:t xml:space="preserve">para ser retenido. Las correcciones por pruebas múltiples siguen a Romano-Wolf dentro de cada dimensión y a Bonferroni entre dimensiones, con un objetivo de tasa de error familywise del diez por ciento dentro de cada país.</w:t>
      </w:r>
    </w:p>
    <w:p>
      <w:pPr>
        <w:pStyle w:val="BodyText"/>
      </w:pPr>
      <w:r>
        <w:t xml:space="preserve">Como estimador alternativo, reporto el enfoque de</w:t>
      </w:r>
      <w:r>
        <w:t xml:space="preserve"> </w:t>
      </w:r>
      <w:r>
        <w:rPr>
          <w:i/>
          <w:iCs/>
        </w:rPr>
        <w:t xml:space="preserve">local projections</w:t>
      </w:r>
      <w:r>
        <w:t xml:space="preserve"> </w:t>
      </w:r>
      <w:r>
        <w:t xml:space="preserve">DiD de</w:t>
      </w:r>
      <w:r>
        <w:t xml:space="preserve"> </w:t>
      </w:r>
      <w:r>
        <w:t xml:space="preserve">Dube et al. (2023)</w:t>
      </w:r>
      <w:r>
        <w:t xml:space="preserve">, que combina el estimador de proyecciones locales de Jordà (2005) con la imputación cohort-by-cohort. También reporto la extensión de</w:t>
      </w:r>
      <w:r>
        <w:t xml:space="preserve"> </w:t>
      </w:r>
      <w:r>
        <w:t xml:space="preserve">Chaisemartin et al. (2022)</w:t>
      </w:r>
      <w:r>
        <w:t xml:space="preserve"> </w:t>
      </w:r>
      <w:r>
        <w:t xml:space="preserve">al estimador de</w:t>
      </w:r>
      <w:r>
        <w:t xml:space="preserve"> </w:t>
      </w:r>
      <w:r>
        <w:t xml:space="preserve">Chaisemartin and D’Haultfœuille (2020)</w:t>
      </w:r>
      <w:r>
        <w:t xml:space="preserve"> </w:t>
      </w:r>
      <w:r>
        <w:t xml:space="preserve">para tratamientos continuos, que sirve como verificación cruzada del estimador primario</w:t>
      </w:r>
      <w:r>
        <w:t xml:space="preserve"> </w:t>
      </w:r>
      <w:r>
        <w:t xml:space="preserve">(Callaway et al. 2024)</w:t>
      </w:r>
      <w:r>
        <w:t xml:space="preserve">. La convergencia entre ambos estimadores constituye evidencia adicional de que el resultado por país no depende de la elección específica del estimador continuo.</w:t>
      </w:r>
    </w:p>
    <w:bookmarkStart w:id="36" w:name="implementación."/>
    <w:p>
      <w:pPr>
        <w:pStyle w:val="Heading4"/>
      </w:pPr>
      <w:r>
        <w:rPr>
          <w:rStyle w:val="SectionNumber"/>
        </w:rPr>
        <w:t xml:space="preserve">4.7.0.1</w:t>
      </w:r>
      <w:r>
        <w:tab/>
      </w:r>
      <w:r>
        <w:t xml:space="preserve">Implementación.</w:t>
      </w:r>
    </w:p>
    <w:p>
      <w:pPr>
        <w:pStyle w:val="FirstParagraph"/>
      </w:pPr>
      <w:r>
        <w:t xml:space="preserve">Toda la estimación se realiza en R. El estimador primario continuo emplea el paquete</w:t>
      </w:r>
      <w:r>
        <w:t xml:space="preserve"> </w:t>
      </w:r>
      <w:r>
        <w:rPr>
          <w:rStyle w:val="VerbatimChar"/>
        </w:rPr>
        <w:t xml:space="preserve">did</w:t>
      </w:r>
      <w:r>
        <w:t xml:space="preserve"> </w:t>
      </w:r>
      <w:r>
        <w:t xml:space="preserve">(Callaway y Sant’Anna 2021); las cotas Honest-DiD usan</w:t>
      </w:r>
      <w:r>
        <w:t xml:space="preserve"> </w:t>
      </w:r>
      <w:r>
        <w:rPr>
          <w:rStyle w:val="VerbatimChar"/>
        </w:rPr>
        <w:t xml:space="preserve">HonestDiD</w:t>
      </w:r>
      <w:r>
        <w:t xml:space="preserve">; el análisis de potencia de tendencias previas usa</w:t>
      </w:r>
      <w:r>
        <w:t xml:space="preserve"> </w:t>
      </w:r>
      <w:r>
        <w:rPr>
          <w:rStyle w:val="VerbatimChar"/>
        </w:rPr>
        <w:t xml:space="preserve">pretrends</w:t>
      </w:r>
      <w:r>
        <w:t xml:space="preserve"> </w:t>
      </w:r>
      <w:r>
        <w:t xml:space="preserve">(Roth 2022)</w:t>
      </w:r>
      <w:r>
        <w:t xml:space="preserve">; el bootstrap wild cluster usa</w:t>
      </w:r>
      <w:r>
        <w:t xml:space="preserve"> </w:t>
      </w:r>
      <w:r>
        <w:rPr>
          <w:rStyle w:val="VerbatimChar"/>
        </w:rPr>
        <w:t xml:space="preserve">fwildclusterboot</w:t>
      </w:r>
      <w:r>
        <w:t xml:space="preserve">; la especificación shift-share usa</w:t>
      </w:r>
      <w:r>
        <w:t xml:space="preserve"> </w:t>
      </w:r>
      <w:r>
        <w:rPr>
          <w:rStyle w:val="VerbatimChar"/>
        </w:rPr>
        <w:t xml:space="preserve">ShiftShareSE</w:t>
      </w:r>
      <w:r>
        <w:t xml:space="preserve">; las cotas de Oster usan</w:t>
      </w:r>
      <w:r>
        <w:t xml:space="preserve"> </w:t>
      </w:r>
      <w:r>
        <w:rPr>
          <w:rStyle w:val="VerbatimChar"/>
        </w:rPr>
        <w:t xml:space="preserve">sensemakr</w:t>
      </w:r>
      <w:r>
        <w:t xml:space="preserve">; el estudio de eventos de Sun-Abraham usa</w:t>
      </w:r>
      <w:r>
        <w:t xml:space="preserve"> </w:t>
      </w:r>
      <w:r>
        <w:rPr>
          <w:rStyle w:val="VerbatimChar"/>
        </w:rPr>
        <w:t xml:space="preserve">fixest::sunab()</w:t>
      </w:r>
      <w:r>
        <w:t xml:space="preserve">. El código y los datos se distribuyen en el paquete de replicación que acompaña al artículo.</w:t>
      </w:r>
    </w:p>
    <w:bookmarkEnd w:id="36"/>
    <w:bookmarkEnd w:id="37"/>
    <w:bookmarkStart w:id="38" w:name="subsec:method_narratives"/>
    <w:p>
      <w:pPr>
        <w:pStyle w:val="Heading2"/>
      </w:pPr>
      <w:r>
        <w:rPr>
          <w:rStyle w:val="SectionNumber"/>
        </w:rPr>
        <w:t xml:space="preserve">4.8</w:t>
      </w:r>
      <w:r>
        <w:tab/>
      </w:r>
      <w:r>
        <w:t xml:space="preserve">Cuatro narrativas preregistradas, evaluadas por país</w:t>
      </w:r>
    </w:p>
    <w:p>
      <w:pPr>
        <w:pStyle w:val="FirstParagraph"/>
      </w:pPr>
      <w:r>
        <w:t xml:space="preserve">La estrategia de identificación está diseñada para hablar a cuatro patrones empíricos, precomprometidos antes de ejecutar el análisis y</w:t>
      </w:r>
      <w:r>
        <w:t xml:space="preserve"> </w:t>
      </w:r>
      <w:r>
        <w:rPr>
          <w:i/>
          <w:iCs/>
        </w:rPr>
        <w:t xml:space="preserve">evaluados dentro de cada uno de los seis países</w:t>
      </w:r>
      <w:r>
        <w:t xml:space="preserve">. Cada país reporta cuál de los cuatro patrones soporta su</w:t>
      </w:r>
      <w:r>
        <w:t xml:space="preserve"> </w:t>
      </w:r>
      <m:oMath>
        <m:r>
          <m:rPr>
            <m:sty m:val="p"/>
          </m:rPr>
          <m:t>(</m:t>
        </m:r>
        <m:sSup>
          <m:e>
            <m:acc>
              <m:accPr>
                <m:chr m:val="̂"/>
              </m:accPr>
              <m:e>
                <m:r>
                  <m:t>τ</m:t>
                </m:r>
              </m:e>
            </m:acc>
          </m:e>
          <m:sup>
            <m:r>
              <m:t>c</m:t>
            </m:r>
          </m:sup>
        </m:sSup>
        <m:r>
          <m:rPr>
            <m:sty m:val="p"/>
          </m:rPr>
          <m:t>,</m:t>
        </m:r>
        <m:sSubSup>
          <m:e>
            <m:acc>
              <m:accPr>
                <m:chr m:val="̂"/>
              </m:accPr>
              <m:e>
                <m:r>
                  <m:t>τ</m:t>
                </m:r>
              </m:e>
            </m:acc>
          </m:e>
          <m:sub>
            <m:r>
              <m:t>F</m:t>
            </m:r>
          </m:sub>
          <m:sup>
            <m:r>
              <m:t>c</m:t>
            </m:r>
          </m:sup>
        </m:sSubSup>
        <m:r>
          <m:rPr>
            <m:sty m:val="p"/>
          </m:rPr>
          <m:t>,</m:t>
        </m:r>
        <m:sSubSup>
          <m:e>
            <m:acc>
              <m:accPr>
                <m:chr m:val="̂"/>
              </m:accPr>
              <m:e>
                <m:r>
                  <m:t>τ</m:t>
                </m:r>
              </m:e>
            </m:acc>
          </m:e>
          <m:sub>
            <m:r>
              <m:t>I</m:t>
            </m:r>
          </m:sub>
          <m:sup>
            <m:r>
              <m:t>c</m:t>
            </m:r>
          </m:sup>
        </m:sSubSup>
        <m:r>
          <m:rPr>
            <m:sty m:val="p"/>
          </m:rPr>
          <m:t>)</m:t>
        </m:r>
      </m:oMath>
      <w:r>
        <w:t xml:space="preserve">. La contribución empírica principal son, por tanto, seis pruebas independientes del mismo conjunto de narrativas, con la variación entre países en la narrativa que se obtiene como hallazgo central.</w:t>
      </w:r>
    </w:p>
    <w:p>
      <w:pPr>
        <w:pStyle w:val="BodyText"/>
      </w:pPr>
      <w:r>
        <w:rPr>
          <w:b/>
          <w:bCs/>
        </w:rPr>
        <w:t xml:space="preserve">Narrativa A</w:t>
      </w:r>
      <w:r>
        <w:t xml:space="preserve"> </w:t>
      </w:r>
      <w:r>
        <w:t xml:space="preserve">–</w:t>
      </w:r>
      <w:r>
        <w:t xml:space="preserve"> </w:t>
      </w:r>
      <w:r>
        <w:rPr>
          <w:i/>
          <w:iCs/>
        </w:rPr>
        <w:t xml:space="preserve">La informalidad amplifica</w:t>
      </w:r>
      <w:r>
        <w:t xml:space="preserve">. En el país</w:t>
      </w:r>
      <w:r>
        <w:t xml:space="preserve"> </w:t>
      </w:r>
      <m:oMath>
        <m:r>
          <m:t>c</m:t>
        </m:r>
      </m:oMath>
      <w:r>
        <w:t xml:space="preserve">:</w:t>
      </w:r>
      <w:r>
        <w:t xml:space="preserve"> </w:t>
      </w:r>
      <m:oMath>
        <m:r>
          <m:rPr>
            <m:sty m:val="p"/>
          </m:rPr>
          <m:t>|</m:t>
        </m:r>
        <m:sSup>
          <m:e>
            <m:acc>
              <m:accPr>
                <m:chr m:val="̂"/>
              </m:accPr>
              <m:e>
                <m:r>
                  <m:t>τ</m:t>
                </m:r>
              </m:e>
            </m:acc>
          </m:e>
          <m:sup>
            <m:r>
              <m:t>c</m:t>
            </m:r>
          </m:sup>
        </m:sSup>
        <m:r>
          <m:rPr>
            <m:sty m:val="p"/>
          </m:rPr>
          <m:t>|</m:t>
        </m:r>
        <m:r>
          <m:rPr>
            <m:sty m:val="p"/>
          </m:rPr>
          <m:t>&gt;</m:t>
        </m:r>
        <m:r>
          <m:t>2</m:t>
        </m:r>
        <m:r>
          <m:rPr>
            <m:sty m:val="p"/>
          </m:rPr>
          <m:t>%</m:t>
        </m:r>
      </m:oMath>
      <w:r>
        <w:t xml:space="preserve"> </w:t>
      </w:r>
      <w:r>
        <w:t xml:space="preserve">y</w:t>
      </w:r>
      <w:r>
        <w:t xml:space="preserve"> </w:t>
      </w:r>
      <m:oMath>
        <m:sSubSup>
          <m:e>
            <m:r>
              <m:t>τ</m:t>
            </m:r>
          </m:e>
          <m:sub>
            <m:r>
              <m:t>I</m:t>
            </m:r>
          </m:sub>
          <m:sup>
            <m:r>
              <m:t>c</m:t>
            </m:r>
          </m:sup>
        </m:sSubSup>
        <m:r>
          <m:rPr>
            <m:sty m:val="p"/>
          </m:rPr>
          <m:t>&lt;</m:t>
        </m:r>
        <m:sSubSup>
          <m:e>
            <m:r>
              <m:t>τ</m:t>
            </m:r>
          </m:e>
          <m:sub>
            <m:r>
              <m:t>F</m:t>
            </m:r>
          </m:sub>
          <m:sup>
            <m:r>
              <m:t>c</m:t>
            </m:r>
          </m:sup>
        </m:sSubSup>
        <m:r>
          <m:rPr>
            <m:sty m:val="p"/>
          </m:rPr>
          <m:t>&lt;</m:t>
        </m:r>
        <m:r>
          <m:t>0</m:t>
        </m:r>
      </m:oMath>
      <w:r>
        <w:t xml:space="preserve">. Los trabajadores informales absorben el shock más que los formales en el país</w:t>
      </w:r>
      <w:r>
        <w:t xml:space="preserve"> </w:t>
      </w:r>
      <m:oMath>
        <m:r>
          <m:t>c</m:t>
        </m:r>
      </m:oMath>
      <w:r>
        <w:t xml:space="preserve">.</w:t>
      </w:r>
    </w:p>
    <w:p>
      <w:pPr>
        <w:pStyle w:val="BodyText"/>
      </w:pPr>
      <w:r>
        <w:rPr>
          <w:b/>
          <w:bCs/>
        </w:rPr>
        <w:t xml:space="preserve">Narrativa B</w:t>
      </w:r>
      <w:r>
        <w:t xml:space="preserve"> </w:t>
      </w:r>
      <w:r>
        <w:t xml:space="preserve">–</w:t>
      </w:r>
      <w:r>
        <w:t xml:space="preserve"> </w:t>
      </w:r>
      <w:r>
        <w:rPr>
          <w:i/>
          <w:iCs/>
        </w:rPr>
        <w:t xml:space="preserve">Replicación del nulo</w:t>
      </w:r>
      <w:r>
        <w:t xml:space="preserve">. En el país</w:t>
      </w:r>
      <w:r>
        <w:t xml:space="preserve"> </w:t>
      </w:r>
      <m:oMath>
        <m:r>
          <m:t>c</m:t>
        </m:r>
      </m:oMath>
      <w:r>
        <w:t xml:space="preserve">:</w:t>
      </w:r>
      <w:r>
        <w:t xml:space="preserve"> </w:t>
      </w:r>
      <m:oMath>
        <m:r>
          <m:rPr>
            <m:sty m:val="p"/>
          </m:rPr>
          <m:t>|</m:t>
        </m:r>
        <m:sSup>
          <m:e>
            <m:acc>
              <m:accPr>
                <m:chr m:val="̂"/>
              </m:accPr>
              <m:e>
                <m:r>
                  <m:t>τ</m:t>
                </m:r>
              </m:e>
            </m:acc>
          </m:e>
          <m:sup>
            <m:r>
              <m:t>c</m:t>
            </m:r>
          </m:sup>
        </m:sSup>
        <m:r>
          <m:rPr>
            <m:sty m:val="p"/>
          </m:rPr>
          <m:t>|</m:t>
        </m:r>
      </m:oMath>
      <w:r>
        <w:t xml:space="preserve"> </w:t>
      </w:r>
      <w:r>
        <w:t xml:space="preserve">es pequeño y estadísticamente indistinguible de cero en ambos canales. El país</w:t>
      </w:r>
      <w:r>
        <w:t xml:space="preserve"> </w:t>
      </w:r>
      <m:oMath>
        <m:r>
          <m:t>c</m:t>
        </m:r>
      </m:oMath>
      <w:r>
        <w:t xml:space="preserve"> </w:t>
      </w:r>
      <w:r>
        <w:t xml:space="preserve">es una replicación del nulo de</w:t>
      </w:r>
      <w:r>
        <w:t xml:space="preserve"> </w:t>
      </w:r>
      <w:r>
        <w:t xml:space="preserve">Humlum and Vestergaard (2025a)</w:t>
      </w:r>
      <w:r>
        <w:t xml:space="preserve"> </w:t>
      </w:r>
      <w:r>
        <w:t xml:space="preserve">en ALC.</w:t>
      </w:r>
    </w:p>
    <w:p>
      <w:pPr>
        <w:pStyle w:val="BodyText"/>
      </w:pPr>
      <w:r>
        <w:rPr>
          <w:b/>
          <w:bCs/>
        </w:rPr>
        <w:t xml:space="preserve">Narrativa C</w:t>
      </w:r>
      <w:r>
        <w:t xml:space="preserve"> </w:t>
      </w:r>
      <w:r>
        <w:t xml:space="preserve">–</w:t>
      </w:r>
      <w:r>
        <w:t xml:space="preserve"> </w:t>
      </w:r>
      <w:r>
        <w:rPr>
          <w:i/>
          <w:iCs/>
        </w:rPr>
        <w:t xml:space="preserve">Nulo en formal, grande en informal</w:t>
      </w:r>
      <w:r>
        <w:t xml:space="preserve">. En el país</w:t>
      </w:r>
      <w:r>
        <w:t xml:space="preserve"> </w:t>
      </w:r>
      <m:oMath>
        <m:r>
          <m:t>c</m:t>
        </m:r>
      </m:oMath>
      <w:r>
        <w:t xml:space="preserve">:</w:t>
      </w:r>
      <w:r>
        <w:t xml:space="preserve"> </w:t>
      </w:r>
      <m:oMath>
        <m:sSubSup>
          <m:e>
            <m:r>
              <m:t>τ</m:t>
            </m:r>
          </m:e>
          <m:sub>
            <m:r>
              <m:t>F</m:t>
            </m:r>
          </m:sub>
          <m:sup>
            <m:r>
              <m:t>c</m:t>
            </m:r>
          </m:sup>
        </m:sSubSup>
        <m:r>
          <m:rPr>
            <m:sty m:val="p"/>
          </m:rPr>
          <m:t>≈</m:t>
        </m:r>
        <m:r>
          <m:t>0</m:t>
        </m:r>
      </m:oMath>
      <w:r>
        <w:t xml:space="preserve"> </w:t>
      </w:r>
      <w:r>
        <w:t xml:space="preserve">y</w:t>
      </w:r>
      <w:r>
        <w:t xml:space="preserve"> </w:t>
      </w:r>
      <m:oMath>
        <m:sSubSup>
          <m:e>
            <m:r>
              <m:t>τ</m:t>
            </m:r>
          </m:e>
          <m:sub>
            <m:r>
              <m:t>I</m:t>
            </m:r>
          </m:sub>
          <m:sup>
            <m:r>
              <m:t>c</m:t>
            </m:r>
          </m:sup>
        </m:sSubSup>
      </m:oMath>
      <w:r>
        <w:t xml:space="preserve"> </w:t>
      </w:r>
      <w:r>
        <w:t xml:space="preserve">significativamente negativo. El país</w:t>
      </w:r>
      <w:r>
        <w:t xml:space="preserve"> </w:t>
      </w:r>
      <m:oMath>
        <m:r>
          <m:t>c</m:t>
        </m:r>
      </m:oMath>
      <w:r>
        <w:t xml:space="preserve"> </w:t>
      </w:r>
      <w:r>
        <w:t xml:space="preserve">identifica un canal que los diseños daneses y estadounidenses no pueden detectar porque sus sectores informales son insignificantes.</w:t>
      </w:r>
    </w:p>
    <w:p>
      <w:pPr>
        <w:pStyle w:val="BodyText"/>
      </w:pPr>
      <w:r>
        <w:rPr>
          <w:b/>
          <w:bCs/>
        </w:rPr>
        <w:t xml:space="preserve">Narrativa D</w:t>
      </w:r>
      <w:r>
        <w:t xml:space="preserve"> </w:t>
      </w:r>
      <w:r>
        <w:t xml:space="preserve">–</w:t>
      </w:r>
      <w:r>
        <w:t xml:space="preserve"> </w:t>
      </w:r>
      <w:r>
        <w:rPr>
          <w:i/>
          <w:iCs/>
        </w:rPr>
        <w:t xml:space="preserve">Ganancias estratificadas</w:t>
      </w:r>
      <w:r>
        <w:t xml:space="preserve">. En el país</w:t>
      </w:r>
      <w:r>
        <w:t xml:space="preserve"> </w:t>
      </w:r>
      <m:oMath>
        <m:r>
          <m:t>c</m:t>
        </m:r>
      </m:oMath>
      <w:r>
        <w:t xml:space="preserve">:</w:t>
      </w:r>
      <w:r>
        <w:t xml:space="preserve"> </w:t>
      </w:r>
      <m:oMath>
        <m:sSup>
          <m:e>
            <m:r>
              <m:t>τ</m:t>
            </m:r>
          </m:e>
          <m:sup>
            <m:r>
              <m:t>c</m:t>
            </m:r>
          </m:sup>
        </m:sSup>
        <m:r>
          <m:rPr>
            <m:sty m:val="p"/>
          </m:rPr>
          <m:t>&gt;</m:t>
        </m:r>
        <m:r>
          <m:t>0</m:t>
        </m:r>
      </m:oMath>
      <w:r>
        <w:t xml:space="preserve"> </w:t>
      </w:r>
      <w:r>
        <w:t xml:space="preserve">sobre log salarios para ocupaciones de alta exposición, concentrado en trabajadores formales urbanos con educación terciaria (</w:t>
      </w:r>
      <m:oMath>
        <m:sSubSup>
          <m:e>
            <m:r>
              <m:t>τ</m:t>
            </m:r>
          </m:e>
          <m:sub>
            <m:r>
              <m:t>F</m:t>
            </m:r>
          </m:sub>
          <m:sup>
            <m:r>
              <m:t>c</m:t>
            </m:r>
            <m:r>
              <m:rPr>
                <m:sty m:val="p"/>
              </m:rPr>
              <m:t>,</m:t>
            </m:r>
            <m:r>
              <m:rPr>
                <m:nor/>
                <m:sty m:val="p"/>
              </m:rPr>
              <m:t>terciaria, urbana</m:t>
            </m:r>
          </m:sup>
        </m:sSubSup>
        <m:r>
          <m:rPr>
            <m:sty m:val="p"/>
          </m:rPr>
          <m:t>&gt;</m:t>
        </m:r>
        <m:r>
          <m:t>0</m:t>
        </m:r>
      </m:oMath>
      <w:r>
        <w:t xml:space="preserve">); efectos sobre el empleo cercanos a cero. Los LLM actúan como un potenciador de productividad sesgado por habilidad para el segmento protegido en el país</w:t>
      </w:r>
      <w:r>
        <w:t xml:space="preserve"> </w:t>
      </w:r>
      <m:oMath>
        <m:r>
          <m:t>c</m:t>
        </m:r>
      </m:oMath>
      <w:r>
        <w:t xml:space="preserve">.</w:t>
      </w:r>
    </w:p>
    <w:p>
      <w:pPr>
        <w:pStyle w:val="BodyText"/>
      </w:pPr>
      <w:r>
        <w:t xml:space="preserve">Precomprometer las narrativas es en sí mismo una contribución metodológica. Cuál narrativa reporta el artículo para el país</w:t>
      </w:r>
      <w:r>
        <w:t xml:space="preserve"> </w:t>
      </w:r>
      <m:oMath>
        <m:r>
          <m:t>c</m:t>
        </m:r>
      </m:oMath>
      <w:r>
        <w:t xml:space="preserve"> </w:t>
      </w:r>
      <w:r>
        <w:t xml:space="preserve">en la versión final está determinada por el patrón empírico realizado en el país</w:t>
      </w:r>
      <w:r>
        <w:t xml:space="preserve"> </w:t>
      </w:r>
      <m:oMath>
        <m:r>
          <m:t>c</m:t>
        </m:r>
      </m:oMath>
      <w:r>
        <w:t xml:space="preserve">, no por una búsqueda de especificación. El plan de análisis previo se deposita en OSF antes de ejecutar las estimaciones para los cinco países restantes sobre los que aún no se ha mirado el dato post-tratamiento; las estimaciones para Perú reportadas en la</w:t>
      </w:r>
      <w:r>
        <w:t xml:space="preserve"> </w:t>
      </w:r>
      <w:hyperlink w:anchor="sec:results">
        <w:r>
          <w:rPr>
            <w:rStyle w:val="Hyperlink"/>
          </w:rPr>
          <w:t xml:space="preserve">6</w:t>
        </w:r>
      </w:hyperlink>
      <w:r>
        <w:t xml:space="preserve"> </w:t>
      </w:r>
      <w:r>
        <w:t xml:space="preserve">se ejecutaron antes del depósito formal y se identifican explícitamente como exploratorias en la mapeo a narrativas. Las seis aplicaciones independientes del mismo conjunto de narrativas afilan la prueba. Si una narrativa se obtiene en los seis países, esa es evidencia sobre la universalidad del mecanismo. Si distintos países soportan distintas narrativas, esa es evidencia sobre el papel de las instituciones específicas de cada país.</w:t>
      </w:r>
    </w:p>
    <w:bookmarkEnd w:id="38"/>
    <w:bookmarkEnd w:id="39"/>
    <w:bookmarkStart w:id="56" w:name="sec:data"/>
    <w:p>
      <w:pPr>
        <w:pStyle w:val="Heading1"/>
      </w:pPr>
      <w:r>
        <w:rPr>
          <w:rStyle w:val="SectionNumber"/>
        </w:rPr>
        <w:t xml:space="preserve">5</w:t>
      </w:r>
      <w:r>
        <w:tab/>
      </w:r>
      <w:r>
        <w:t xml:space="preserve">Datos</w:t>
      </w:r>
    </w:p>
    <w:p>
      <w:pPr>
        <w:pStyle w:val="FirstParagraph"/>
      </w:pPr>
      <w:r>
        <w:t xml:space="preserve">Esta sección describe los seis conjuntos de microdatos armonizados por país y documenta el procedimiento de armonización ocupacional sobre el que descansa la estrategia de identificación de la</w:t>
      </w:r>
      <w:r>
        <w:t xml:space="preserve"> </w:t>
      </w:r>
      <w:hyperlink w:anchor="sec:method">
        <w:r>
          <w:rPr>
            <w:rStyle w:val="Hyperlink"/>
          </w:rPr>
          <w:t xml:space="preserve">4</w:t>
        </w:r>
      </w:hyperlink>
      <w:r>
        <w:t xml:space="preserve">. La unidad de armonización es la ocupación CIUO-08 a cuatro dígitos, el clasificador internacional de la OIT que sirve como puente común entre los clasificadores nacionales heterogéneos de la región y las medidas de exposición a LLM construidas sobre O*NET y SOC. Comienzo con el caso del Perú, donde el desafío de armonización es más severo y donde su solución marca el estándar para los países restantes.</w:t>
      </w:r>
    </w:p>
    <w:bookmarkStart w:id="45" w:name="subsec:data_peru"/>
    <w:p>
      <w:pPr>
        <w:pStyle w:val="Heading2"/>
      </w:pPr>
      <w:r>
        <w:rPr>
          <w:rStyle w:val="SectionNumber"/>
        </w:rPr>
        <w:t xml:space="preserve">5.1</w:t>
      </w:r>
      <w:r>
        <w:tab/>
      </w:r>
      <w:r>
        <w:t xml:space="preserve">Perú: un cambio de clasificador que coincide con el shock</w:t>
      </w:r>
    </w:p>
    <w:p>
      <w:pPr>
        <w:pStyle w:val="FirstParagraph"/>
      </w:pPr>
      <w:r>
        <w:t xml:space="preserve">La fuente</w:t>
      </w:r>
      <w:r>
        <w:t xml:space="preserve"> </w:t>
      </w:r>
      <w:r>
        <w:rPr>
          <w:i/>
          <w:iCs/>
        </w:rPr>
        <w:t xml:space="preserve">principal</w:t>
      </w:r>
      <w:r>
        <w:t xml:space="preserve"> </w:t>
      </w:r>
      <w:r>
        <w:t xml:space="preserve">para el Perú es la Encuesta Permanente de Empleo Nacional (EPEN) del Instituto Nacional de Estadística e Informática (INEI), módulo que cubre Lima Metropolitana con frecuencia mensual y que agrego a frecuencia trimestral para alinearlo con la ventana muestral 2021T1–2025T4 del artículo. La EPEN sustituyó en su función trimestral al módulo de empleo de la Encuesta Nacional de Hogares (ENAHO) tras el rediseño muestral de 2023 del INEI. Toda la estrategia de identificación descansa en la EPEN; la ENAHO se utiliza únicamente como fuente de validación anual en la sección de robustez, donde su cobertura nacional permite contrastar el resultado limeño con un agregado representativo del país. La cobertura geográfica restringida de la EPEN se reconoce explícitamente: el ACRT estimado</w:t>
      </w:r>
      <w:r>
        <w:t xml:space="preserve"> </w:t>
      </w:r>
      <m:oMath>
        <m:sSup>
          <m:e>
            <m:acc>
              <m:accPr>
                <m:chr m:val="̂"/>
              </m:accPr>
              <m:e>
                <m:r>
                  <m:t>τ</m:t>
                </m:r>
              </m:e>
            </m:acc>
          </m:e>
          <m:sup>
            <m:r>
              <m:rPr>
                <m:nor/>
                <m:sty m:val="p"/>
              </m:rPr>
              <m:t>Perú</m:t>
            </m:r>
          </m:sup>
        </m:sSup>
      </m:oMath>
      <w:r>
        <w:t xml:space="preserve"> </w:t>
      </w:r>
      <w:r>
        <w:t xml:space="preserve">debe leerse como específico de Lima Metropolitana y no como una afirmación nacionalmente representativa.</w:t>
      </w:r>
    </w:p>
    <w:p>
      <w:pPr>
        <w:pStyle w:val="BodyText"/>
      </w:pPr>
      <w:r>
        <w:t xml:space="preserve">El reto técnico central de la EPEN es que cambia de clasificador ocupacional a mitad de la ventana muestral, y el cambio coincide casi exactamente con la fecha de tratamiento. De 2021T1 a 2022T3, la EPEN codifica la ocupación usando el Código de Ocupaciones de 1995 (CO-1995) a tres dígitos: 319 códigos aparecen al menos una vez en el período, de un total de 370 códigos definidos en el clasificador oficial del INEI. A partir de 2022T4, la EPEN migra al Código Nacional de Ocupaciones de 2015 (CNO-2015) a cuatro dígitos, con 473 códigos definidos en el clasificador. El corte cae en el mismo trimestre que la fecha de tratamiento</w:t>
      </w:r>
      <w:r>
        <w:t xml:space="preserve"> </w:t>
      </w:r>
      <m:oMath>
        <m:sSup>
          <m:e>
            <m:r>
              <m:t>t</m:t>
            </m:r>
          </m:e>
          <m:sup>
            <m:r>
              <m:rPr>
                <m:sty m:val="p"/>
              </m:rPr>
              <m:t>*</m:t>
            </m:r>
          </m:sup>
        </m:sSup>
        <m:r>
          <m:rPr>
            <m:sty m:val="p"/>
          </m:rPr>
          <m:t>=</m:t>
        </m:r>
        <m:r>
          <m:t>2022</m:t>
        </m:r>
        <m:r>
          <m:rPr>
            <m:nor/>
            <m:sty m:val="p"/>
          </m:rPr>
          <m:t>T4</m:t>
        </m:r>
      </m:oMath>
      <w:r>
        <w:t xml:space="preserve">, lo que crea un riesgo de identificación inmediato: cualquier salto mecánico introducido por el cambio de granularidad se confundiría con el efecto causal del lanzamiento de ChatGPT. Además, el mapeo de CO-1995 a tres dígitos hacia CNO-2015 a cuatro dígitos es</w:t>
      </w:r>
      <w:r>
        <w:t xml:space="preserve"> </w:t>
      </w:r>
      <w:r>
        <w:rPr>
          <w:i/>
          <w:iCs/>
        </w:rPr>
        <w:t xml:space="preserve">one-to-many</w:t>
      </w:r>
      <w:r>
        <w:t xml:space="preserve">: un código CO-1995 típicamente se desagrega en varios códigos CNO-2015. Mantener el CNO-2015 a cuatro dígitos como unidad de análisis exigiría, por tanto, imputar la asignación de los trabajadores del período previo a códigos más finos sobre la base de información que la propia EPEN no recoge en esos trimestres. Mantener el CO-1995 a tres dígitos como unidad sacrificaría la mitad de la variación ocupacional en exposición a LLM dentro de cada uno de esos códigos, justamente la variación que la literatura sobre exposición a IA y a LLM</w:t>
      </w:r>
      <w:r>
        <w:t xml:space="preserve"> </w:t>
      </w:r>
      <w:r>
        <w:t xml:space="preserve">(Felten et al. 2021; Webb 2019; Eloundou et al. 2024)</w:t>
      </w:r>
      <w:r>
        <w:t xml:space="preserve"> </w:t>
      </w:r>
      <w:r>
        <w:t xml:space="preserve">explota como exógena.</w:t>
      </w:r>
    </w:p>
    <w:bookmarkStart w:id="42" w:name="X0eecd23ba3b2708531509e916d6bd446ec204aa"/>
    <w:p>
      <w:pPr>
        <w:pStyle w:val="Heading3"/>
      </w:pPr>
      <w:r>
        <w:t xml:space="preserve">Armonización a CIUO-08 y validación de la imputación</w:t>
      </w:r>
    </w:p>
    <w:p>
      <w:pPr>
        <w:pStyle w:val="FirstParagraph"/>
      </w:pPr>
      <w:r>
        <w:t xml:space="preserve">La estrategia adoptada lleva ambos períodos a CIUO-08 a cuatro dígitos, el clasificador internacional de la OIT, usando las cuatro tablas oficiales de correspondencia publicadas por el INEI.</w:t>
      </w:r>
      <w:r>
        <w:rPr>
          <w:rStyle w:val="FootnoteReference"/>
        </w:rPr>
        <w:footnoteReference w:id="40"/>
      </w:r>
      <w:r>
        <w:t xml:space="preserve"> </w:t>
      </w:r>
      <w:r>
        <w:t xml:space="preserve">La elección de CIUO-08 como clasificador maestro tiene tres motivos: las medidas de exposición a IA están definidas a nivel SOC con crosswalk oficial a CIUO-08</w:t>
      </w:r>
      <w:r>
        <w:t xml:space="preserve"> </w:t>
      </w:r>
      <w:r>
        <w:t xml:space="preserve">(Felten et al. 2021; Webb 2019; Eloundou et al. 2024)</w:t>
      </w:r>
      <w:r>
        <w:t xml:space="preserve">, los otros cinco países del artículo se armonizan también a ese clasificador, y el INEI diseñó el CNO-2015 alineado con CIUO-08 (90.1 por ciento de los códigos CNO-2015 mapean a un único código CIUO-08). En el período post (CNO-2015), el mapeo a CIUO-08 vía el Anexo 3 del INEI es directo. En el período pre (CO-1995), encadeno los Anexos 2 y 3 con un esquema de pesos posteriores empíricos estimados sobre el propio post, condicionados en sexo, educación, sector ISIC y dominio del trabajador. El procedimiento completo (ecuación de los pesos posteriores, supuesto identificador del crosswalk y resultados detallados de las tres pruebas de validación) se reporta en el</w:t>
      </w:r>
      <w:r>
        <w:t xml:space="preserve"> </w:t>
      </w:r>
      <w:hyperlink w:anchor="app:peru_imputation">
        <w:r>
          <w:rPr>
            <w:rStyle w:val="Hyperlink"/>
          </w:rPr>
          <w:t xml:space="preserve">8.1</w:t>
        </w:r>
      </w:hyperlink>
      <w:r>
        <w:t xml:space="preserve">.</w:t>
      </w:r>
    </w:p>
    <w:p>
      <w:pPr>
        <w:pStyle w:val="BodyText"/>
      </w:pPr>
      <w:r>
        <w:t xml:space="preserve">Las pruebas de validación que pueden ejecutarse antes del DiD pasan los criterios pre-registrados en el plan de análisis. La diferencia máxima entre shares de empleo CIUO en 2022T3 (último trimestre del pre, asignado vía pesos posteriores) y 2022T4 (primer trimestre del post, asignado vía el Anexo 3) es 2.05 puntos porcentuales, por debajo del umbral de cinco puntos porcentuales pre-registrado como evidencia de armonización problemática; la mediana es 0.04. La divergencia de Kullback-Leibler agregada de los pesos posteriores entre subperíodos del post es 0.046 nats en el peor caso (entre 2023 y 2025), bajo el umbral pre-registrado de 0.05 nats. Las pruebas que requieren el DiD estimado (tendencias previas a nivel armonizado y donut DiD que excluye los dos trimestres que cubren el corte) se reportan junto con los resultados en la</w:t>
      </w:r>
      <w:r>
        <w:t xml:space="preserve"> </w:t>
      </w:r>
      <w:hyperlink w:anchor="sec:results">
        <w:r>
          <w:rPr>
            <w:rStyle w:val="Hyperlink"/>
          </w:rPr>
          <w:t xml:space="preserve">6</w:t>
        </w:r>
      </w:hyperlink>
      <w:r>
        <w:t xml:space="preserve"> </w:t>
      </w:r>
      <w:r>
        <w:t xml:space="preserve">y en la sección de robustez.</w:t>
      </w:r>
    </w:p>
    <w:bookmarkEnd w:id="42"/>
    <w:bookmarkStart w:id="44" w:name="X6cfa00b4bf0440486480904a7b6911aaf513dc2"/>
    <w:p>
      <w:pPr>
        <w:pStyle w:val="Heading3"/>
      </w:pPr>
      <w:r>
        <w:t xml:space="preserve">Escalera de robustez sobre el clasificador</w:t>
      </w:r>
    </w:p>
    <w:p>
      <w:pPr>
        <w:pStyle w:val="FirstParagraph"/>
      </w:pPr>
      <w:r>
        <w:t xml:space="preserve">La especificación peruana se reporta a lo largo de cinco columnas para acotar la sensibilidad del resultado a las decisiones de armonización.</w:t>
      </w:r>
    </w:p>
    <w:bookmarkStart w:id="43" w:name="tab:peru_classifier_ladder"/>
    <w:p>
      <w:pPr>
        <w:pStyle w:val="TableCaption"/>
      </w:pPr>
      <w:r>
        <w:t xml:space="preserve">Escalera de robustez del clasificador para Perú</w:t>
      </w:r>
    </w:p>
    <w:tbl>
      <w:tblPr>
        <w:tblStyle w:val="Table"/>
        <w:tblW w:type="auto" w:w="0"/>
        <w:tblLook w:firstRow="1" w:lastRow="0" w:firstColumn="0" w:lastColumn="0" w:noHBand="0" w:noVBand="0" w:val="0020"/>
        <w:tblCaption w:val="Escalera de robustez del clasificador para Perú"/>
      </w:tblPr>
      <w:tblGrid>
        <w:gridCol w:w="2640"/>
        <w:gridCol w:w="2640"/>
        <w:gridCol w:w="2640"/>
      </w:tblGrid>
      <w:tr>
        <w:trPr>
          <w:tblHeader w:val="on"/>
        </w:trPr>
        <w:tc>
          <w:tcPr/>
          <w:p>
            <w:pPr>
              <w:pStyle w:val="Compact"/>
              <w:jc w:val="left"/>
            </w:pPr>
            <w:r>
              <w:t xml:space="preserve">Especificación</w:t>
            </w:r>
          </w:p>
        </w:tc>
        <w:tc>
          <w:tcPr/>
          <w:p>
            <w:pPr>
              <w:pStyle w:val="Compact"/>
              <w:jc w:val="left"/>
            </w:pPr>
            <w:r>
              <w:t xml:space="preserve">Granularidad</w:t>
            </w:r>
          </w:p>
        </w:tc>
        <w:tc>
          <w:tcPr/>
          <w:p>
            <w:pPr>
              <w:pStyle w:val="Compact"/>
              <w:jc w:val="left"/>
            </w:pPr>
            <w:r>
              <w:t xml:space="preserve">Imputación del período pre</w:t>
            </w:r>
          </w:p>
        </w:tc>
      </w:tr>
      <w:tr>
        <w:tc>
          <w:tcPr/>
          <w:p>
            <w:pPr>
              <w:pStyle w:val="Compact"/>
              <w:jc w:val="left"/>
            </w:pPr>
            <w:r>
              <w:rPr>
                <w:b/>
                <w:bCs/>
              </w:rPr>
              <w:t xml:space="preserve">Principal</w:t>
            </w:r>
          </w:p>
        </w:tc>
        <w:tc>
          <w:tcPr/>
          <w:p>
            <w:pPr>
              <w:pStyle w:val="Compact"/>
              <w:jc w:val="left"/>
            </w:pPr>
            <w:r>
              <w:t xml:space="preserve">CIUO-08 4d</w:t>
            </w:r>
          </w:p>
        </w:tc>
        <w:tc>
          <w:tcPr/>
          <w:p>
            <w:pPr>
              <w:pStyle w:val="Compact"/>
              <w:jc w:val="left"/>
            </w:pPr>
            <w:r>
              <w:t xml:space="preserve">Pesos posteriores condicionales en</w:t>
            </w:r>
            <w:r>
              <w:t xml:space="preserve"> </w:t>
            </w:r>
            <m:oMath>
              <m:r>
                <m:t>X</m:t>
              </m:r>
            </m:oMath>
          </w:p>
        </w:tc>
      </w:tr>
      <w:tr>
        <w:tc>
          <w:tcPr/>
          <w:p>
            <w:pPr>
              <w:pStyle w:val="Compact"/>
              <w:jc w:val="left"/>
            </w:pPr>
            <w:r>
              <w:t xml:space="preserve">Robustez 1</w:t>
            </w:r>
          </w:p>
        </w:tc>
        <w:tc>
          <w:tcPr/>
          <w:p>
            <w:pPr>
              <w:pStyle w:val="Compact"/>
              <w:jc w:val="left"/>
            </w:pPr>
            <w:r>
              <w:t xml:space="preserve">CIUO-08 4d</w:t>
            </w:r>
          </w:p>
        </w:tc>
        <w:tc>
          <w:tcPr/>
          <w:p>
            <w:pPr>
              <w:pStyle w:val="Compact"/>
              <w:jc w:val="left"/>
            </w:pPr>
            <w:r>
              <w:t xml:space="preserve">Pesos uniformes</w:t>
            </w:r>
          </w:p>
        </w:tc>
      </w:tr>
      <w:tr>
        <w:tc>
          <w:tcPr/>
          <w:p>
            <w:pPr>
              <w:pStyle w:val="Compact"/>
              <w:jc w:val="left"/>
            </w:pPr>
            <w:r>
              <w:t xml:space="preserve">Robustez 2</w:t>
            </w:r>
          </w:p>
        </w:tc>
        <w:tc>
          <w:tcPr/>
          <w:p>
            <w:pPr>
              <w:pStyle w:val="Compact"/>
              <w:jc w:val="left"/>
            </w:pPr>
            <w:r>
              <w:t xml:space="preserve">CO-1995 3d (Anexo 1 al post)</w:t>
            </w:r>
          </w:p>
        </w:tc>
        <w:tc>
          <w:tcPr/>
          <w:p>
            <w:pPr>
              <w:pStyle w:val="Compact"/>
              <w:jc w:val="left"/>
            </w:pPr>
            <w:r>
              <w:t xml:space="preserve">Ninguna (</w:t>
            </w:r>
            <w:r>
              <w:rPr>
                <w:i/>
                <w:iCs/>
              </w:rPr>
              <w:t xml:space="preserve">many-to-one</w:t>
            </w:r>
            <w:r>
              <w:t xml:space="preserve">, sin imputación)</w:t>
            </w:r>
          </w:p>
        </w:tc>
      </w:tr>
      <w:tr>
        <w:tc>
          <w:tcPr/>
          <w:p>
            <w:pPr>
              <w:pStyle w:val="Compact"/>
              <w:jc w:val="left"/>
            </w:pPr>
            <w:r>
              <w:t xml:space="preserve">Robustez 3</w:t>
            </w:r>
          </w:p>
        </w:tc>
        <w:tc>
          <w:tcPr/>
          <w:p>
            <w:pPr>
              <w:pStyle w:val="Compact"/>
              <w:jc w:val="left"/>
            </w:pPr>
            <w:r>
              <w:t xml:space="preserve">CIUO-08 4d</w:t>
            </w:r>
          </w:p>
        </w:tc>
        <w:tc>
          <w:tcPr/>
          <w:p>
            <w:pPr>
              <w:pStyle w:val="Compact"/>
              <w:jc w:val="left"/>
            </w:pPr>
            <w:r>
              <w:t xml:space="preserve">Pesos post., donut excluye 2022T3–2022T4</w:t>
            </w:r>
          </w:p>
        </w:tc>
      </w:tr>
      <w:tr>
        <w:tc>
          <w:tcPr/>
          <w:p>
            <w:pPr>
              <w:pStyle w:val="Compact"/>
              <w:jc w:val="left"/>
            </w:pPr>
            <w:r>
              <w:t xml:space="preserve">Robustez 4</w:t>
            </w:r>
          </w:p>
        </w:tc>
        <w:tc>
          <w:tcPr/>
          <w:p>
            <w:pPr>
              <w:pStyle w:val="Compact"/>
              <w:jc w:val="left"/>
            </w:pPr>
            <w:r>
              <w:t xml:space="preserve">CIUO-08 4d</w:t>
            </w:r>
          </w:p>
        </w:tc>
        <w:tc>
          <w:tcPr/>
          <w:p>
            <w:pPr>
              <w:pStyle w:val="Compact"/>
              <w:jc w:val="left"/>
            </w:pPr>
            <w:r>
              <w:t xml:space="preserve">Solo período post (DiD pre/post implícito)</w:t>
            </w:r>
          </w:p>
        </w:tc>
      </w:tr>
    </w:tbl>
    <w:bookmarkEnd w:id="43"/>
    <w:p>
      <w:pPr>
        <w:pStyle w:val="BodyText"/>
      </w:pPr>
      <w:r>
        <w:rPr>
          <w:i/>
          <w:iCs/>
        </w:rPr>
        <w:t xml:space="preserve">Notas:</w:t>
      </w:r>
      <w:r>
        <w:t xml:space="preserve"> </w:t>
      </w:r>
      <w:r>
        <w:t xml:space="preserve">La especificación principal usa pesos posteriores estimados sobre 2022T4–2025T4 vía la</w:t>
      </w:r>
      <w:r>
        <w:t xml:space="preserve"> </w:t>
      </w:r>
      <w:hyperlink w:anchor="eq:posterior_weights">
        <w:r>
          <w:rPr>
            <w:rStyle w:val="Hyperlink"/>
          </w:rPr>
          <w:t xml:space="preserve">[eq:posterior_weights]</w:t>
        </w:r>
      </w:hyperlink>
      <w:r>
        <w:t xml:space="preserve">. Robustez 1 sustituye los pesos por una asignación uniforme entre códigos hijos. Robustez 2 colapsa el post a CO-1995 a tres dígitos vía el Anexo 1 (mecánicamente exacto, sin supuestos de imputación) a costa de menor granularidad. Robustez 3 elimina los trimestres 2022T3 y 2022T4 del estimador. Robustez 4 elimina por completo el período pre y estima un DiD pre/post implícito sobre el post (placebo cruzado a nivel ocupacional sirve como prueba previa). Convergencia entre las cinco columnas se interpreta como evidencia de que el resultado peruano no es artefacto del cambio de clasificador.</w:t>
      </w:r>
    </w:p>
    <w:bookmarkEnd w:id="44"/>
    <w:bookmarkEnd w:id="45"/>
    <w:bookmarkStart w:id="46" w:name="subsec:data_others"/>
    <w:p>
      <w:pPr>
        <w:pStyle w:val="Heading2"/>
      </w:pPr>
      <w:r>
        <w:rPr>
          <w:rStyle w:val="SectionNumber"/>
        </w:rPr>
        <w:t xml:space="preserve">5.2</w:t>
      </w:r>
      <w:r>
        <w:tab/>
      </w:r>
      <w:r>
        <w:t xml:space="preserve">Los otros cinco países</w:t>
      </w:r>
    </w:p>
    <w:p>
      <w:pPr>
        <w:pStyle w:val="FirstParagraph"/>
      </w:pPr>
      <w:r>
        <w:t xml:space="preserve">Los cinco países restantes presentan retos de armonización menos severos que el peruano y se documentan brevemente. Costa Rica (Encuesta Continua de Empleo, ECE), Colombia (Gran Encuesta Integrada de Hogares, GEIH), Ecuador (Encuesta Nacional de Empleo, Desempleo y Subempleo, ENEMDU) y Uruguay (Encuesta Continua de Hogares, ECH) publican microdatos codificados directamente en CIUO-08 a cuatro dígitos, sin requerir crosswalks. México (Encuesta Nacional de Ocupación y Empleo, ENOE) publica en SINCO (Sistema Nacional de Clasificación de Ocupaciones), que mapeo a CIUO-08 a cuatro dígitos usando el crosswalk oficial SINCO-CIUO publicado por el INEGI. La tasa de coincidencia SINCO-CIUO al nivel de cuatro dígitos es del 97.4 por ciento sobre los códigos con empleo positivo en la ENOE 2021–2025; los códigos sin coincidencia se asignan al nivel de tres dígitos como en el procedimiento general descrito en la</w:t>
      </w:r>
      <w:r>
        <w:t xml:space="preserve"> </w:t>
      </w:r>
      <w:hyperlink w:anchor="subsec:method_treatment">
        <w:r>
          <w:rPr>
            <w:rStyle w:val="Hyperlink"/>
          </w:rPr>
          <w:t xml:space="preserve">4.2</w:t>
        </w:r>
      </w:hyperlink>
      <w:r>
        <w:t xml:space="preserve">.</w:t>
      </w:r>
    </w:p>
    <w:bookmarkEnd w:id="46"/>
    <w:bookmarkStart w:id="55" w:name="subsec:data_descriptives"/>
    <w:p>
      <w:pPr>
        <w:pStyle w:val="Heading2"/>
      </w:pPr>
      <w:r>
        <w:rPr>
          <w:rStyle w:val="SectionNumber"/>
        </w:rPr>
        <w:t xml:space="preserve">5.3</w:t>
      </w:r>
      <w:r>
        <w:tab/>
      </w:r>
      <w:r>
        <w:t xml:space="preserve">Estadísticas descriptivas y primeros hallazgos</w:t>
      </w:r>
    </w:p>
    <w:p>
      <w:pPr>
        <w:pStyle w:val="FirstParagraph"/>
      </w:pPr>
      <w:r>
        <w:t xml:space="preserve">La fuerza laboral de Lima Metropolitana en 2021 se caracteriza por una edad media de 37.7 años (DE 12.5), una participación femenina de 44.9 por ciento, una share con educación terciaria o no universitaria postsecundaria de 36.3 por ciento, una tasa de formalidad de 36.7 por ciento bajo la definición basada en</w:t>
      </w:r>
      <w:r>
        <w:t xml:space="preserve"> </w:t>
      </w:r>
      <w:r>
        <w:rPr>
          <w:rStyle w:val="VerbatimChar"/>
        </w:rPr>
        <w:t xml:space="preserve">seguro1</w:t>
      </w:r>
      <w:r>
        <w:t xml:space="preserve">, una jornada media de 43.4 horas semanales y un logaritmo del salario por hora promedio de 1.88. La</w:t>
      </w:r>
      <w:r>
        <w:t xml:space="preserve"> </w:t>
      </w:r>
      <w:hyperlink w:anchor="tab:peru_yearly">
        <w:r>
          <w:rPr>
            <w:rStyle w:val="Hyperlink"/>
          </w:rPr>
          <w:t xml:space="preserve">4</w:t>
        </w:r>
      </w:hyperlink>
      <w:r>
        <w:t xml:space="preserve"> </w:t>
      </w:r>
      <w:r>
        <w:t xml:space="preserve">reporta la evolución de los principales agregados a lo largo de la ventana 2021–2025.</w:t>
      </w:r>
    </w:p>
    <w:bookmarkStart w:id="47" w:name="tab:peru_yearly"/>
    <w:p>
      <w:pPr>
        <w:pStyle w:val="TableCaption"/>
      </w:pPr>
      <w:r>
        <w:t xml:space="preserve">Agregados anuales del panel armonizado, Lima Metropolitana</w:t>
      </w:r>
    </w:p>
    <w:tbl>
      <w:tblPr>
        <w:tblStyle w:val="Table"/>
        <w:tblW w:type="auto" w:w="0"/>
        <w:tblLook w:firstRow="1" w:lastRow="0" w:firstColumn="0" w:lastColumn="0" w:noHBand="0" w:noVBand="0" w:val="0020"/>
        <w:tblCaption w:val="Agregados anuales del panel armonizado, Lima Metropolitana"/>
      </w:tblPr>
      <w:tblGrid>
        <w:gridCol w:w="1131"/>
        <w:gridCol w:w="1131"/>
        <w:gridCol w:w="1131"/>
        <w:gridCol w:w="1131"/>
        <w:gridCol w:w="1131"/>
        <w:gridCol w:w="1131"/>
        <w:gridCol w:w="1131"/>
      </w:tblGrid>
      <w:tr>
        <w:trPr>
          <w:tblHeader w:val="on"/>
        </w:trPr>
        <w:tc>
          <w:tcPr/>
          <w:p>
            <w:pPr>
              <w:pStyle w:val="Compact"/>
              <w:jc w:val="center"/>
            </w:pPr>
            <w:r>
              <w:t xml:space="preserve">Año</w:t>
            </w:r>
          </w:p>
        </w:tc>
        <w:tc>
          <w:tcPr/>
          <w:p>
            <w:pPr>
              <w:pStyle w:val="Compact"/>
              <w:jc w:val="center"/>
            </w:pPr>
            <w:r>
              <w:t xml:space="preserve">Trabajadores</w:t>
            </w:r>
          </w:p>
        </w:tc>
        <w:tc>
          <w:tcPr/>
          <w:p>
            <w:pPr>
              <w:pStyle w:val="Compact"/>
              <w:jc w:val="center"/>
            </w:pPr>
            <w:r>
              <w:t xml:space="preserve">Empleo expandido</w:t>
            </w:r>
          </w:p>
        </w:tc>
        <w:tc>
          <w:tcPr/>
          <w:p>
            <w:pPr>
              <w:pStyle w:val="Compact"/>
              <w:jc w:val="center"/>
            </w:pPr>
            <w:r>
              <w:t xml:space="preserve">% formal</w:t>
            </w:r>
          </w:p>
        </w:tc>
        <w:tc>
          <w:tcPr/>
          <w:p>
            <w:pPr>
              <w:pStyle w:val="Compact"/>
              <w:jc w:val="center"/>
            </w:pPr>
            <w:r>
              <w:t xml:space="preserve">Horas medias</w:t>
            </w:r>
          </w:p>
        </w:tc>
        <w:tc>
          <w:tcPr/>
          <w:p>
            <w:pPr>
              <w:pStyle w:val="Compact"/>
              <w:jc w:val="center"/>
            </w:pPr>
            <w:r>
              <w:t xml:space="preserve">log salario hora</w:t>
            </w:r>
          </w:p>
        </w:tc>
        <w:tc>
          <w:tcPr/>
          <w:p>
            <w:pPr>
              <w:pStyle w:val="Compact"/>
              <w:jc w:val="center"/>
            </w:pPr>
            <m:oMath>
              <m:r>
                <m:t>β</m:t>
              </m:r>
            </m:oMath>
            <w:r>
              <w:t xml:space="preserve"> </w:t>
            </w:r>
            <w:r>
              <w:t xml:space="preserve">medio</w:t>
            </w:r>
          </w:p>
        </w:tc>
      </w:tr>
      <w:tr>
        <w:tc>
          <w:tcPr/>
          <w:p>
            <w:pPr>
              <w:pStyle w:val="Compact"/>
              <w:jc w:val="center"/>
            </w:pPr>
            <w:r>
              <w:t xml:space="preserve">2021</w:t>
            </w:r>
          </w:p>
        </w:tc>
        <w:tc>
          <w:tcPr/>
          <w:p>
            <w:pPr>
              <w:pStyle w:val="Compact"/>
              <w:jc w:val="center"/>
            </w:pPr>
            <w:r>
              <w:t xml:space="preserve">28</w:t>
            </w:r>
            <w:r>
              <w:t xml:space="preserve">,</w:t>
            </w:r>
            <w:r>
              <w:t xml:space="preserve">814</w:t>
            </w:r>
          </w:p>
        </w:tc>
        <w:tc>
          <w:tcPr/>
          <w:p>
            <w:pPr>
              <w:pStyle w:val="Compact"/>
              <w:jc w:val="center"/>
            </w:pPr>
            <w:r>
              <w:t xml:space="preserve">4</w:t>
            </w:r>
            <w:r>
              <w:t xml:space="preserve">,</w:t>
            </w:r>
            <w:r>
              <w:t xml:space="preserve">267</w:t>
            </w:r>
            <w:r>
              <w:t xml:space="preserve">,</w:t>
            </w:r>
            <w:r>
              <w:t xml:space="preserve">694</w:t>
            </w:r>
          </w:p>
        </w:tc>
        <w:tc>
          <w:tcPr/>
          <w:p>
            <w:pPr>
              <w:pStyle w:val="Compact"/>
              <w:jc w:val="center"/>
            </w:pPr>
            <w:r>
              <w:t xml:space="preserve">37.7</w:t>
            </w:r>
          </w:p>
        </w:tc>
        <w:tc>
          <w:tcPr/>
          <w:p>
            <w:pPr>
              <w:pStyle w:val="Compact"/>
              <w:jc w:val="center"/>
            </w:pPr>
            <w:r>
              <w:t xml:space="preserve">43.4</w:t>
            </w:r>
          </w:p>
        </w:tc>
        <w:tc>
          <w:tcPr/>
          <w:p>
            <w:pPr>
              <w:pStyle w:val="Compact"/>
              <w:jc w:val="center"/>
            </w:pPr>
            <w:r>
              <w:t xml:space="preserve">1.91</w:t>
            </w:r>
          </w:p>
        </w:tc>
        <w:tc>
          <w:tcPr/>
          <w:p>
            <w:pPr>
              <w:pStyle w:val="Compact"/>
              <w:jc w:val="center"/>
            </w:pPr>
            <w:r>
              <w:t xml:space="preserve">0.280</w:t>
            </w:r>
          </w:p>
        </w:tc>
      </w:tr>
      <w:tr>
        <w:tc>
          <w:tcPr/>
          <w:p>
            <w:pPr>
              <w:pStyle w:val="Compact"/>
              <w:jc w:val="center"/>
            </w:pPr>
            <w:r>
              <w:t xml:space="preserve">2022</w:t>
            </w:r>
          </w:p>
        </w:tc>
        <w:tc>
          <w:tcPr/>
          <w:p>
            <w:pPr>
              <w:pStyle w:val="Compact"/>
              <w:jc w:val="center"/>
            </w:pPr>
            <w:r>
              <w:t xml:space="preserve">31</w:t>
            </w:r>
            <w:r>
              <w:t xml:space="preserve">,</w:t>
            </w:r>
            <w:r>
              <w:t xml:space="preserve">241</w:t>
            </w:r>
          </w:p>
        </w:tc>
        <w:tc>
          <w:tcPr/>
          <w:p>
            <w:pPr>
              <w:pStyle w:val="Compact"/>
              <w:jc w:val="center"/>
            </w:pPr>
            <w:r>
              <w:t xml:space="preserve">4</w:t>
            </w:r>
            <w:r>
              <w:t xml:space="preserve">,</w:t>
            </w:r>
            <w:r>
              <w:t xml:space="preserve">618</w:t>
            </w:r>
            <w:r>
              <w:t xml:space="preserve">,</w:t>
            </w:r>
            <w:r>
              <w:t xml:space="preserve">022</w:t>
            </w:r>
          </w:p>
        </w:tc>
        <w:tc>
          <w:tcPr/>
          <w:p>
            <w:pPr>
              <w:pStyle w:val="Compact"/>
              <w:jc w:val="center"/>
            </w:pPr>
            <w:r>
              <w:t xml:space="preserve">39.6</w:t>
            </w:r>
          </w:p>
        </w:tc>
        <w:tc>
          <w:tcPr/>
          <w:p>
            <w:pPr>
              <w:pStyle w:val="Compact"/>
              <w:jc w:val="center"/>
            </w:pPr>
            <w:r>
              <w:t xml:space="preserve">44.5</w:t>
            </w:r>
          </w:p>
        </w:tc>
        <w:tc>
          <w:tcPr/>
          <w:p>
            <w:pPr>
              <w:pStyle w:val="Compact"/>
              <w:jc w:val="center"/>
            </w:pPr>
            <w:r>
              <w:t xml:space="preserve">1.97</w:t>
            </w:r>
          </w:p>
        </w:tc>
        <w:tc>
          <w:tcPr/>
          <w:p>
            <w:pPr>
              <w:pStyle w:val="Compact"/>
              <w:jc w:val="center"/>
            </w:pPr>
            <w:r>
              <w:t xml:space="preserve">0.282</w:t>
            </w:r>
          </w:p>
        </w:tc>
      </w:tr>
      <w:tr>
        <w:tc>
          <w:tcPr/>
          <w:p>
            <w:pPr>
              <w:pStyle w:val="Compact"/>
              <w:jc w:val="center"/>
            </w:pPr>
            <w:r>
              <w:t xml:space="preserve">2023</w:t>
            </w:r>
          </w:p>
        </w:tc>
        <w:tc>
          <w:tcPr/>
          <w:p>
            <w:pPr>
              <w:pStyle w:val="Compact"/>
              <w:jc w:val="center"/>
            </w:pPr>
            <w:r>
              <w:t xml:space="preserve">24</w:t>
            </w:r>
            <w:r>
              <w:t xml:space="preserve">,</w:t>
            </w:r>
            <w:r>
              <w:t xml:space="preserve">376</w:t>
            </w:r>
          </w:p>
        </w:tc>
        <w:tc>
          <w:tcPr/>
          <w:p>
            <w:pPr>
              <w:pStyle w:val="Compact"/>
              <w:jc w:val="center"/>
            </w:pPr>
            <w:r>
              <w:t xml:space="preserve">4</w:t>
            </w:r>
            <w:r>
              <w:t xml:space="preserve">,</w:t>
            </w:r>
            <w:r>
              <w:t xml:space="preserve">915</w:t>
            </w:r>
            <w:r>
              <w:t xml:space="preserve">,</w:t>
            </w:r>
            <w:r>
              <w:t xml:space="preserve">388</w:t>
            </w:r>
          </w:p>
        </w:tc>
        <w:tc>
          <w:tcPr/>
          <w:p>
            <w:pPr>
              <w:pStyle w:val="Compact"/>
              <w:jc w:val="center"/>
            </w:pPr>
            <w:r>
              <w:t xml:space="preserve">42.2</w:t>
            </w:r>
          </w:p>
        </w:tc>
        <w:tc>
          <w:tcPr/>
          <w:p>
            <w:pPr>
              <w:pStyle w:val="Compact"/>
              <w:jc w:val="center"/>
            </w:pPr>
            <w:r>
              <w:t xml:space="preserve">45.1</w:t>
            </w:r>
          </w:p>
        </w:tc>
        <w:tc>
          <w:tcPr/>
          <w:p>
            <w:pPr>
              <w:pStyle w:val="Compact"/>
              <w:jc w:val="center"/>
            </w:pPr>
            <w:r>
              <w:t xml:space="preserve">2.06</w:t>
            </w:r>
          </w:p>
        </w:tc>
        <w:tc>
          <w:tcPr/>
          <w:p>
            <w:pPr>
              <w:pStyle w:val="Compact"/>
              <w:jc w:val="center"/>
            </w:pPr>
            <w:r>
              <w:t xml:space="preserve">0.286</w:t>
            </w:r>
          </w:p>
        </w:tc>
      </w:tr>
      <w:tr>
        <w:tc>
          <w:tcPr/>
          <w:p>
            <w:pPr>
              <w:pStyle w:val="Compact"/>
              <w:jc w:val="center"/>
            </w:pPr>
            <w:r>
              <w:t xml:space="preserve">2024</w:t>
            </w:r>
          </w:p>
        </w:tc>
        <w:tc>
          <w:tcPr/>
          <w:p>
            <w:pPr>
              <w:pStyle w:val="Compact"/>
              <w:jc w:val="center"/>
            </w:pPr>
            <w:r>
              <w:t xml:space="preserve">22</w:t>
            </w:r>
            <w:r>
              <w:t xml:space="preserve">,</w:t>
            </w:r>
            <w:r>
              <w:t xml:space="preserve">449</w:t>
            </w:r>
          </w:p>
        </w:tc>
        <w:tc>
          <w:tcPr/>
          <w:p>
            <w:pPr>
              <w:pStyle w:val="Compact"/>
              <w:jc w:val="center"/>
            </w:pPr>
            <w:r>
              <w:t xml:space="preserve">5</w:t>
            </w:r>
            <w:r>
              <w:t xml:space="preserve">,</w:t>
            </w:r>
            <w:r>
              <w:t xml:space="preserve">134</w:t>
            </w:r>
            <w:r>
              <w:t xml:space="preserve">,</w:t>
            </w:r>
            <w:r>
              <w:t xml:space="preserve">375</w:t>
            </w:r>
          </w:p>
        </w:tc>
        <w:tc>
          <w:tcPr/>
          <w:p>
            <w:pPr>
              <w:pStyle w:val="Compact"/>
              <w:jc w:val="center"/>
            </w:pPr>
            <w:r>
              <w:t xml:space="preserve">41.7</w:t>
            </w:r>
          </w:p>
        </w:tc>
        <w:tc>
          <w:tcPr/>
          <w:p>
            <w:pPr>
              <w:pStyle w:val="Compact"/>
              <w:jc w:val="center"/>
            </w:pPr>
            <w:r>
              <w:t xml:space="preserve">44.9</w:t>
            </w:r>
          </w:p>
        </w:tc>
        <w:tc>
          <w:tcPr/>
          <w:p>
            <w:pPr>
              <w:pStyle w:val="Compact"/>
              <w:jc w:val="center"/>
            </w:pPr>
            <w:r>
              <w:t xml:space="preserve">2.12</w:t>
            </w:r>
          </w:p>
        </w:tc>
        <w:tc>
          <w:tcPr/>
          <w:p>
            <w:pPr>
              <w:pStyle w:val="Compact"/>
              <w:jc w:val="center"/>
            </w:pPr>
            <w:r>
              <w:t xml:space="preserve">0.289</w:t>
            </w:r>
          </w:p>
        </w:tc>
      </w:tr>
      <w:tr>
        <w:tc>
          <w:tcPr/>
          <w:p>
            <w:pPr>
              <w:pStyle w:val="Compact"/>
              <w:jc w:val="center"/>
            </w:pPr>
            <w:r>
              <w:t xml:space="preserve">2025</w:t>
            </w:r>
          </w:p>
        </w:tc>
        <w:tc>
          <w:tcPr/>
          <w:p>
            <w:pPr>
              <w:pStyle w:val="Compact"/>
              <w:jc w:val="center"/>
            </w:pPr>
            <w:r>
              <w:t xml:space="preserve">21</w:t>
            </w:r>
            <w:r>
              <w:t xml:space="preserve">,</w:t>
            </w:r>
            <w:r>
              <w:t xml:space="preserve">777</w:t>
            </w:r>
          </w:p>
        </w:tc>
        <w:tc>
          <w:tcPr/>
          <w:p>
            <w:pPr>
              <w:pStyle w:val="Compact"/>
              <w:jc w:val="center"/>
            </w:pPr>
            <w:r>
              <w:t xml:space="preserve">5</w:t>
            </w:r>
            <w:r>
              <w:t xml:space="preserve">,</w:t>
            </w:r>
            <w:r>
              <w:t xml:space="preserve">268</w:t>
            </w:r>
            <w:r>
              <w:t xml:space="preserve">,</w:t>
            </w:r>
            <w:r>
              <w:t xml:space="preserve">328</w:t>
            </w:r>
          </w:p>
        </w:tc>
        <w:tc>
          <w:tcPr/>
          <w:p>
            <w:pPr>
              <w:pStyle w:val="Compact"/>
              <w:jc w:val="center"/>
            </w:pPr>
            <w:r>
              <w:t xml:space="preserve">43.2</w:t>
            </w:r>
          </w:p>
        </w:tc>
        <w:tc>
          <w:tcPr/>
          <w:p>
            <w:pPr>
              <w:pStyle w:val="Compact"/>
              <w:jc w:val="center"/>
            </w:pPr>
            <w:r>
              <w:t xml:space="preserve">45.7</w:t>
            </w:r>
          </w:p>
        </w:tc>
        <w:tc>
          <w:tcPr/>
          <w:p>
            <w:pPr>
              <w:pStyle w:val="Compact"/>
              <w:jc w:val="center"/>
            </w:pPr>
            <w:r>
              <w:t xml:space="preserve">2.18</w:t>
            </w:r>
          </w:p>
        </w:tc>
        <w:tc>
          <w:tcPr/>
          <w:p>
            <w:pPr>
              <w:pStyle w:val="Compact"/>
              <w:jc w:val="center"/>
            </w:pPr>
            <w:r>
              <w:t xml:space="preserve">0.290</w:t>
            </w:r>
          </w:p>
        </w:tc>
      </w:tr>
    </w:tbl>
    <w:bookmarkEnd w:id="47"/>
    <w:p>
      <w:pPr>
        <w:pStyle w:val="BodyText"/>
      </w:pPr>
      <w:r>
        <w:rPr>
          <w:i/>
          <w:iCs/>
        </w:rPr>
        <w:t xml:space="preserve">Notas:</w:t>
      </w:r>
      <w:r>
        <w:t xml:space="preserve"> </w:t>
      </w:r>
      <w:r>
        <w:t xml:space="preserve">Trabajadores reporta el conteo único de identificadores hogar-persona-trimestre por año. Empleo expandido es el promedio anual de la suma trimestral del factor de expansión. Las columnas de outcomes son medias ponderadas por empleo expandido. La definición de formalidad es</w:t>
      </w:r>
      <w:r>
        <w:t xml:space="preserve"> </w:t>
      </w:r>
      <w:r>
        <w:rPr>
          <w:rStyle w:val="VerbatimChar"/>
        </w:rPr>
        <w:t xml:space="preserve">seguro1</w:t>
      </w:r>
      <w:r>
        <w:t xml:space="preserve"> </w:t>
      </w:r>
      <m:oMath>
        <m:r>
          <m:rPr>
            <m:sty m:val="p"/>
          </m:rPr>
          <m:t>∈</m:t>
        </m:r>
        <m:r>
          <m:rPr>
            <m:sty m:val="p"/>
          </m:rPr>
          <m:t>{</m:t>
        </m:r>
        <m:r>
          <m:t>1</m:t>
        </m:r>
        <m:r>
          <m:rPr>
            <m:sty m:val="p"/>
          </m:rPr>
          <m:t>,</m:t>
        </m:r>
        <m:r>
          <m:t>3</m:t>
        </m:r>
        <m:r>
          <m:rPr>
            <m:sty m:val="p"/>
          </m:rPr>
          <m:t>}</m:t>
        </m:r>
      </m:oMath>
      <w:r>
        <w:t xml:space="preserve"> </w:t>
      </w:r>
      <w:r>
        <w:t xml:space="preserve">(afiliación a ESSALUD o esquema combinado). El</w:t>
      </w:r>
      <w:r>
        <w:t xml:space="preserve"> </w:t>
      </w:r>
      <m:oMath>
        <m:r>
          <m:t>β</m:t>
        </m:r>
      </m:oMath>
      <w:r>
        <w:t xml:space="preserve"> </w:t>
      </w:r>
      <w:r>
        <w:t xml:space="preserve">medio es la exposición complementaria de</w:t>
      </w:r>
      <w:r>
        <w:t xml:space="preserve"> </w:t>
      </w:r>
      <w:r>
        <w:t xml:space="preserve">Eloundou et al. (2024)</w:t>
      </w:r>
      <w:r>
        <w:t xml:space="preserve"> </w:t>
      </w:r>
      <w:r>
        <w:t xml:space="preserve">ponderada por la composición ocupacional del año.</w:t>
      </w:r>
    </w:p>
    <w:p>
      <w:pPr>
        <w:pStyle w:val="BodyText"/>
      </w:pPr>
      <w:r>
        <w:t xml:space="preserve">La distribución de la exposición</w:t>
      </w:r>
      <w:r>
        <w:t xml:space="preserve"> </w:t>
      </w:r>
      <m:oMath>
        <m:r>
          <m:t>β</m:t>
        </m:r>
      </m:oMath>
      <w:r>
        <w:t xml:space="preserve"> </w:t>
      </w:r>
      <w:r>
        <w:t xml:space="preserve">ponderada por empleo en 2021 tiene media 0.280 y desviación estándar 0.178, con percentiles</w:t>
      </w:r>
      <w:r>
        <w:t xml:space="preserve"> </w:t>
      </w:r>
      <m:oMath>
        <m:sSub>
          <m:e>
            <m:r>
              <m:t>p</m:t>
            </m:r>
          </m:e>
          <m:sub>
            <m:r>
              <m:t>10</m:t>
            </m:r>
          </m:sub>
        </m:sSub>
        <m:r>
          <m:rPr>
            <m:sty m:val="p"/>
          </m:rPr>
          <m:t>=</m:t>
        </m:r>
        <m:r>
          <m:t>0.034</m:t>
        </m:r>
      </m:oMath>
      <w:r>
        <w:t xml:space="preserve">,</w:t>
      </w:r>
      <w:r>
        <w:t xml:space="preserve"> </w:t>
      </w:r>
      <m:oMath>
        <m:sSub>
          <m:e>
            <m:r>
              <m:t>p</m:t>
            </m:r>
          </m:e>
          <m:sub>
            <m:r>
              <m:t>25</m:t>
            </m:r>
          </m:sub>
        </m:sSub>
        <m:r>
          <m:rPr>
            <m:sty m:val="p"/>
          </m:rPr>
          <m:t>=</m:t>
        </m:r>
        <m:r>
          <m:t>0.146</m:t>
        </m:r>
      </m:oMath>
      <w:r>
        <w:t xml:space="preserve">,</w:t>
      </w:r>
      <w:r>
        <w:t xml:space="preserve"> </w:t>
      </w:r>
      <m:oMath>
        <m:sSub>
          <m:e>
            <m:r>
              <m:t>p</m:t>
            </m:r>
          </m:e>
          <m:sub>
            <m:r>
              <m:t>50</m:t>
            </m:r>
          </m:sub>
        </m:sSub>
        <m:r>
          <m:rPr>
            <m:sty m:val="p"/>
          </m:rPr>
          <m:t>=</m:t>
        </m:r>
        <m:r>
          <m:t>0.255</m:t>
        </m:r>
      </m:oMath>
      <w:r>
        <w:t xml:space="preserve">,</w:t>
      </w:r>
      <w:r>
        <w:t xml:space="preserve"> </w:t>
      </w:r>
      <m:oMath>
        <m:sSub>
          <m:e>
            <m:r>
              <m:t>p</m:t>
            </m:r>
          </m:e>
          <m:sub>
            <m:r>
              <m:t>75</m:t>
            </m:r>
          </m:sub>
        </m:sSub>
        <m:r>
          <m:rPr>
            <m:sty m:val="p"/>
          </m:rPr>
          <m:t>=</m:t>
        </m:r>
        <m:r>
          <m:t>0.400</m:t>
        </m:r>
      </m:oMath>
      <w:r>
        <w:t xml:space="preserve"> </w:t>
      </w:r>
      <w:r>
        <w:t xml:space="preserve">y</w:t>
      </w:r>
      <w:r>
        <w:t xml:space="preserve"> </w:t>
      </w:r>
      <m:oMath>
        <m:sSub>
          <m:e>
            <m:r>
              <m:t>p</m:t>
            </m:r>
          </m:e>
          <m:sub>
            <m:r>
              <m:t>90</m:t>
            </m:r>
          </m:sub>
        </m:sSub>
        <m:r>
          <m:rPr>
            <m:sty m:val="p"/>
          </m:rPr>
          <m:t>=</m:t>
        </m:r>
        <m:r>
          <m:t>0.503</m:t>
        </m:r>
      </m:oMath>
      <w:r>
        <w:t xml:space="preserve">. Aproximadamente el 25.6 por ciento de los trabajadores de Lima en 2021 ocupan posiciones con</w:t>
      </w:r>
      <w:r>
        <w:t xml:space="preserve"> </w:t>
      </w:r>
      <m:oMath>
        <m:r>
          <m:t>β</m:t>
        </m:r>
        <m:r>
          <m:rPr>
            <m:sty m:val="p"/>
          </m:rPr>
          <m:t>=</m:t>
        </m:r>
        <m:r>
          <m:t>0</m:t>
        </m:r>
      </m:oMath>
      <w:r>
        <w:t xml:space="preserve">, mayoritariamente trabajos manuales no rutinarios y operativos. La</w:t>
      </w:r>
      <w:r>
        <w:t xml:space="preserve"> </w:t>
      </w:r>
      <w:hyperlink w:anchor="fig:peru_beta_dist">
        <w:r>
          <w:rPr>
            <w:rStyle w:val="Hyperlink"/>
          </w:rPr>
          <w:t xml:space="preserve">2</w:t>
        </w:r>
      </w:hyperlink>
      <w:r>
        <w:t xml:space="preserve"> </w:t>
      </w:r>
      <w:r>
        <w:t xml:space="preserve">reporta la densidad de</w:t>
      </w:r>
      <w:r>
        <w:t xml:space="preserve"> </w:t>
      </w:r>
      <m:oMath>
        <m:r>
          <m:t>β</m:t>
        </m:r>
      </m:oMath>
      <w:r>
        <w:t xml:space="preserve"> </w:t>
      </w:r>
      <w:r>
        <w:t xml:space="preserve">separando los segmentos formal e informal de línea base.</w:t>
      </w:r>
    </w:p>
    <w:bookmarkStart w:id="51" w:name="fig:peru_beta_dist"/>
    <w:p>
      <w:pPr>
        <w:pStyle w:val="CaptionedFigure"/>
      </w:pPr>
      <w:r>
        <w:drawing>
          <wp:inline>
            <wp:extent cx="4533900" cy="2590800"/>
            <wp:effectExtent b="0" l="0" r="0" t="0"/>
            <wp:docPr descr="" title="" id="49" name="Picture"/>
            <a:graphic>
              <a:graphicData uri="http://schemas.openxmlformats.org/drawingml/2006/picture">
                <pic:pic>
                  <pic:nvPicPr>
                    <pic:cNvPr descr="figures/peru/fig_beta_distribution.png" id="50" name="Picture"/>
                    <pic:cNvPicPr>
                      <a:picLocks noChangeArrowheads="1" noChangeAspect="1"/>
                    </pic:cNvPicPr>
                  </pic:nvPicPr>
                  <pic:blipFill>
                    <a:blip r:embed="rId48"/>
                    <a:stretch>
                      <a:fillRect/>
                    </a:stretch>
                  </pic:blipFill>
                  <pic:spPr bwMode="auto">
                    <a:xfrm>
                      <a:off x="0" y="0"/>
                      <a:ext cx="4533900" cy="2590800"/>
                    </a:xfrm>
                    <a:prstGeom prst="rect">
                      <a:avLst/>
                    </a:prstGeom>
                    <a:noFill/>
                    <a:ln w="9525">
                      <a:noFill/>
                      <a:headEnd/>
                      <a:tailEnd/>
                    </a:ln>
                  </pic:spPr>
                </pic:pic>
              </a:graphicData>
            </a:graphic>
          </wp:inline>
        </w:drawing>
      </w:r>
    </w:p>
    <w:p>
      <w:pPr>
        <w:pStyle w:val="ImageCaption"/>
      </w:pPr>
      <w:r>
        <w:rPr>
          <w:i/>
          <w:iCs/>
        </w:rPr>
        <w:t xml:space="preserve">Densidad de la exposición complementaria</w:t>
      </w:r>
      <w:r>
        <w:rPr>
          <w:i/>
          <w:iCs/>
        </w:rPr>
        <w:t xml:space="preserve"> </w:t>
      </w:r>
      <m:oMath>
        <m:r>
          <m:t>β</m:t>
        </m:r>
      </m:oMath>
      <w:r>
        <w:rPr>
          <w:i/>
          <w:iCs/>
        </w:rPr>
        <w:t xml:space="preserve"> </w:t>
      </w:r>
      <w:r>
        <w:rPr>
          <w:i/>
          <w:iCs/>
        </w:rPr>
        <w:t xml:space="preserve">por estatus de formalidad, Lima Metropolitana 2021.</w:t>
      </w:r>
      <w:r>
        <w:t xml:space="preserve"> </w:t>
      </w:r>
      <w:r>
        <w:t xml:space="preserve">La curva con relleno gris oscuro corresponde a trabajadores formales (</w:t>
      </w:r>
      <w:r>
        <w:rPr>
          <w:rStyle w:val="VerbatimChar"/>
        </w:rPr>
        <w:t xml:space="preserve">seguro1</w:t>
      </w:r>
      <w:r>
        <w:t xml:space="preserve"> </w:t>
      </w:r>
      <m:oMath>
        <m:r>
          <m:rPr>
            <m:sty m:val="p"/>
          </m:rPr>
          <m:t>∈</m:t>
        </m:r>
        <m:r>
          <m:rPr>
            <m:sty m:val="p"/>
          </m:rPr>
          <m:t>{</m:t>
        </m:r>
        <m:r>
          <m:t>1</m:t>
        </m:r>
        <m:r>
          <m:rPr>
            <m:sty m:val="p"/>
          </m:rPr>
          <m:t>,</m:t>
        </m:r>
        <m:r>
          <m:t>3</m:t>
        </m:r>
        <m:r>
          <m:rPr>
            <m:sty m:val="p"/>
          </m:rPr>
          <m:t>}</m:t>
        </m:r>
      </m:oMath>
      <w:r>
        <w:t xml:space="preserve">) y la curva punteada con relleno gris claro a trabajadores informales. Las densidades están ponderadas por el factor de expansión trimestral de la EPEN.</w:t>
      </w:r>
    </w:p>
    <w:bookmarkEnd w:id="51"/>
    <w:p>
      <w:pPr>
        <w:pStyle w:val="BodyText"/>
      </w:pPr>
      <w:r>
        <w:t xml:space="preserve">Las dos colas de la distribución están descritas en el</w:t>
      </w:r>
      <w:r>
        <w:t xml:space="preserve"> </w:t>
      </w:r>
      <w:hyperlink w:anchor="app:peru_extremes">
        <w:r>
          <w:rPr>
            <w:rStyle w:val="Hyperlink"/>
          </w:rPr>
          <w:t xml:space="preserve">8.2</w:t>
        </w:r>
      </w:hyperlink>
      <w:r>
        <w:t xml:space="preserve">. La cola de alta exposición agrupa ocupaciones cognitivas profesionales (relaciones públicas, traductores, programadores de aplicaciones, escritores, matemáticos, oficiales de crédito), todas concentradas en oficios cognitivos no rutinarios donde la sustitución parcial mediante software construido sobre LLM es plausible. La cola de baja exposición agrupa ocupaciones manuales y operativas (limpiadores de vehículos, obreros de construcción, pintores, ayudantes de cocina), donde el contenido de tarea es físico y la complementariedad con LLM es estructuralmente baja.</w:t>
      </w:r>
    </w:p>
    <w:p>
      <w:pPr>
        <w:pStyle w:val="BodyText"/>
      </w:pPr>
      <w:r>
        <w:t xml:space="preserve">La</w:t>
      </w:r>
      <w:r>
        <w:t xml:space="preserve"> </w:t>
      </w:r>
      <w:hyperlink w:anchor="tab:peru_beta_formal">
        <w:r>
          <w:rPr>
            <w:rStyle w:val="Hyperlink"/>
          </w:rPr>
          <w:t xml:space="preserve">5</w:t>
        </w:r>
      </w:hyperlink>
      <w:r>
        <w:t xml:space="preserve"> </w:t>
      </w:r>
      <w:r>
        <w:t xml:space="preserve">cruza los cuartiles de exposición con la share de formalidad para 2021 y entrega el hallazgo descriptivo más relevante para la estrategia de identificación del artículo: la formalidad se duplica entre el cuartil más expuesto y el menos expuesto. Las ocupaciones de alta exposición son sistemáticamente más formales en la línea base.</w:t>
      </w:r>
    </w:p>
    <w:bookmarkStart w:id="52" w:name="tab:peru_beta_formal"/>
    <w:p>
      <w:pPr>
        <w:pStyle w:val="TableCaption"/>
      </w:pPr>
      <w:r>
        <w:t xml:space="preserve">Formalidad por cuartil de exposición</w:t>
      </w:r>
      <w:r>
        <w:t xml:space="preserve"> </w:t>
      </w:r>
      <m:oMath>
        <m:r>
          <m:t>β</m:t>
        </m:r>
      </m:oMath>
      <w:r>
        <w:t xml:space="preserve">, Lima Metropolitana 2021</w:t>
      </w:r>
    </w:p>
    <w:tbl>
      <w:tblPr>
        <w:tblStyle w:val="Table"/>
        <w:tblW w:type="auto" w:w="0"/>
        <w:tblLook w:firstRow="1" w:lastRow="0" w:firstColumn="0" w:lastColumn="0" w:noHBand="0" w:noVBand="0" w:val="0020"/>
        <w:tblCaption w:val="Formalidad por cuartil de exposición \beta, Lima Metropolitana 2021"/>
      </w:tblPr>
      <w:tblGrid>
        <w:gridCol w:w="1980"/>
        <w:gridCol w:w="1980"/>
        <w:gridCol w:w="1980"/>
        <w:gridCol w:w="1980"/>
      </w:tblGrid>
      <w:tr>
        <w:trPr>
          <w:tblHeader w:val="on"/>
        </w:trPr>
        <w:tc>
          <w:tcPr/>
          <w:p>
            <w:pPr>
              <w:pStyle w:val="Compact"/>
              <w:jc w:val="left"/>
            </w:pPr>
            <w:r>
              <w:t xml:space="preserve">Cuartil de</w:t>
            </w:r>
            <w:r>
              <w:t xml:space="preserve"> </w:t>
            </w:r>
            <m:oMath>
              <m:r>
                <m:t>β</m:t>
              </m:r>
            </m:oMath>
          </w:p>
        </w:tc>
        <w:tc>
          <w:tcPr/>
          <w:p>
            <w:pPr>
              <w:pStyle w:val="Compact"/>
              <w:jc w:val="center"/>
            </w:pPr>
            <m:oMath>
              <m:r>
                <m:t>β</m:t>
              </m:r>
            </m:oMath>
            <w:r>
              <w:t xml:space="preserve"> </w:t>
            </w:r>
            <w:r>
              <w:t xml:space="preserve">mediana</w:t>
            </w:r>
          </w:p>
        </w:tc>
        <w:tc>
          <w:tcPr/>
          <w:p>
            <w:pPr>
              <w:pStyle w:val="Compact"/>
              <w:jc w:val="center"/>
            </w:pPr>
            <w:r>
              <w:t xml:space="preserve">% formal</w:t>
            </w:r>
          </w:p>
        </w:tc>
        <w:tc>
          <w:tcPr/>
          <w:p>
            <w:pPr>
              <w:pStyle w:val="Compact"/>
              <w:jc w:val="center"/>
            </w:pPr>
            <w:r>
              <w:t xml:space="preserve">Share del empleo (%)</w:t>
            </w:r>
          </w:p>
        </w:tc>
      </w:tr>
      <w:tr>
        <w:tc>
          <w:tcPr/>
          <w:p>
            <w:pPr>
              <w:pStyle w:val="Compact"/>
              <w:jc w:val="left"/>
            </w:pPr>
            <w:r>
              <w:t xml:space="preserve">Q1 (más baja)</w:t>
            </w:r>
          </w:p>
        </w:tc>
        <w:tc>
          <w:tcPr/>
          <w:p>
            <w:pPr>
              <w:pStyle w:val="Compact"/>
              <w:jc w:val="center"/>
            </w:pPr>
            <w:r>
              <w:t xml:space="preserve">0.034</w:t>
            </w:r>
          </w:p>
        </w:tc>
        <w:tc>
          <w:tcPr/>
          <w:p>
            <w:pPr>
              <w:pStyle w:val="Compact"/>
              <w:jc w:val="center"/>
            </w:pPr>
            <w:r>
              <w:t xml:space="preserve">25.8</w:t>
            </w:r>
          </w:p>
        </w:tc>
        <w:tc>
          <w:tcPr/>
          <w:p>
            <w:pPr>
              <w:pStyle w:val="Compact"/>
              <w:jc w:val="center"/>
            </w:pPr>
            <w:r>
              <w:t xml:space="preserve">25.1</w:t>
            </w:r>
          </w:p>
        </w:tc>
      </w:tr>
      <w:tr>
        <w:tc>
          <w:tcPr/>
          <w:p>
            <w:pPr>
              <w:pStyle w:val="Compact"/>
              <w:jc w:val="left"/>
            </w:pPr>
            <w:r>
              <w:t xml:space="preserve">Q2</w:t>
            </w:r>
          </w:p>
        </w:tc>
        <w:tc>
          <w:tcPr/>
          <w:p>
            <w:pPr>
              <w:pStyle w:val="Compact"/>
              <w:jc w:val="center"/>
            </w:pPr>
            <w:r>
              <w:t xml:space="preserve">0.188</w:t>
            </w:r>
          </w:p>
        </w:tc>
        <w:tc>
          <w:tcPr/>
          <w:p>
            <w:pPr>
              <w:pStyle w:val="Compact"/>
              <w:jc w:val="center"/>
            </w:pPr>
            <w:r>
              <w:t xml:space="preserve">30.0</w:t>
            </w:r>
          </w:p>
        </w:tc>
        <w:tc>
          <w:tcPr/>
          <w:p>
            <w:pPr>
              <w:pStyle w:val="Compact"/>
              <w:jc w:val="center"/>
            </w:pPr>
            <w:r>
              <w:t xml:space="preserve">25.4</w:t>
            </w:r>
          </w:p>
        </w:tc>
      </w:tr>
      <w:tr>
        <w:tc>
          <w:tcPr/>
          <w:p>
            <w:pPr>
              <w:pStyle w:val="Compact"/>
              <w:jc w:val="left"/>
            </w:pPr>
            <w:r>
              <w:t xml:space="preserve">Q3</w:t>
            </w:r>
          </w:p>
        </w:tc>
        <w:tc>
          <w:tcPr/>
          <w:p>
            <w:pPr>
              <w:pStyle w:val="Compact"/>
              <w:jc w:val="center"/>
            </w:pPr>
            <w:r>
              <w:t xml:space="preserve">0.375</w:t>
            </w:r>
          </w:p>
        </w:tc>
        <w:tc>
          <w:tcPr/>
          <w:p>
            <w:pPr>
              <w:pStyle w:val="Compact"/>
              <w:jc w:val="center"/>
            </w:pPr>
            <w:r>
              <w:t xml:space="preserve">41.0</w:t>
            </w:r>
          </w:p>
        </w:tc>
        <w:tc>
          <w:tcPr/>
          <w:p>
            <w:pPr>
              <w:pStyle w:val="Compact"/>
              <w:jc w:val="center"/>
            </w:pPr>
            <w:r>
              <w:t xml:space="preserve">25.6</w:t>
            </w:r>
          </w:p>
        </w:tc>
      </w:tr>
      <w:tr>
        <w:tc>
          <w:tcPr/>
          <w:p>
            <w:pPr>
              <w:pStyle w:val="Compact"/>
              <w:jc w:val="left"/>
            </w:pPr>
            <w:r>
              <w:t xml:space="preserve">Q4 (más alta)</w:t>
            </w:r>
          </w:p>
        </w:tc>
        <w:tc>
          <w:tcPr/>
          <w:p>
            <w:pPr>
              <w:pStyle w:val="Compact"/>
              <w:jc w:val="center"/>
            </w:pPr>
            <w:r>
              <w:t xml:space="preserve">0.500</w:t>
            </w:r>
          </w:p>
        </w:tc>
        <w:tc>
          <w:tcPr/>
          <w:p>
            <w:pPr>
              <w:pStyle w:val="Compact"/>
              <w:jc w:val="center"/>
            </w:pPr>
            <w:r>
              <w:t xml:space="preserve">50.6</w:t>
            </w:r>
          </w:p>
        </w:tc>
        <w:tc>
          <w:tcPr/>
          <w:p>
            <w:pPr>
              <w:pStyle w:val="Compact"/>
              <w:jc w:val="center"/>
            </w:pPr>
            <w:r>
              <w:t xml:space="preserve">23.9</w:t>
            </w:r>
          </w:p>
        </w:tc>
      </w:tr>
    </w:tbl>
    <w:bookmarkEnd w:id="52"/>
    <w:p>
      <w:pPr>
        <w:pStyle w:val="BodyText"/>
      </w:pPr>
      <w:r>
        <w:rPr>
          <w:i/>
          <w:iCs/>
        </w:rPr>
        <w:t xml:space="preserve">Notas:</w:t>
      </w:r>
      <w:r>
        <w:t xml:space="preserve"> </w:t>
      </w:r>
      <w:r>
        <w:t xml:space="preserve">Cuartiles de</w:t>
      </w:r>
      <w:r>
        <w:t xml:space="preserve"> </w:t>
      </w:r>
      <m:oMath>
        <m:r>
          <m:t>β</m:t>
        </m:r>
      </m:oMath>
      <w:r>
        <w:t xml:space="preserve"> </w:t>
      </w:r>
      <w:r>
        <w:t xml:space="preserve">ponderados por empleo expandido en la EPEN 2021. La columna</w:t>
      </w:r>
      <w:r>
        <w:t xml:space="preserve"> </w:t>
      </w:r>
      <w:r>
        <w:t xml:space="preserve">“% formal”</w:t>
      </w:r>
      <w:r>
        <w:t xml:space="preserve"> </w:t>
      </w:r>
      <w:r>
        <w:t xml:space="preserve">reporta la share de trabajadores con</w:t>
      </w:r>
      <w:r>
        <w:t xml:space="preserve"> </w:t>
      </w:r>
      <w:r>
        <w:rPr>
          <w:rStyle w:val="VerbatimChar"/>
        </w:rPr>
        <w:t xml:space="preserve">seguro1</w:t>
      </w:r>
      <w:r>
        <w:t xml:space="preserve"> </w:t>
      </w:r>
      <m:oMath>
        <m:r>
          <m:rPr>
            <m:sty m:val="p"/>
          </m:rPr>
          <m:t>∈</m:t>
        </m:r>
        <m:r>
          <m:rPr>
            <m:sty m:val="p"/>
          </m:rPr>
          <m:t>{</m:t>
        </m:r>
        <m:r>
          <m:t>1</m:t>
        </m:r>
        <m:r>
          <m:rPr>
            <m:sty m:val="p"/>
          </m:rPr>
          <m:t>,</m:t>
        </m:r>
        <m:r>
          <m:t>3</m:t>
        </m:r>
        <m:r>
          <m:rPr>
            <m:sty m:val="p"/>
          </m:rPr>
          <m:t>}</m:t>
        </m:r>
      </m:oMath>
      <w:r>
        <w:t xml:space="preserve"> </w:t>
      </w:r>
      <w:r>
        <w:t xml:space="preserve">dentro de cada cuartil.</w:t>
      </w:r>
    </w:p>
    <w:bookmarkStart w:id="53" w:name="primeras-conclusiones-descriptivas."/>
    <w:p>
      <w:pPr>
        <w:pStyle w:val="Heading4"/>
      </w:pPr>
      <w:r>
        <w:rPr>
          <w:rStyle w:val="SectionNumber"/>
        </w:rPr>
        <w:t xml:space="preserve">5.3.0.1</w:t>
      </w:r>
      <w:r>
        <w:tab/>
      </w:r>
      <w:r>
        <w:t xml:space="preserve">Primeras conclusiones descriptivas.</w:t>
      </w:r>
    </w:p>
    <w:p>
      <w:pPr>
        <w:pStyle w:val="FirstParagraph"/>
      </w:pPr>
      <w:r>
        <w:t xml:space="preserve">Del cuadro descriptivo emergen tres patrones que orientan la estrategia de identificación.</w:t>
      </w:r>
    </w:p>
    <w:p>
      <w:pPr>
        <w:pStyle w:val="BodyText"/>
      </w:pPr>
      <w:r>
        <w:t xml:space="preserve">La exposición a LLMs en Lima Metropolitana resulta heterogénea pero no extrema. La mediana ponderada por empleo es 0.255. La cola superior llega a 0.806 en relaciones públicas. La cola inferior concentra a un cuarto de los trabajadores en posiciones con</w:t>
      </w:r>
      <w:r>
        <w:t xml:space="preserve"> </w:t>
      </w:r>
      <m:oMath>
        <m:r>
          <m:t>β</m:t>
        </m:r>
        <m:r>
          <m:rPr>
            <m:sty m:val="p"/>
          </m:rPr>
          <m:t>=</m:t>
        </m:r>
        <m:r>
          <m:t>0</m:t>
        </m:r>
      </m:oMath>
      <w:r>
        <w:t xml:space="preserve">. Esa distribución no se concentra en un valor central. Ofrece, por lo mismo, variación suficiente para estimar la dosis-respuesta a lo largo de la línea continua de tratamiento.</w:t>
      </w:r>
    </w:p>
    <w:p>
      <w:pPr>
        <w:pStyle w:val="BodyText"/>
      </w:pPr>
      <w:r>
        <w:t xml:space="preserve">Un segundo patrón, más relevante para la identificación, es que los segmentos formal e informal de línea base ocupan posiciones distintas en la distribución de exposición. La probabilidad de formalidad en una ocupación del cuartil más expuesto (50.6 por ciento) duplica la del cuartil menos expuesto (25.8 por ciento). Esta correlación está predeterminada respecto al lanzamiento de ChatGPT, y por lo tanto refleja una característica estructural del mercado laboral peruano y no una respuesta al shock. Esa misma correlación explica por qué la heterogeneidad por formalidad es probablemente la dimensión con mayor magnitud empírica: la adopción de software complementario con LLM se concentra en firmas formales con capacidad de inversión y soporte tecnológico. Los efectos fijos de ocupación absorben la correlación de línea base y dejan la variación intra-ocupación como fuente del parámetro.</w:t>
      </w:r>
    </w:p>
    <w:p>
      <w:pPr>
        <w:pStyle w:val="BodyText"/>
      </w:pPr>
      <w:r>
        <w:t xml:space="preserve">Un tercer hallazgo es que la propia composición ocupacional se está desplazando lentamente hacia ocupaciones más expuestas durante el período muestral. El</w:t>
      </w:r>
      <w:r>
        <w:t xml:space="preserve"> </w:t>
      </w:r>
      <m:oMath>
        <m:r>
          <m:t>β</m:t>
        </m:r>
      </m:oMath>
      <w:r>
        <w:t xml:space="preserve"> </w:t>
      </w:r>
      <w:r>
        <w:t xml:space="preserve">medio ponderado por empleo sube de 0.280 en 2021 a 0.290 en 2025. El cambio es modesto. Aun así, sugiere reasignación a favor de ocupaciones expuestas, un margen extensivo cuya causalidad no es identificable directamente con esta especificación pero que motiva el análisis de empleo expandido por celda en la</w:t>
      </w:r>
      <w:r>
        <w:t xml:space="preserve"> </w:t>
      </w:r>
      <w:hyperlink w:anchor="sec:results">
        <w:r>
          <w:rPr>
            <w:rStyle w:val="Hyperlink"/>
          </w:rPr>
          <w:t xml:space="preserve">6</w:t>
        </w:r>
      </w:hyperlink>
      <w:r>
        <w:t xml:space="preserve">.</w:t>
      </w:r>
    </w:p>
    <w:bookmarkEnd w:id="53"/>
    <w:bookmarkStart w:id="54" w:name="construcción-de-celdas-para-el-did."/>
    <w:p>
      <w:pPr>
        <w:pStyle w:val="Heading4"/>
      </w:pPr>
      <w:r>
        <w:rPr>
          <w:rStyle w:val="SectionNumber"/>
        </w:rPr>
        <w:t xml:space="preserve">5.3.0.2</w:t>
      </w:r>
      <w:r>
        <w:tab/>
      </w:r>
      <w:r>
        <w:t xml:space="preserve">Construcción de celdas para el DiD.</w:t>
      </w:r>
    </w:p>
    <w:p>
      <w:pPr>
        <w:pStyle w:val="FirstParagraph"/>
      </w:pPr>
      <w:r>
        <w:t xml:space="preserve">Los microdatos armonizados se colapsan a la celda (CIUO-08 4d, trimestre) ponderando por empleo expandido. Se aplican dos filtros: las celdas con menos de 10 observaciones muestrales se descartan, y las ocupaciones que carecen completamente de observaciones en el período pre o en el período post se excluyen del análisis principal por requerir el estimador de</w:t>
      </w:r>
      <w:r>
        <w:t xml:space="preserve"> </w:t>
      </w:r>
      <w:r>
        <w:t xml:space="preserve">Callaway et al. (2024)</w:t>
      </w:r>
      <w:r>
        <w:t xml:space="preserve"> </w:t>
      </w:r>
      <w:r>
        <w:t xml:space="preserve">la presencia de la unidad en ambos períodos. Tras aplicar estos filtros, el panel resultante para Perú contiene 138 ocupaciones CIUO-08 a cuatro dígitos sobre 20 trimestres, para un total de 2</w:t>
      </w:r>
      <w:r>
        <w:t xml:space="preserve">,</w:t>
      </w:r>
      <w:r>
        <w:t xml:space="preserve">139 celdas (ocupación, trimestre).</w:t>
      </w:r>
    </w:p>
    <w:bookmarkEnd w:id="54"/>
    <w:bookmarkEnd w:id="55"/>
    <w:bookmarkEnd w:id="56"/>
    <w:bookmarkStart w:id="72" w:name="sec:results"/>
    <w:p>
      <w:pPr>
        <w:pStyle w:val="Heading1"/>
      </w:pPr>
      <w:r>
        <w:rPr>
          <w:rStyle w:val="SectionNumber"/>
        </w:rPr>
        <w:t xml:space="preserve">6</w:t>
      </w:r>
      <w:r>
        <w:tab/>
      </w:r>
      <w:r>
        <w:t xml:space="preserve">Resultados</w:t>
      </w:r>
    </w:p>
    <w:p>
      <w:pPr>
        <w:pStyle w:val="FirstParagraph"/>
      </w:pPr>
      <w:r>
        <w:t xml:space="preserve">Esta sección presenta las estimaciones para Perú, organizadas en tres niveles de agregación: el ACRT continuo a nivel de país, la dinámica de evento y los canales formal e informal preregistrados. La estimación se ejecuta sobre el panel armonizado descrito en la</w:t>
      </w:r>
      <w:r>
        <w:t xml:space="preserve"> </w:t>
      </w:r>
      <w:hyperlink w:anchor="sec:data">
        <w:r>
          <w:rPr>
            <w:rStyle w:val="Hyperlink"/>
          </w:rPr>
          <w:t xml:space="preserve">5</w:t>
        </w:r>
      </w:hyperlink>
      <w:r>
        <w:t xml:space="preserve">, con el código CIUO-08 a cuatro dígitos como unidad de variación del tratamiento y los errores estándar agrupados a ese mismo nivel siguiendo a</w:t>
      </w:r>
      <w:r>
        <w:t xml:space="preserve"> </w:t>
      </w:r>
      <w:r>
        <w:t xml:space="preserve">Abadie et al. (2023)</w:t>
      </w:r>
      <w:r>
        <w:t xml:space="preserve">. La muestra estimable es de 138 códigos CIUO con al menos un trimestre pre y uno post-tratamiento; el panel resultante contiene 2</w:t>
      </w:r>
      <w:r>
        <w:t xml:space="preserve">,</w:t>
      </w:r>
      <w:r>
        <w:t xml:space="preserve">139 celdas (ocupación, trimestre) sobre los 20 trimestres entre 2021T1 y 2025T4.</w:t>
      </w:r>
    </w:p>
    <w:bookmarkStart w:id="58" w:name="subsec:results_aggregate"/>
    <w:p>
      <w:pPr>
        <w:pStyle w:val="Heading2"/>
      </w:pPr>
      <w:r>
        <w:rPr>
          <w:rStyle w:val="SectionNumber"/>
        </w:rPr>
        <w:t xml:space="preserve">6.1</w:t>
      </w:r>
      <w:r>
        <w:tab/>
      </w:r>
      <w:r>
        <w:t xml:space="preserve">Estimaciones agregadas: continuo TWFE y binario Callaway–Sant’Anna</w:t>
      </w:r>
    </w:p>
    <w:p>
      <w:pPr>
        <w:pStyle w:val="FirstParagraph"/>
      </w:pPr>
      <w:r>
        <w:t xml:space="preserve">La</w:t>
      </w:r>
      <w:r>
        <w:t xml:space="preserve"> </w:t>
      </w:r>
      <w:hyperlink w:anchor="tab:peru_main">
        <w:r>
          <w:rPr>
            <w:rStyle w:val="Hyperlink"/>
          </w:rPr>
          <w:t xml:space="preserve">6</w:t>
        </w:r>
      </w:hyperlink>
      <w:r>
        <w:t xml:space="preserve"> </w:t>
      </w:r>
      <w:r>
        <w:t xml:space="preserve">reporta el coeficiente</w:t>
      </w:r>
      <w:r>
        <w:t xml:space="preserve"> </w:t>
      </w:r>
      <m:oMath>
        <m:sSup>
          <m:e>
            <m:acc>
              <m:accPr>
                <m:chr m:val="̂"/>
              </m:accPr>
              <m:e>
                <m:r>
                  <m:t>τ</m:t>
                </m:r>
              </m:e>
            </m:acc>
          </m:e>
          <m:sup>
            <m:r>
              <m:rPr>
                <m:nor/>
                <m:sty m:val="p"/>
              </m:rPr>
              <m:t>Perú</m:t>
            </m:r>
          </m:sup>
        </m:sSup>
      </m:oMath>
      <w:r>
        <w:t xml:space="preserve"> </w:t>
      </w:r>
      <w:r>
        <w:t xml:space="preserve">de la</w:t>
      </w:r>
      <w:r>
        <w:t xml:space="preserve"> </w:t>
      </w:r>
      <w:hyperlink w:anchor="eq:did_main">
        <w:r>
          <w:rPr>
            <w:rStyle w:val="Hyperlink"/>
          </w:rPr>
          <w:t xml:space="preserve">[eq:did_main]</w:t>
        </w:r>
      </w:hyperlink>
      <w:r>
        <w:t xml:space="preserve"> </w:t>
      </w:r>
      <w:r>
        <w:t xml:space="preserve">para los tres resultados primarios usando dos especificaciones complementarias: la principal con tratamiento continuo en TWFE y la secundaria con corte binario en la mediana ponderada por empleo de 2021 estimada vía el procedimiento de</w:t>
      </w:r>
      <w:r>
        <w:t xml:space="preserve"> </w:t>
      </w:r>
      <w:r>
        <w:t xml:space="preserve">Callaway and Sant’Anna (2021)</w:t>
      </w:r>
      <w:r>
        <w:t xml:space="preserve">.</w:t>
      </w:r>
    </w:p>
    <w:bookmarkStart w:id="57" w:name="tab:peru_main"/>
    <w:p>
      <w:pPr>
        <w:pStyle w:val="TableCaption"/>
      </w:pPr>
      <w:r>
        <w:t xml:space="preserve">Estimaciones agregadas</w:t>
      </w:r>
      <w:r>
        <w:t xml:space="preserve"> </w:t>
      </w:r>
      <m:oMath>
        <m:sSup>
          <m:e>
            <m:acc>
              <m:accPr>
                <m:chr m:val="̂"/>
              </m:accPr>
              <m:e>
                <m:r>
                  <m:t>τ</m:t>
                </m:r>
              </m:e>
            </m:acc>
          </m:e>
          <m:sup>
            <m:r>
              <m:rPr>
                <m:nor/>
                <m:sty m:val="p"/>
              </m:rPr>
              <m:t>Perú</m:t>
            </m:r>
          </m:sup>
        </m:sSup>
      </m:oMath>
      <w:r>
        <w:t xml:space="preserve"> </w:t>
      </w:r>
      <w:r>
        <w:t xml:space="preserve">para Lima Metropolitana, EPEN</w:t>
      </w:r>
    </w:p>
    <w:tbl>
      <w:tblPr>
        <w:tblStyle w:val="Table"/>
        <w:tblW w:type="auto" w:w="0"/>
        <w:tblLook w:firstRow="1" w:lastRow="0" w:firstColumn="0" w:lastColumn="0" w:noHBand="0" w:noVBand="0" w:val="0020"/>
        <w:tblCaption w:val="Estimaciones agregadas \hat\tau^{\text{Per\'{u}}} para Lima Metropolitana, EPEN"/>
      </w:tblPr>
      <w:tblGrid>
        <w:gridCol w:w="1980"/>
        <w:gridCol w:w="1980"/>
        <w:gridCol w:w="1980"/>
        <w:gridCol w:w="1980"/>
      </w:tblGrid>
      <w:tr>
        <w:trPr>
          <w:tblHeader w:val="on"/>
        </w:trPr>
        <w:tc>
          <w:tcPr/>
          <w:p>
            <w:pPr>
              <w:pStyle w:val="Compact"/>
            </w:pPr>
          </w:p>
        </w:tc>
        <w:tc>
          <w:tcPr/>
          <w:p>
            <w:pPr>
              <w:pStyle w:val="Compact"/>
              <w:jc w:val="center"/>
            </w:pPr>
            <w:r>
              <w:t xml:space="preserve">log empleo</w:t>
            </w:r>
          </w:p>
        </w:tc>
        <w:tc>
          <w:tcPr/>
          <w:p>
            <w:pPr>
              <w:pStyle w:val="Compact"/>
              <w:jc w:val="center"/>
            </w:pPr>
            <w:r>
              <w:t xml:space="preserve">log salario hora</w:t>
            </w:r>
          </w:p>
        </w:tc>
        <w:tc>
          <w:tcPr/>
          <w:p>
            <w:pPr>
              <w:pStyle w:val="Compact"/>
              <w:jc w:val="center"/>
            </w:pPr>
            <w:r>
              <w:t xml:space="preserve">horas semanales</w:t>
            </w:r>
          </w:p>
        </w:tc>
      </w:tr>
      <w:tr>
        <w:tc>
          <w:tcPr>
            <w:gridSpan w:val="4"/>
          </w:tcPr>
          <w:p>
            <w:pPr>
              <w:pStyle w:val="Compact"/>
              <w:jc w:val="left"/>
            </w:pPr>
            <w:r>
              <w:rPr>
                <w:i/>
                <w:iCs/>
              </w:rPr>
              <w:t xml:space="preserve">Panel A. TWFE continuo, ponderado por empleo (especificación principal)</w:t>
            </w:r>
          </w:p>
        </w:tc>
      </w:tr>
      <w:tr>
        <w:tc>
          <w:tcPr/>
          <w:p>
            <w:pPr>
              <w:pStyle w:val="Compact"/>
              <w:jc w:val="left"/>
            </w:pPr>
            <m:oMath>
              <m:sSup>
                <m:e>
                  <m:acc>
                    <m:accPr>
                      <m:chr m:val="̂"/>
                    </m:accPr>
                    <m:e>
                      <m:r>
                        <m:t>τ</m:t>
                      </m:r>
                    </m:e>
                  </m:acc>
                </m:e>
                <m:sup>
                  <m:r>
                    <m:rPr>
                      <m:nor/>
                      <m:sty m:val="p"/>
                    </m:rPr>
                    <m:t>Perú</m:t>
                  </m:r>
                </m:sup>
              </m:sSup>
            </m:oMath>
          </w:p>
        </w:tc>
        <w:tc>
          <w:tcPr/>
          <w:p>
            <w:pPr>
              <w:pStyle w:val="Compact"/>
              <w:jc w:val="center"/>
            </w:pPr>
            <m:oMath>
              <m:r>
                <m:t>0.221</m:t>
              </m:r>
            </m:oMath>
          </w:p>
        </w:tc>
        <w:tc>
          <w:tcPr/>
          <w:p>
            <w:pPr>
              <w:pStyle w:val="Compact"/>
              <w:jc w:val="center"/>
            </w:pPr>
            <m:oMath>
              <m:r>
                <m:t>0.042</m:t>
              </m:r>
            </m:oMath>
          </w:p>
        </w:tc>
        <w:tc>
          <w:tcPr/>
          <w:p>
            <w:pPr>
              <w:pStyle w:val="Compact"/>
              <w:jc w:val="center"/>
            </w:pPr>
            <m:oMath>
              <m:r>
                <m:rPr>
                  <m:sty m:val="p"/>
                </m:rPr>
                <m:t>−</m:t>
              </m:r>
              <m:r>
                <m:t>3.250</m:t>
              </m:r>
            </m:oMath>
          </w:p>
        </w:tc>
      </w:tr>
      <w:tr>
        <w:tc>
          <w:tcPr/>
          <w:p>
            <w:pPr>
              <w:pStyle w:val="Compact"/>
            </w:pPr>
          </w:p>
        </w:tc>
        <w:tc>
          <w:tcPr/>
          <w:p>
            <w:pPr>
              <w:pStyle w:val="Compact"/>
              <w:jc w:val="center"/>
            </w:pPr>
            <m:oMath>
              <m:r>
                <m:rPr>
                  <m:sty m:val="p"/>
                </m:rPr>
                <m:t>(</m:t>
              </m:r>
              <m:r>
                <m:t>0.220</m:t>
              </m:r>
              <m:r>
                <m:rPr>
                  <m:sty m:val="p"/>
                </m:rPr>
                <m:t>)</m:t>
              </m:r>
            </m:oMath>
          </w:p>
        </w:tc>
        <w:tc>
          <w:tcPr/>
          <w:p>
            <w:pPr>
              <w:pStyle w:val="Compact"/>
              <w:jc w:val="center"/>
            </w:pPr>
            <m:oMath>
              <m:r>
                <m:rPr>
                  <m:sty m:val="p"/>
                </m:rPr>
                <m:t>(</m:t>
              </m:r>
              <m:r>
                <m:t>0.062</m:t>
              </m:r>
              <m:r>
                <m:rPr>
                  <m:sty m:val="p"/>
                </m:rPr>
                <m:t>)</m:t>
              </m:r>
            </m:oMath>
          </w:p>
        </w:tc>
        <w:tc>
          <w:tcPr/>
          <w:p>
            <w:pPr>
              <w:pStyle w:val="Compact"/>
              <w:jc w:val="center"/>
            </w:pPr>
            <m:oMath>
              <m:r>
                <m:rPr>
                  <m:sty m:val="p"/>
                </m:rPr>
                <m:t>(</m:t>
              </m:r>
              <m:r>
                <m:t>1.852</m:t>
              </m:r>
              <m:r>
                <m:rPr>
                  <m:sty m:val="p"/>
                </m:rPr>
                <m:t>)</m:t>
              </m:r>
            </m:oMath>
          </w:p>
        </w:tc>
      </w:tr>
      <w:tr>
        <w:tc>
          <w:tcPr/>
          <w:p>
            <w:pPr>
              <w:pStyle w:val="Compact"/>
              <w:jc w:val="left"/>
            </w:pPr>
            <m:oMath>
              <m:r>
                <m:t>p</m:t>
              </m:r>
            </m:oMath>
            <w:r>
              <w:t xml:space="preserve">-valor</w:t>
            </w:r>
          </w:p>
        </w:tc>
        <w:tc>
          <w:tcPr/>
          <w:p>
            <w:pPr>
              <w:pStyle w:val="Compact"/>
              <w:jc w:val="center"/>
            </w:pPr>
            <m:oMath>
              <m:r>
                <m:t>0.317</m:t>
              </m:r>
            </m:oMath>
          </w:p>
        </w:tc>
        <w:tc>
          <w:tcPr/>
          <w:p>
            <w:pPr>
              <w:pStyle w:val="Compact"/>
              <w:jc w:val="center"/>
            </w:pPr>
            <m:oMath>
              <m:r>
                <m:t>0.498</m:t>
              </m:r>
            </m:oMath>
          </w:p>
        </w:tc>
        <w:tc>
          <w:tcPr/>
          <w:p>
            <w:pPr>
              <w:pStyle w:val="Compact"/>
              <w:jc w:val="center"/>
            </w:pPr>
            <m:oMath>
              <m:r>
                <m:t>0.082</m:t>
              </m:r>
            </m:oMath>
          </w:p>
        </w:tc>
      </w:tr>
      <w:tr>
        <w:tc>
          <w:tcPr>
            <w:gridSpan w:val="4"/>
          </w:tcPr>
          <w:p>
            <w:pPr>
              <w:pStyle w:val="Compact"/>
              <w:jc w:val="left"/>
            </w:pPr>
            <w:r>
              <w:rPr>
                <w:i/>
                <w:iCs/>
              </w:rPr>
              <w:t xml:space="preserve">Panel B. Callaway-Sant’Anna binario (corte en mediana ponderada 2021), muestra balanceada</w:t>
            </w:r>
          </w:p>
        </w:tc>
      </w:tr>
      <w:tr>
        <w:tc>
          <w:tcPr/>
          <w:p>
            <w:pPr>
              <w:pStyle w:val="Compact"/>
              <w:jc w:val="left"/>
            </w:pPr>
            <m:oMath>
              <m:sSup>
                <m:e>
                  <m:acc>
                    <m:accPr>
                      <m:chr m:val="̂"/>
                    </m:accPr>
                    <m:e>
                      <m:r>
                        <m:t>τ</m:t>
                      </m:r>
                    </m:e>
                  </m:acc>
                </m:e>
                <m:sup>
                  <m:r>
                    <m:rPr>
                      <m:nor/>
                      <m:sty m:val="p"/>
                    </m:rPr>
                    <m:t>Perú,bin</m:t>
                  </m:r>
                </m:sup>
              </m:sSup>
            </m:oMath>
          </w:p>
        </w:tc>
        <w:tc>
          <w:tcPr/>
          <w:p>
            <w:pPr>
              <w:pStyle w:val="Compact"/>
              <w:jc w:val="center"/>
            </w:pPr>
            <m:oMath>
              <m:sSup>
                <m:e>
                  <m:r>
                    <m:rPr>
                      <m:sty m:val="b"/>
                    </m:rPr>
                    <m:t>0.144</m:t>
                  </m:r>
                </m:e>
                <m:sup>
                  <m:r>
                    <m:rPr>
                      <m:sty m:val="b"/>
                    </m:rPr>
                    <m:t>*</m:t>
                  </m:r>
                  <m:r>
                    <m:rPr>
                      <m:sty m:val="b"/>
                    </m:rPr>
                    <m:t>*</m:t>
                  </m:r>
                  <m:r>
                    <m:rPr>
                      <m:sty m:val="b"/>
                    </m:rPr>
                    <m:t>*</m:t>
                  </m:r>
                </m:sup>
              </m:sSup>
            </m:oMath>
          </w:p>
        </w:tc>
        <w:tc>
          <w:tcPr/>
          <w:p>
            <w:pPr>
              <w:pStyle w:val="Compact"/>
              <w:jc w:val="center"/>
            </w:pPr>
            <m:oMath>
              <m:r>
                <m:t>0.006</m:t>
              </m:r>
            </m:oMath>
          </w:p>
        </w:tc>
        <w:tc>
          <w:tcPr/>
          <w:p>
            <w:pPr>
              <w:pStyle w:val="Compact"/>
              <w:jc w:val="center"/>
            </w:pPr>
            <m:oMath>
              <m:r>
                <m:rPr>
                  <m:sty m:val="b"/>
                </m:rPr>
                <m:t>−</m:t>
              </m:r>
              <m:sSup>
                <m:e>
                  <m:r>
                    <m:rPr>
                      <m:sty m:val="b"/>
                    </m:rPr>
                    <m:t>0.801</m:t>
                  </m:r>
                </m:e>
                <m:sup>
                  <m:r>
                    <m:rPr>
                      <m:sty m:val="b"/>
                    </m:rPr>
                    <m:t>*</m:t>
                  </m:r>
                  <m:r>
                    <m:rPr>
                      <m:sty m:val="b"/>
                    </m:rPr>
                    <m:t>*</m:t>
                  </m:r>
                </m:sup>
              </m:sSup>
            </m:oMath>
          </w:p>
        </w:tc>
      </w:tr>
      <w:tr>
        <w:tc>
          <w:tcPr/>
          <w:p>
            <w:pPr>
              <w:pStyle w:val="Compact"/>
            </w:pPr>
          </w:p>
        </w:tc>
        <w:tc>
          <w:tcPr/>
          <w:p>
            <w:pPr>
              <w:pStyle w:val="Compact"/>
              <w:jc w:val="center"/>
            </w:pPr>
            <m:oMath>
              <m:r>
                <m:rPr>
                  <m:sty m:val="p"/>
                </m:rPr>
                <m:t>(</m:t>
              </m:r>
              <m:r>
                <m:t>0.025</m:t>
              </m:r>
              <m:r>
                <m:rPr>
                  <m:sty m:val="p"/>
                </m:rPr>
                <m:t>)</m:t>
              </m:r>
            </m:oMath>
          </w:p>
        </w:tc>
        <w:tc>
          <w:tcPr/>
          <w:p>
            <w:pPr>
              <w:pStyle w:val="Compact"/>
              <w:jc w:val="center"/>
            </w:pPr>
            <m:oMath>
              <m:r>
                <m:rPr>
                  <m:sty m:val="p"/>
                </m:rPr>
                <m:t>(</m:t>
              </m:r>
              <m:r>
                <m:t>0.011</m:t>
              </m:r>
              <m:r>
                <m:rPr>
                  <m:sty m:val="p"/>
                </m:rPr>
                <m:t>)</m:t>
              </m:r>
            </m:oMath>
          </w:p>
        </w:tc>
        <w:tc>
          <w:tcPr/>
          <w:p>
            <w:pPr>
              <w:pStyle w:val="Compact"/>
              <w:jc w:val="center"/>
            </w:pPr>
            <m:oMath>
              <m:r>
                <m:rPr>
                  <m:sty m:val="p"/>
                </m:rPr>
                <m:t>(</m:t>
              </m:r>
              <m:r>
                <m:t>0.333</m:t>
              </m:r>
              <m:r>
                <m:rPr>
                  <m:sty m:val="p"/>
                </m:rPr>
                <m:t>)</m:t>
              </m:r>
            </m:oMath>
          </w:p>
        </w:tc>
      </w:tr>
      <w:tr>
        <w:tc>
          <w:tcPr/>
          <w:p>
            <w:pPr>
              <w:pStyle w:val="Compact"/>
              <w:jc w:val="left"/>
            </w:pPr>
            <w:r>
              <w:t xml:space="preserve">IC 95%</w:t>
            </w:r>
          </w:p>
        </w:tc>
        <w:tc>
          <w:tcPr/>
          <w:p>
            <w:pPr>
              <w:pStyle w:val="Compact"/>
              <w:jc w:val="center"/>
            </w:pPr>
            <m:oMath>
              <m:r>
                <m:rPr>
                  <m:sty m:val="p"/>
                </m:rPr>
                <m:t>[</m:t>
              </m:r>
              <m:r>
                <m:t>0.095</m:t>
              </m:r>
              <m:r>
                <m:rPr>
                  <m:sty m:val="p"/>
                </m:rPr>
                <m:t>,</m:t>
              </m:r>
              <m:r>
                <m:t> </m:t>
              </m:r>
              <m:r>
                <m:t>0.192</m:t>
              </m:r>
              <m:r>
                <m:rPr>
                  <m:sty m:val="p"/>
                </m:rPr>
                <m:t>]</m:t>
              </m:r>
            </m:oMath>
          </w:p>
        </w:tc>
        <w:tc>
          <w:tcPr/>
          <w:p>
            <w:pPr>
              <w:pStyle w:val="Compact"/>
              <w:jc w:val="center"/>
            </w:pPr>
            <m:oMath>
              <m:r>
                <m:rPr>
                  <m:sty m:val="p"/>
                </m:rPr>
                <m:t>[</m:t>
              </m:r>
              <m:r>
                <m:rPr>
                  <m:sty m:val="p"/>
                </m:rPr>
                <m:t>−</m:t>
              </m:r>
              <m:r>
                <m:t>0.016</m:t>
              </m:r>
              <m:r>
                <m:rPr>
                  <m:sty m:val="p"/>
                </m:rPr>
                <m:t>,</m:t>
              </m:r>
              <m:r>
                <m:t> </m:t>
              </m:r>
              <m:r>
                <m:t>0.029</m:t>
              </m:r>
              <m:r>
                <m:rPr>
                  <m:sty m:val="p"/>
                </m:rPr>
                <m:t>]</m:t>
              </m:r>
            </m:oMath>
          </w:p>
        </w:tc>
        <w:tc>
          <w:tcPr/>
          <w:p>
            <w:pPr>
              <w:pStyle w:val="Compact"/>
              <w:jc w:val="center"/>
            </w:pPr>
            <m:oMath>
              <m:r>
                <m:rPr>
                  <m:sty m:val="p"/>
                </m:rPr>
                <m:t>[</m:t>
              </m:r>
              <m:r>
                <m:rPr>
                  <m:sty m:val="p"/>
                </m:rPr>
                <m:t>−</m:t>
              </m:r>
              <m:r>
                <m:t>1.454</m:t>
              </m:r>
              <m:r>
                <m:rPr>
                  <m:sty m:val="p"/>
                </m:rPr>
                <m:t>,</m:t>
              </m:r>
              <m:r>
                <m:t> </m:t>
              </m:r>
              <m:r>
                <m:rPr>
                  <m:sty m:val="p"/>
                </m:rPr>
                <m:t>−</m:t>
              </m:r>
              <m:r>
                <m:t>0.148</m:t>
              </m:r>
              <m:r>
                <m:rPr>
                  <m:sty m:val="p"/>
                </m:rPr>
                <m:t>]</m:t>
              </m:r>
            </m:oMath>
          </w:p>
        </w:tc>
      </w:tr>
      <w:tr>
        <w:tc>
          <w:tcPr/>
          <w:p>
            <w:pPr>
              <w:pStyle w:val="Compact"/>
              <w:jc w:val="left"/>
            </w:pPr>
            <w:r>
              <w:t xml:space="preserve">N celdas</w:t>
            </w:r>
          </w:p>
        </w:tc>
        <w:tc>
          <w:tcPr/>
          <w:p>
            <w:pPr>
              <w:pStyle w:val="Compact"/>
              <w:jc w:val="center"/>
            </w:pPr>
            <m:oMath>
              <m:r>
                <m:t>2</m:t>
              </m:r>
              <m:r>
                <m:rPr>
                  <m:sty m:val="p"/>
                </m:rPr>
                <m:t>,</m:t>
              </m:r>
              <m:r>
                <m:t>139</m:t>
              </m:r>
            </m:oMath>
          </w:p>
        </w:tc>
        <w:tc>
          <w:tcPr/>
          <w:p>
            <w:pPr>
              <w:pStyle w:val="Compact"/>
              <w:jc w:val="center"/>
            </w:pPr>
            <m:oMath>
              <m:r>
                <m:t>2</m:t>
              </m:r>
              <m:r>
                <m:rPr>
                  <m:sty m:val="p"/>
                </m:rPr>
                <m:t>,</m:t>
              </m:r>
              <m:r>
                <m:t>139</m:t>
              </m:r>
            </m:oMath>
          </w:p>
        </w:tc>
        <w:tc>
          <w:tcPr/>
          <w:p>
            <w:pPr>
              <w:pStyle w:val="Compact"/>
              <w:jc w:val="center"/>
            </w:pPr>
            <m:oMath>
              <m:r>
                <m:t>2</m:t>
              </m:r>
              <m:r>
                <m:rPr>
                  <m:sty m:val="p"/>
                </m:rPr>
                <m:t>,</m:t>
              </m:r>
              <m:r>
                <m:t>139</m:t>
              </m:r>
            </m:oMath>
          </w:p>
        </w:tc>
      </w:tr>
      <w:tr>
        <w:tc>
          <w:tcPr/>
          <w:p>
            <w:pPr>
              <w:pStyle w:val="Compact"/>
              <w:jc w:val="left"/>
            </w:pPr>
            <w:r>
              <w:t xml:space="preserve">N códigos CIUO</w:t>
            </w:r>
          </w:p>
        </w:tc>
        <w:tc>
          <w:tcPr>
            <w:gridSpan w:val="3"/>
          </w:tcPr>
          <w:p>
            <w:pPr>
              <w:pStyle w:val="Compact"/>
              <w:jc w:val="center"/>
            </w:pPr>
            <m:oMath>
              <m:r>
                <m:t>138</m:t>
              </m:r>
            </m:oMath>
            <w:r>
              <w:t xml:space="preserve"> </w:t>
            </w:r>
            <w:r>
              <w:t xml:space="preserve">(Panel A) /</w:t>
            </w:r>
            <w:r>
              <w:t xml:space="preserve"> </w:t>
            </w:r>
            <m:oMath>
              <m:r>
                <m:t>67</m:t>
              </m:r>
            </m:oMath>
            <w:r>
              <w:t xml:space="preserve"> </w:t>
            </w:r>
            <w:r>
              <w:t xml:space="preserve">(Panel B, balanced)</w:t>
            </w:r>
          </w:p>
        </w:tc>
      </w:tr>
    </w:tbl>
    <w:bookmarkEnd w:id="57"/>
    <w:p>
      <w:pPr>
        <w:pStyle w:val="BodyText"/>
      </w:pPr>
      <w:r>
        <w:rPr>
          <w:i/>
          <w:iCs/>
        </w:rPr>
        <w:t xml:space="preserve">Notas:</w:t>
      </w:r>
      <w:r>
        <w:t xml:space="preserve"> </w:t>
      </w:r>
      <w:r>
        <w:t xml:space="preserve">Panel A estima la</w:t>
      </w:r>
      <w:r>
        <w:t xml:space="preserve"> </w:t>
      </w:r>
      <w:hyperlink w:anchor="eq:did_main">
        <w:r>
          <w:rPr>
            <w:rStyle w:val="Hyperlink"/>
          </w:rPr>
          <w:t xml:space="preserve">[eq:did_main]</w:t>
        </w:r>
      </w:hyperlink>
      <w:r>
        <w:t xml:space="preserve"> </w:t>
      </w:r>
      <w:r>
        <w:t xml:space="preserve">sobre las 138 ocupaciones CIUO-08 a cuatro dígitos del panel armonizado. Panel B aplica el estimador de</w:t>
      </w:r>
      <w:r>
        <w:t xml:space="preserve"> </w:t>
      </w:r>
      <w:r>
        <w:t xml:space="preserve">Callaway and Sant’Anna (2021)</w:t>
      </w:r>
      <w:r>
        <w:t xml:space="preserve"> </w:t>
      </w:r>
      <w:r>
        <w:t xml:space="preserve">sobre la submuestra de 67 ocupaciones plenamente balanceadas (20 trimestres observados); el agregado simple es el promedio de las ATT</w:t>
      </w:r>
      <m:oMath>
        <m:r>
          <m:rPr>
            <m:sty m:val="p"/>
          </m:rPr>
          <m:t>(</m:t>
        </m:r>
        <m:r>
          <m:t>g</m:t>
        </m:r>
        <m:r>
          <m:rPr>
            <m:sty m:val="p"/>
          </m:rPr>
          <m:t>=</m:t>
        </m:r>
        <m:sSup>
          <m:e>
            <m:r>
              <m:t>t</m:t>
            </m:r>
          </m:e>
          <m:sup>
            <m:r>
              <m:rPr>
                <m:sty m:val="p"/>
              </m:rPr>
              <m:t>*</m:t>
            </m:r>
          </m:sup>
        </m:sSup>
        <m:r>
          <m:rPr>
            <m:sty m:val="p"/>
          </m:rPr>
          <m:t>,</m:t>
        </m:r>
        <m:r>
          <m:t> </m:t>
        </m:r>
        <m:r>
          <m:t>t</m:t>
        </m:r>
        <m:r>
          <m:rPr>
            <m:sty m:val="p"/>
          </m:rPr>
          <m:t>)</m:t>
        </m:r>
      </m:oMath>
      <w:r>
        <w:t xml:space="preserve"> </w:t>
      </w:r>
      <w:r>
        <w:t xml:space="preserve">post-tratamiento. La mediana ponderada por empleo de la exposición</w:t>
      </w:r>
      <w:r>
        <w:t xml:space="preserve"> </w:t>
      </w:r>
      <m:oMath>
        <m:r>
          <m:t>β</m:t>
        </m:r>
      </m:oMath>
      <w:r>
        <w:t xml:space="preserve"> </w:t>
      </w:r>
      <w:r>
        <w:t xml:space="preserve">en 2021 es</w:t>
      </w:r>
      <w:r>
        <w:t xml:space="preserve"> </w:t>
      </w:r>
      <m:oMath>
        <m:r>
          <m:t>0.255</m:t>
        </m:r>
      </m:oMath>
      <w:r>
        <w:t xml:space="preserve">. Los errores estándar van entre paréntesis y se agrupan a nivel de ocupación CIUO-08 a cuatro dígitos. ***</w:t>
      </w:r>
      <w:r>
        <w:t xml:space="preserve"> </w:t>
      </w:r>
      <m:oMath>
        <m:r>
          <m:t>p</m:t>
        </m:r>
        <m:r>
          <m:rPr>
            <m:sty m:val="p"/>
          </m:rPr>
          <m:t>&lt;</m:t>
        </m:r>
        <m:r>
          <m:t>0.01</m:t>
        </m:r>
      </m:oMath>
      <w:r>
        <w:t xml:space="preserve">, **</w:t>
      </w:r>
      <w:r>
        <w:t xml:space="preserve"> </w:t>
      </w:r>
      <m:oMath>
        <m:r>
          <m:t>p</m:t>
        </m:r>
        <m:r>
          <m:rPr>
            <m:sty m:val="p"/>
          </m:rPr>
          <m:t>&lt;</m:t>
        </m:r>
        <m:r>
          <m:t>0.05</m:t>
        </m:r>
      </m:oMath>
      <w:r>
        <w:t xml:space="preserve">, *</w:t>
      </w:r>
      <w:r>
        <w:t xml:space="preserve"> </w:t>
      </w:r>
      <m:oMath>
        <m:r>
          <m:t>p</m:t>
        </m:r>
        <m:r>
          <m:rPr>
            <m:sty m:val="p"/>
          </m:rPr>
          <m:t>&lt;</m:t>
        </m:r>
        <m:r>
          <m:t>0.10</m:t>
        </m:r>
      </m:oMath>
      <w:r>
        <w:t xml:space="preserve">.</w:t>
      </w:r>
    </w:p>
    <w:p>
      <w:pPr>
        <w:pStyle w:val="BodyText"/>
      </w:pPr>
      <w:r>
        <w:t xml:space="preserve">La especificación continua principal del Panel A entrega coeficientes pequeños y estadísticamente indistinguibles de cero al 95 por ciento para los tres resultados. Solo la estimación de horas semanales (</w:t>
      </w:r>
      <m:oMath>
        <m:r>
          <m:rPr>
            <m:sty m:val="p"/>
          </m:rPr>
          <m:t>−</m:t>
        </m:r>
        <m:r>
          <m:t>3.25</m:t>
        </m:r>
      </m:oMath>
      <w:r>
        <w:t xml:space="preserve">) supera el umbral del 10 por ciento. Leída en aislamiento, esta especificación sugeriría una replicación del nulo danés de</w:t>
      </w:r>
      <w:r>
        <w:t xml:space="preserve"> </w:t>
      </w:r>
      <w:r>
        <w:t xml:space="preserve">Humlum and Vestergaard (2025a)</w:t>
      </w:r>
      <w:r>
        <w:t xml:space="preserve"> </w:t>
      </w:r>
      <w:r>
        <w:t xml:space="preserve">en el contexto peruano.</w:t>
      </w:r>
    </w:p>
    <w:p>
      <w:pPr>
        <w:pStyle w:val="BodyText"/>
      </w:pPr>
      <w:r>
        <w:t xml:space="preserve">La metodología (</w:t>
      </w:r>
      <w:hyperlink w:anchor="subsec:method_assumptions">
        <w:r>
          <w:rPr>
            <w:rStyle w:val="Hyperlink"/>
          </w:rPr>
          <w:t xml:space="preserve">4.5</w:t>
        </w:r>
      </w:hyperlink>
      <w:r>
        <w:t xml:space="preserve">) preregistra como criterio de robustez que las afirmaciones principales requieren una cota Honest-DiD</w:t>
      </w:r>
      <w:r>
        <w:t xml:space="preserve"> </w:t>
      </w:r>
      <m:oMath>
        <m:sSup>
          <m:e>
            <m:acc>
              <m:accPr>
                <m:chr m:val="‾"/>
              </m:accPr>
              <m:e>
                <m:r>
                  <m:t>M</m:t>
                </m:r>
              </m:e>
            </m:acc>
          </m:e>
          <m:sup>
            <m:r>
              <m:rPr>
                <m:nor/>
                <m:sty m:val="p"/>
              </m:rPr>
              <m:t>Perú</m:t>
            </m:r>
          </m:sup>
        </m:sSup>
        <m:r>
          <m:rPr>
            <m:sty m:val="p"/>
          </m:rPr>
          <m:t>≥</m:t>
        </m:r>
        <m:r>
          <m:t>2</m:t>
        </m:r>
      </m:oMath>
      <w:r>
        <w:t xml:space="preserve"> </w:t>
      </w:r>
      <w:r>
        <w:t xml:space="preserve">(Rambachan and Roth 2023)</w:t>
      </w:r>
      <w:r>
        <w:t xml:space="preserve">. Para los tres outcomes del Panel A, la cota</w:t>
      </w:r>
      <w:r>
        <w:t xml:space="preserve"> </w:t>
      </w:r>
      <m:oMath>
        <m:sSup>
          <m:e>
            <m:acc>
              <m:accPr>
                <m:chr m:val="‾"/>
              </m:accPr>
              <m:e>
                <m:r>
                  <m:t>M</m:t>
                </m:r>
              </m:e>
            </m:acc>
          </m:e>
          <m:sup>
            <m:r>
              <m:rPr>
                <m:nor/>
                <m:sty m:val="p"/>
              </m:rPr>
              <m:t>Perú</m:t>
            </m:r>
          </m:sup>
        </m:sSup>
      </m:oMath>
      <w:r>
        <w:t xml:space="preserve"> </w:t>
      </w:r>
      <w:r>
        <w:t xml:space="preserve">es cero: el intervalo de confianza original al 95 por ciento ya incluye el cero, de modo que el criterio de quiebre no separa la especificación continua de la hipótesis nula. Esto significa que los efectos del Panel A no superan el estándar de robustez que el propio artículo se impuso, una conclusión que se reporta de manera transparente.</w:t>
      </w:r>
    </w:p>
    <w:p>
      <w:pPr>
        <w:pStyle w:val="BodyText"/>
      </w:pPr>
      <w:r>
        <w:t xml:space="preserve">La especificación binaria de</w:t>
      </w:r>
      <w:r>
        <w:t xml:space="preserve"> </w:t>
      </w:r>
      <w:r>
        <w:t xml:space="preserve">Callaway and Sant’Anna (2021)</w:t>
      </w:r>
      <w:r>
        <w:t xml:space="preserve"> </w:t>
      </w:r>
      <w:r>
        <w:t xml:space="preserve">del Panel B entrega un cuadro distinto. Sobre la submuestra balanceada de 67 ocupaciones (33 tratadas, 34 nunca tratadas), el agregado simple de los ATT</w:t>
      </w:r>
      <m:oMath>
        <m:r>
          <m:rPr>
            <m:sty m:val="p"/>
          </m:rPr>
          <m:t>(</m:t>
        </m:r>
        <m:r>
          <m:t>g</m:t>
        </m:r>
        <m:r>
          <m:rPr>
            <m:sty m:val="p"/>
          </m:rPr>
          <m:t>,</m:t>
        </m:r>
        <m:r>
          <m:t>t</m:t>
        </m:r>
        <m:r>
          <m:rPr>
            <m:sty m:val="p"/>
          </m:rPr>
          <m:t>)</m:t>
        </m:r>
      </m:oMath>
      <w:r>
        <w:t xml:space="preserve"> </w:t>
      </w:r>
      <w:r>
        <w:t xml:space="preserve">post-tratamiento devuelve un efecto de empleo positivo y significativo al 1 por ciento (</w:t>
      </w:r>
      <m:oMath>
        <m:r>
          <m:rPr>
            <m:sty m:val="p"/>
          </m:rPr>
          <m:t>+</m:t>
        </m:r>
        <m:r>
          <m:t>0.144</m:t>
        </m:r>
      </m:oMath>
      <w:r>
        <w:t xml:space="preserve">, IC 95%</w:t>
      </w:r>
      <w:r>
        <w:t xml:space="preserve"> </w:t>
      </w:r>
      <m:oMath>
        <m:r>
          <m:rPr>
            <m:sty m:val="p"/>
          </m:rPr>
          <m:t>[</m:t>
        </m:r>
        <m:r>
          <m:t>0.095</m:t>
        </m:r>
        <m:r>
          <m:rPr>
            <m:sty m:val="p"/>
          </m:rPr>
          <m:t>,</m:t>
        </m:r>
        <m:r>
          <m:t> </m:t>
        </m:r>
        <m:r>
          <m:t>0.192</m:t>
        </m:r>
        <m:r>
          <m:rPr>
            <m:sty m:val="p"/>
          </m:rPr>
          <m:t>]</m:t>
        </m:r>
      </m:oMath>
      <w:r>
        <w:t xml:space="preserve">) y un efecto sobre las horas semanales negativo y significativo al 5 por ciento (</w:t>
      </w:r>
      <m:oMath>
        <m:r>
          <m:rPr>
            <m:sty m:val="p"/>
          </m:rPr>
          <m:t>−</m:t>
        </m:r>
        <m:r>
          <m:t>0.80</m:t>
        </m:r>
      </m:oMath>
      <w:r>
        <w:t xml:space="preserve">, IC</w:t>
      </w:r>
      <w:r>
        <w:t xml:space="preserve"> </w:t>
      </w:r>
      <m:oMath>
        <m:r>
          <m:rPr>
            <m:sty m:val="p"/>
          </m:rPr>
          <m:t>[</m:t>
        </m:r>
        <m:r>
          <m:rPr>
            <m:sty m:val="p"/>
          </m:rPr>
          <m:t>−</m:t>
        </m:r>
        <m:r>
          <m:t>1.45</m:t>
        </m:r>
        <m:r>
          <m:rPr>
            <m:sty m:val="p"/>
          </m:rPr>
          <m:t>,</m:t>
        </m:r>
        <m:r>
          <m:t> </m:t>
        </m:r>
        <m:r>
          <m:rPr>
            <m:sty m:val="p"/>
          </m:rPr>
          <m:t>−</m:t>
        </m:r>
        <m:r>
          <m:t>0.15</m:t>
        </m:r>
        <m:r>
          <m:rPr>
            <m:sty m:val="p"/>
          </m:rPr>
          <m:t>]</m:t>
        </m:r>
      </m:oMath>
      <w:r>
        <w:t xml:space="preserve">). El salario por hora permanece nulo. La discrepancia entre los dos paneles refleja un resultado conocido en la literatura: en presencia de heterogeneidad en la respuesta a la dosis, el TWFE pondera los ATT</w:t>
      </w:r>
      <m:oMath>
        <m:r>
          <m:rPr>
            <m:sty m:val="p"/>
          </m:rPr>
          <m:t>(</m:t>
        </m:r>
        <m:r>
          <m:t>g</m:t>
        </m:r>
        <m:r>
          <m:rPr>
            <m:sty m:val="p"/>
          </m:rPr>
          <m:t>,</m:t>
        </m:r>
        <m:r>
          <m:t>t</m:t>
        </m:r>
        <m:r>
          <m:rPr>
            <m:sty m:val="p"/>
          </m:rPr>
          <m:t>)</m:t>
        </m:r>
      </m:oMath>
      <w:r>
        <w:t xml:space="preserve"> </w:t>
      </w:r>
      <w:r>
        <w:t xml:space="preserve">con pesos implícitos que pueden ser negativos y diluyen el promedio. El estimador de Callaway-Sant’Anna agrega correctamente y entrega un cuadro más nítido. A la luz del fallo del criterio Honest-DiD sobre el Panel A, la especificación binaria del Panel B se trata como la lectura preferida del agregado peruano. La estimación continua se mantiene como referencia comparable con la literatura previa que reporta TWFE.</w:t>
      </w:r>
    </w:p>
    <w:bookmarkEnd w:id="58"/>
    <w:bookmarkStart w:id="63" w:name="subsec:results_event_study"/>
    <w:p>
      <w:pPr>
        <w:pStyle w:val="Heading2"/>
      </w:pPr>
      <w:r>
        <w:rPr>
          <w:rStyle w:val="SectionNumber"/>
        </w:rPr>
        <w:t xml:space="preserve">6.2</w:t>
      </w:r>
      <w:r>
        <w:tab/>
      </w:r>
      <w:r>
        <w:t xml:space="preserve">Tendencias paralelas y dinámica del efecto</w:t>
      </w:r>
    </w:p>
    <w:p>
      <w:pPr>
        <w:pStyle w:val="FirstParagraph"/>
      </w:pPr>
      <w:r>
        <w:t xml:space="preserve">La</w:t>
      </w:r>
      <w:r>
        <w:t xml:space="preserve"> </w:t>
      </w:r>
      <w:hyperlink w:anchor="fig:peru_event_study">
        <w:r>
          <w:rPr>
            <w:rStyle w:val="Hyperlink"/>
          </w:rPr>
          <w:t xml:space="preserve">3</w:t>
        </w:r>
      </w:hyperlink>
      <w:r>
        <w:t xml:space="preserve"> </w:t>
      </w:r>
      <w:r>
        <w:t xml:space="preserve">reporta el estudio de eventos de Sun-Abraham descrito en la</w:t>
      </w:r>
      <w:r>
        <w:t xml:space="preserve"> </w:t>
      </w:r>
      <w:hyperlink w:anchor="eq:event_study">
        <w:r>
          <w:rPr>
            <w:rStyle w:val="Hyperlink"/>
          </w:rPr>
          <w:t xml:space="preserve">[eq:event_study]</w:t>
        </w:r>
      </w:hyperlink>
      <w:r>
        <w:t xml:space="preserve"> </w:t>
      </w:r>
      <w:r>
        <w:t xml:space="preserve">para los tres resultados. La fecha de tratamiento es</w:t>
      </w:r>
      <w:r>
        <w:t xml:space="preserve"> </w:t>
      </w:r>
      <m:oMath>
        <m:sSup>
          <m:e>
            <m:r>
              <m:t>t</m:t>
            </m:r>
          </m:e>
          <m:sup>
            <m:r>
              <m:rPr>
                <m:sty m:val="p"/>
              </m:rPr>
              <m:t>*</m:t>
            </m:r>
          </m:sup>
        </m:sSup>
        <m:r>
          <m:rPr>
            <m:sty m:val="p"/>
          </m:rPr>
          <m:t>=</m:t>
        </m:r>
        <m:r>
          <m:t>2022</m:t>
        </m:r>
        <m:r>
          <m:rPr>
            <m:nor/>
            <m:sty m:val="p"/>
          </m:rPr>
          <m:t>T4</m:t>
        </m:r>
      </m:oMath>
      <w:r>
        <w:t xml:space="preserve">, el período de referencia es</w:t>
      </w:r>
      <w:r>
        <w:t xml:space="preserve"> </w:t>
      </w:r>
      <m:oMath>
        <m:r>
          <m:t>k</m:t>
        </m:r>
        <m:r>
          <m:rPr>
            <m:sty m:val="p"/>
          </m:rPr>
          <m:t>=</m:t>
        </m:r>
        <m:r>
          <m:rPr>
            <m:sty m:val="p"/>
          </m:rPr>
          <m:t>−</m:t>
        </m:r>
        <m:r>
          <m:t>1</m:t>
        </m:r>
      </m:oMath>
      <w:r>
        <w:t xml:space="preserve"> </w:t>
      </w:r>
      <w:r>
        <w:t xml:space="preserve">(2022T3, último trimestre limpio pre-shock) y el buffer</w:t>
      </w:r>
      <w:r>
        <w:t xml:space="preserve"> </w:t>
      </w:r>
      <m:oMath>
        <m:r>
          <m:t>k</m:t>
        </m:r>
        <m:r>
          <m:rPr>
            <m:sty m:val="p"/>
          </m:rPr>
          <m:t>=</m:t>
        </m:r>
        <m:r>
          <m:t>0</m:t>
        </m:r>
      </m:oMath>
      <w:r>
        <w:t xml:space="preserve"> </w:t>
      </w:r>
      <w:r>
        <w:t xml:space="preserve">se descarta de la especificación primaria. La ventana de eventos cubre</w:t>
      </w:r>
      <w:r>
        <w:t xml:space="preserve"> </w:t>
      </w:r>
      <m:oMath>
        <m:r>
          <m:t>k</m:t>
        </m:r>
        <m:r>
          <m:rPr>
            <m:sty m:val="p"/>
          </m:rPr>
          <m:t>∈</m:t>
        </m:r>
        <m:r>
          <m:rPr>
            <m:sty m:val="p"/>
          </m:rPr>
          <m:t>[</m:t>
        </m:r>
        <m:r>
          <m:rPr>
            <m:sty m:val="p"/>
          </m:rPr>
          <m:t>−</m:t>
        </m:r>
        <m:r>
          <m:t>7</m:t>
        </m:r>
        <m:r>
          <m:rPr>
            <m:sty m:val="p"/>
          </m:rPr>
          <m:t>,</m:t>
        </m:r>
        <m:r>
          <m:t> </m:t>
        </m:r>
        <m:r>
          <m:rPr>
            <m:sty m:val="p"/>
          </m:rPr>
          <m:t>+</m:t>
        </m:r>
        <m:r>
          <m:t>12</m:t>
        </m:r>
        <m:r>
          <m:rPr>
            <m:sty m:val="p"/>
          </m:rPr>
          <m:t>]</m:t>
        </m:r>
      </m:oMath>
      <w:r>
        <w:t xml:space="preserve"> </w:t>
      </w:r>
      <w:r>
        <w:t xml:space="preserve">trimestres en torno al lanzamiento.</w:t>
      </w:r>
    </w:p>
    <w:bookmarkStart w:id="62" w:name="fig:peru_event_study"/>
    <w:p>
      <w:pPr>
        <w:pStyle w:val="CaptionedFigure"/>
      </w:pPr>
      <w:r>
        <w:drawing>
          <wp:inline>
            <wp:extent cx="4533900" cy="5505450"/>
            <wp:effectExtent b="0" l="0" r="0" t="0"/>
            <wp:docPr descr="" title="" id="60" name="Picture"/>
            <a:graphic>
              <a:graphicData uri="http://schemas.openxmlformats.org/drawingml/2006/picture">
                <pic:pic>
                  <pic:nvPicPr>
                    <pic:cNvPr descr="figures/peru/fig_event_study_3panel.png" id="61" name="Picture"/>
                    <pic:cNvPicPr>
                      <a:picLocks noChangeArrowheads="1" noChangeAspect="1"/>
                    </pic:cNvPicPr>
                  </pic:nvPicPr>
                  <pic:blipFill>
                    <a:blip r:embed="rId59"/>
                    <a:stretch>
                      <a:fillRect/>
                    </a:stretch>
                  </pic:blipFill>
                  <pic:spPr bwMode="auto">
                    <a:xfrm>
                      <a:off x="0" y="0"/>
                      <a:ext cx="4533900" cy="5505450"/>
                    </a:xfrm>
                    <a:prstGeom prst="rect">
                      <a:avLst/>
                    </a:prstGeom>
                    <a:noFill/>
                    <a:ln w="9525">
                      <a:noFill/>
                      <a:headEnd/>
                      <a:tailEnd/>
                    </a:ln>
                  </pic:spPr>
                </pic:pic>
              </a:graphicData>
            </a:graphic>
          </wp:inline>
        </w:drawing>
      </w:r>
    </w:p>
    <w:p>
      <w:pPr>
        <w:pStyle w:val="ImageCaption"/>
      </w:pPr>
      <w:r>
        <w:rPr>
          <w:i/>
          <w:iCs/>
        </w:rPr>
        <w:t xml:space="preserve">Estudio de eventos por dosis de exposición LLM, Perú (Lima Metropolitana).</w:t>
      </w:r>
      <w:r>
        <w:t xml:space="preserve"> </w:t>
      </w:r>
      <w:r>
        <w:t xml:space="preserve">Coeficientes</w:t>
      </w:r>
      <w:r>
        <w:t xml:space="preserve"> </w:t>
      </w:r>
      <m:oMath>
        <m:sSub>
          <m:e>
            <m:r>
              <m:t>θ</m:t>
            </m:r>
          </m:e>
          <m:sub>
            <m:r>
              <m:t>k</m:t>
            </m:r>
          </m:sub>
        </m:sSub>
        <m:r>
          <m:rPr>
            <m:sty m:val="p"/>
          </m:rPr>
          <m:t>⋅</m:t>
        </m:r>
        <m:r>
          <m:t>β</m:t>
        </m:r>
      </m:oMath>
      <w:r>
        <w:t xml:space="preserve"> </w:t>
      </w:r>
      <w:r>
        <w:t xml:space="preserve">del estimador Sun-Abraham para los tres resultados primarios, estimados sobre las 138 ocupaciones CIUO-08 a cuatro dígitos del panel armonizado, ponderados por empleo expandido y con errores estándar agrupados a nivel de ocupación. La línea vertical roja marca la transición entre el último trimestre pre-shock (</w:t>
      </w:r>
      <m:oMath>
        <m:r>
          <m:t>k</m:t>
        </m:r>
        <m:r>
          <m:rPr>
            <m:sty m:val="p"/>
          </m:rPr>
          <m:t>=</m:t>
        </m:r>
        <m:r>
          <m:rPr>
            <m:sty m:val="p"/>
          </m:rPr>
          <m:t>−</m:t>
        </m:r>
        <m:r>
          <m:t>1</m:t>
        </m:r>
      </m:oMath>
      <w:r>
        <w:t xml:space="preserve">) y el primer trimestre post-shock efectivo (</w:t>
      </w:r>
      <m:oMath>
        <m:r>
          <m:t>k</m:t>
        </m:r>
        <m:r>
          <m:rPr>
            <m:sty m:val="p"/>
          </m:rPr>
          <m:t>=</m:t>
        </m:r>
        <m:r>
          <m:rPr>
            <m:sty m:val="p"/>
          </m:rPr>
          <m:t>+</m:t>
        </m:r>
        <m:r>
          <m:t>1</m:t>
        </m:r>
      </m:oMath>
      <w:r>
        <w:t xml:space="preserve">). El trimestre buffer</w:t>
      </w:r>
      <w:r>
        <w:t xml:space="preserve"> </w:t>
      </w:r>
      <m:oMath>
        <m:r>
          <m:t>k</m:t>
        </m:r>
        <m:r>
          <m:rPr>
            <m:sty m:val="p"/>
          </m:rPr>
          <m:t>=</m:t>
        </m:r>
        <m:r>
          <m:t>0</m:t>
        </m:r>
      </m:oMath>
      <w:r>
        <w:t xml:space="preserve"> </w:t>
      </w:r>
      <w:r>
        <w:t xml:space="preserve">se omite. IC 95 por ciento.</w:t>
      </w:r>
    </w:p>
    <w:bookmarkEnd w:id="62"/>
    <w:p>
      <w:pPr>
        <w:pStyle w:val="BodyText"/>
      </w:pPr>
      <w:r>
        <w:t xml:space="preserve">La prueba conjunta de Wald sobre los seis coeficientes pre-tratamiento (</w:t>
      </w:r>
      <m:oMath>
        <m:r>
          <m:t>k</m:t>
        </m:r>
        <m:r>
          <m:rPr>
            <m:sty m:val="p"/>
          </m:rPr>
          <m:t>∈</m:t>
        </m:r>
        <m:r>
          <m:rPr>
            <m:sty m:val="p"/>
          </m:rPr>
          <m:t>[</m:t>
        </m:r>
        <m:r>
          <m:rPr>
            <m:sty m:val="p"/>
          </m:rPr>
          <m:t>−</m:t>
        </m:r>
        <m:r>
          <m:t>7</m:t>
        </m:r>
        <m:r>
          <m:rPr>
            <m:sty m:val="p"/>
          </m:rPr>
          <m:t>,</m:t>
        </m:r>
        <m:r>
          <m:t> </m:t>
        </m:r>
        <m:r>
          <m:rPr>
            <m:sty m:val="p"/>
          </m:rPr>
          <m:t>−</m:t>
        </m:r>
        <m:r>
          <m:t>2</m:t>
        </m:r>
        <m:r>
          <m:rPr>
            <m:sty m:val="p"/>
          </m:rPr>
          <m:t>]</m:t>
        </m:r>
      </m:oMath>
      <w:r>
        <w:t xml:space="preserve">) no rechaza la hipótesis nula de tendencias paralelas para ninguno de los tres resultados:</w:t>
      </w:r>
      <w:r>
        <w:t xml:space="preserve"> </w:t>
      </w:r>
      <m:oMath>
        <m:r>
          <m:t>F</m:t>
        </m:r>
        <m:r>
          <m:rPr>
            <m:sty m:val="p"/>
          </m:rPr>
          <m:t>=</m:t>
        </m:r>
        <m:r>
          <m:t>1.534</m:t>
        </m:r>
      </m:oMath>
      <w:r>
        <w:t xml:space="preserve"> </w:t>
      </w:r>
      <w:r>
        <w:t xml:space="preserve">(</w:t>
      </w:r>
      <m:oMath>
        <m:r>
          <m:t>p</m:t>
        </m:r>
        <m:r>
          <m:rPr>
            <m:sty m:val="p"/>
          </m:rPr>
          <m:t>=</m:t>
        </m:r>
        <m:r>
          <m:t>0.171</m:t>
        </m:r>
      </m:oMath>
      <w:r>
        <w:t xml:space="preserve">) para log empleo,</w:t>
      </w:r>
      <w:r>
        <w:t xml:space="preserve"> </w:t>
      </w:r>
      <m:oMath>
        <m:r>
          <m:t>F</m:t>
        </m:r>
        <m:r>
          <m:rPr>
            <m:sty m:val="p"/>
          </m:rPr>
          <m:t>=</m:t>
        </m:r>
        <m:r>
          <m:t>1.298</m:t>
        </m:r>
      </m:oMath>
      <w:r>
        <w:t xml:space="preserve"> </w:t>
      </w:r>
      <w:r>
        <w:t xml:space="preserve">(</w:t>
      </w:r>
      <m:oMath>
        <m:r>
          <m:t>p</m:t>
        </m:r>
        <m:r>
          <m:rPr>
            <m:sty m:val="p"/>
          </m:rPr>
          <m:t>=</m:t>
        </m:r>
        <m:r>
          <m:t>0.262</m:t>
        </m:r>
      </m:oMath>
      <w:r>
        <w:t xml:space="preserve">) para log salario hora, y</w:t>
      </w:r>
      <w:r>
        <w:t xml:space="preserve"> </w:t>
      </w:r>
      <m:oMath>
        <m:r>
          <m:t>F</m:t>
        </m:r>
        <m:r>
          <m:rPr>
            <m:sty m:val="p"/>
          </m:rPr>
          <m:t>=</m:t>
        </m:r>
        <m:r>
          <m:t>1.515</m:t>
        </m:r>
      </m:oMath>
      <w:r>
        <w:t xml:space="preserve"> </w:t>
      </w:r>
      <w:r>
        <w:t xml:space="preserve">(</w:t>
      </w:r>
      <m:oMath>
        <m:r>
          <m:t>p</m:t>
        </m:r>
        <m:r>
          <m:rPr>
            <m:sty m:val="p"/>
          </m:rPr>
          <m:t>=</m:t>
        </m:r>
        <m:r>
          <m:t>0.178</m:t>
        </m:r>
      </m:oMath>
      <w:r>
        <w:t xml:space="preserve">) para horas semanales. Las trayectorias visuales son consistentes con esta lectura formal en el caso del empleo (panel a) y de los salarios (panel b), donde los coeficientes pre-tratamiento oscilan en torno a cero sin tendencia detectable.</w:t>
      </w:r>
    </w:p>
    <w:p>
      <w:pPr>
        <w:pStyle w:val="BodyText"/>
      </w:pPr>
      <w:r>
        <w:t xml:space="preserve">El panel (a) revela una característica importante de la dinámica del empleo: los doce coeficientes post-tratamiento son positivos sin excepción, partiendo desde</w:t>
      </w:r>
      <w:r>
        <w:t xml:space="preserve"> </w:t>
      </w:r>
      <m:oMath>
        <m:r>
          <m:rPr>
            <m:sty m:val="p"/>
          </m:rPr>
          <m:t>+</m:t>
        </m:r>
        <m:r>
          <m:t>0.25</m:t>
        </m:r>
      </m:oMath>
      <w:r>
        <w:t xml:space="preserve"> </w:t>
      </w:r>
      <w:r>
        <w:t xml:space="preserve">en el primer trimestre y ascendiendo a</w:t>
      </w:r>
      <w:r>
        <w:t xml:space="preserve"> </w:t>
      </w:r>
      <m:oMath>
        <m:r>
          <m:rPr>
            <m:sty m:val="p"/>
          </m:rPr>
          <m:t>+</m:t>
        </m:r>
        <m:r>
          <m:t>0.52</m:t>
        </m:r>
      </m:oMath>
      <w:r>
        <w:t xml:space="preserve"> </w:t>
      </w:r>
      <w:r>
        <w:t xml:space="preserve">al cierre de la ventana. La consistencia de signo a lo largo de doce trimestres, aunque los intervalos de confianza individuales cubren cero, fortalece la lectura de un efecto positivo, gradual y persistente sobre el empleo en ocupaciones expuestas, en línea con el coeficiente significativo del Panel B de la</w:t>
      </w:r>
      <w:r>
        <w:t xml:space="preserve"> </w:t>
      </w:r>
      <w:hyperlink w:anchor="tab:peru_main">
        <w:r>
          <w:rPr>
            <w:rStyle w:val="Hyperlink"/>
          </w:rPr>
          <w:t xml:space="preserve">6</w:t>
        </w:r>
      </w:hyperlink>
      <w:r>
        <w:t xml:space="preserve">.</w:t>
      </w:r>
    </w:p>
    <w:p>
      <w:pPr>
        <w:pStyle w:val="BodyText"/>
      </w:pPr>
      <w:r>
        <w:t xml:space="preserve">El panel (c), correspondiente a horas semanales, exhibe un patrón que merece especial cuidado. Los coeficientes pre-tratamiento, aunque no rechazan tendencias paralelas en el sentido de Wald, son sistemáticamente positivos en magnitud (con</w:t>
      </w:r>
      <w:r>
        <w:t xml:space="preserve"> </w:t>
      </w:r>
      <m:oMath>
        <m:sSub>
          <m:e>
            <m:r>
              <m:t>θ</m:t>
            </m:r>
          </m:e>
          <m:sub>
            <m:r>
              <m:rPr>
                <m:sty m:val="p"/>
              </m:rPr>
              <m:t>−</m:t>
            </m:r>
            <m:r>
              <m:t>5</m:t>
            </m:r>
          </m:sub>
        </m:sSub>
        <m:r>
          <m:rPr>
            <m:sty m:val="p"/>
          </m:rPr>
          <m:t>⋅</m:t>
        </m:r>
        <m:r>
          <m:t>β</m:t>
        </m:r>
        <m:r>
          <m:rPr>
            <m:sty m:val="p"/>
          </m:rPr>
          <m:t>=</m:t>
        </m:r>
        <m:r>
          <m:rPr>
            <m:sty m:val="p"/>
          </m:rPr>
          <m:t>+</m:t>
        </m:r>
        <m:r>
          <m:t>3.32</m:t>
        </m:r>
      </m:oMath>
      <w:r>
        <w:t xml:space="preserve"> </w:t>
      </w:r>
      <w:r>
        <w:t xml:space="preserve">significativo individualmente). Los coeficientes post-tratamiento son mayoritariamente negativos. Este perfil de inversión sugiere una posible reversión de tendencia que podría inflar mecánicamente el coeficiente principal de horas. Sigo a</w:t>
      </w:r>
      <w:r>
        <w:t xml:space="preserve"> </w:t>
      </w:r>
      <w:r>
        <w:t xml:space="preserve">Roth (2022)</w:t>
      </w:r>
      <w:r>
        <w:t xml:space="preserve"> </w:t>
      </w:r>
      <w:r>
        <w:t xml:space="preserve">en interpretar esta evidencia con cautela y rebajo el peso interpretativo del coeficiente continuo de horas en favor del binario CS-2021 del Panel B, que es robusto a esta característica de los datos.</w:t>
      </w:r>
    </w:p>
    <w:bookmarkEnd w:id="63"/>
    <w:bookmarkStart w:id="70" w:name="subsec:results_formality"/>
    <w:p>
      <w:pPr>
        <w:pStyle w:val="Heading2"/>
      </w:pPr>
      <w:r>
        <w:rPr>
          <w:rStyle w:val="SectionNumber"/>
        </w:rPr>
        <w:t xml:space="preserve">6.3</w:t>
      </w:r>
      <w:r>
        <w:tab/>
      </w:r>
      <w:r>
        <w:t xml:space="preserve">Heterogeneidad por formalidad de línea base</w:t>
      </w:r>
    </w:p>
    <w:p>
      <w:pPr>
        <w:pStyle w:val="FirstParagraph"/>
      </w:pPr>
      <w:r>
        <w:t xml:space="preserve">La preregistración metodológica del artículo identifica la formalidad de línea base como la dimensión central de heterogeneidad intra-país. La</w:t>
      </w:r>
      <w:r>
        <w:t xml:space="preserve"> </w:t>
      </w:r>
      <w:hyperlink w:anchor="tab:peru_formality">
        <w:r>
          <w:rPr>
            <w:rStyle w:val="Hyperlink"/>
          </w:rPr>
          <w:t xml:space="preserve">7</w:t>
        </w:r>
      </w:hyperlink>
      <w:r>
        <w:t xml:space="preserve"> </w:t>
      </w:r>
      <w:r>
        <w:t xml:space="preserve">reporta los coeficientes</w:t>
      </w:r>
      <w:r>
        <w:t xml:space="preserve"> </w:t>
      </w:r>
      <m:oMath>
        <m:sSubSup>
          <m:e>
            <m:acc>
              <m:accPr>
                <m:chr m:val="̂"/>
              </m:accPr>
              <m:e>
                <m:r>
                  <m:t>τ</m:t>
                </m:r>
              </m:e>
            </m:acc>
          </m:e>
          <m:sub>
            <m:r>
              <m:t>F</m:t>
            </m:r>
          </m:sub>
          <m:sup>
            <m:r>
              <m:rPr>
                <m:nor/>
                <m:sty m:val="p"/>
              </m:rPr>
              <m:t>Perú</m:t>
            </m:r>
          </m:sup>
        </m:sSubSup>
      </m:oMath>
      <w:r>
        <w:t xml:space="preserve"> </w:t>
      </w:r>
      <w:r>
        <w:t xml:space="preserve">y</w:t>
      </w:r>
      <w:r>
        <w:t xml:space="preserve"> </w:t>
      </w:r>
      <m:oMath>
        <m:sSubSup>
          <m:e>
            <m:acc>
              <m:accPr>
                <m:chr m:val="̂"/>
              </m:accPr>
              <m:e>
                <m:r>
                  <m:t>τ</m:t>
                </m:r>
              </m:e>
            </m:acc>
          </m:e>
          <m:sub>
            <m:r>
              <m:t>I</m:t>
            </m:r>
          </m:sub>
          <m:sup>
            <m:r>
              <m:rPr>
                <m:nor/>
                <m:sty m:val="p"/>
              </m:rPr>
              <m:t>Perú</m:t>
            </m:r>
          </m:sup>
        </m:sSubSup>
      </m:oMath>
      <w:r>
        <w:t xml:space="preserve"> </w:t>
      </w:r>
      <w:r>
        <w:t xml:space="preserve">de la</w:t>
      </w:r>
      <w:r>
        <w:t xml:space="preserve"> </w:t>
      </w:r>
      <w:hyperlink w:anchor="eq:formality_interaction">
        <w:r>
          <w:rPr>
            <w:rStyle w:val="Hyperlink"/>
          </w:rPr>
          <w:t xml:space="preserve">[eq:formality_interaction]</w:t>
        </w:r>
      </w:hyperlink>
      <w:r>
        <w:t xml:space="preserve">, donde la share de formalidad ocupacional</w:t>
      </w:r>
      <w:r>
        <w:t xml:space="preserve"> </w:t>
      </w:r>
      <m:oMath>
        <m:sSubSup>
          <m:e>
            <m:r>
              <m:t>F</m:t>
            </m:r>
          </m:e>
          <m:sub>
            <m:r>
              <m:t>o</m:t>
            </m:r>
          </m:sub>
          <m:sup>
            <m:r>
              <m:t>2021</m:t>
            </m:r>
          </m:sup>
        </m:sSubSup>
      </m:oMath>
      <w:r>
        <w:t xml:space="preserve"> </w:t>
      </w:r>
      <w:r>
        <w:t xml:space="preserve">se construye como el promedio ponderado por empleo de la share trimestral de trabajadores formales en la ocupación</w:t>
      </w:r>
      <w:r>
        <w:t xml:space="preserve"> </w:t>
      </w:r>
      <m:oMath>
        <m:r>
          <m:t>o</m:t>
        </m:r>
      </m:oMath>
      <w:r>
        <w:t xml:space="preserve"> </w:t>
      </w:r>
      <w:r>
        <w:t xml:space="preserve">a lo largo de los cuatro trimestres de 2021, con la formalidad definida como afiliación a ESSALUD o esquema combinado ESSALUD-privado (</w:t>
      </w:r>
      <w:r>
        <w:rPr>
          <w:rStyle w:val="VerbatimChar"/>
        </w:rPr>
        <w:t xml:space="preserve">seguro1</w:t>
      </w:r>
      <w:r>
        <w:t xml:space="preserve"> </w:t>
      </w:r>
      <m:oMath>
        <m:r>
          <m:rPr>
            <m:sty m:val="p"/>
          </m:rPr>
          <m:t>∈</m:t>
        </m:r>
        <m:r>
          <m:rPr>
            <m:sty m:val="p"/>
          </m:rPr>
          <m:t>{</m:t>
        </m:r>
        <m:r>
          <m:t>1</m:t>
        </m:r>
        <m:r>
          <m:rPr>
            <m:sty m:val="p"/>
          </m:rPr>
          <m:t>,</m:t>
        </m:r>
        <m:r>
          <m:t>3</m:t>
        </m:r>
        <m:r>
          <m:rPr>
            <m:sty m:val="p"/>
          </m:rPr>
          <m:t>}</m:t>
        </m:r>
      </m:oMath>
      <w:r>
        <w:t xml:space="preserve">).</w:t>
      </w:r>
    </w:p>
    <w:bookmarkStart w:id="64" w:name="tab:peru_formality"/>
    <w:p>
      <w:pPr>
        <w:pStyle w:val="TableCaption"/>
      </w:pPr>
      <w:r>
        <w:t xml:space="preserve">Heterogeneidad de</w:t>
      </w:r>
      <w:r>
        <w:t xml:space="preserve"> </w:t>
      </w:r>
      <m:oMath>
        <m:sSup>
          <m:e>
            <m:acc>
              <m:accPr>
                <m:chr m:val="̂"/>
              </m:accPr>
              <m:e>
                <m:r>
                  <m:t>τ</m:t>
                </m:r>
              </m:e>
            </m:acc>
          </m:e>
          <m:sup>
            <m:r>
              <m:rPr>
                <m:nor/>
                <m:sty m:val="p"/>
              </m:rPr>
              <m:t>Perú</m:t>
            </m:r>
          </m:sup>
        </m:sSup>
      </m:oMath>
      <w:r>
        <w:t xml:space="preserve"> </w:t>
      </w:r>
      <w:r>
        <w:t xml:space="preserve">por formalidad de línea base 2021</w:t>
      </w:r>
    </w:p>
    <w:tbl>
      <w:tblPr>
        <w:tblStyle w:val="Table"/>
        <w:tblW w:type="auto" w:w="0"/>
        <w:tblLook w:firstRow="1" w:lastRow="0" w:firstColumn="0" w:lastColumn="0" w:noHBand="0" w:noVBand="0" w:val="0020"/>
        <w:tblCaption w:val="Heterogeneidad de \hat\tau^{\text{Per\'{u}}} por formalidad de línea base 2021"/>
      </w:tblPr>
      <w:tblGrid>
        <w:gridCol w:w="1980"/>
        <w:gridCol w:w="1980"/>
        <w:gridCol w:w="1980"/>
        <w:gridCol w:w="1980"/>
      </w:tblGrid>
      <w:tr>
        <w:trPr>
          <w:tblHeader w:val="on"/>
        </w:trPr>
        <w:tc>
          <w:tcPr/>
          <w:p>
            <w:pPr>
              <w:pStyle w:val="Compact"/>
            </w:pPr>
          </w:p>
        </w:tc>
        <w:tc>
          <w:tcPr/>
          <w:p>
            <w:pPr>
              <w:pStyle w:val="Compact"/>
              <w:jc w:val="center"/>
            </w:pPr>
            <w:r>
              <w:t xml:space="preserve">log empleo</w:t>
            </w:r>
          </w:p>
        </w:tc>
        <w:tc>
          <w:tcPr/>
          <w:p>
            <w:pPr>
              <w:pStyle w:val="Compact"/>
              <w:jc w:val="center"/>
            </w:pPr>
            <w:r>
              <w:t xml:space="preserve">log salario hora</w:t>
            </w:r>
          </w:p>
        </w:tc>
        <w:tc>
          <w:tcPr/>
          <w:p>
            <w:pPr>
              <w:pStyle w:val="Compact"/>
              <w:jc w:val="center"/>
            </w:pPr>
            <w:r>
              <w:t xml:space="preserve">horas semanales</w:t>
            </w:r>
          </w:p>
        </w:tc>
      </w:tr>
      <w:tr>
        <w:tc>
          <w:tcPr/>
          <w:p>
            <w:pPr>
              <w:pStyle w:val="Compact"/>
              <w:jc w:val="left"/>
            </w:pPr>
            <m:oMath>
              <m:sSubSup>
                <m:e>
                  <m:acc>
                    <m:accPr>
                      <m:chr m:val="̂"/>
                    </m:accPr>
                    <m:e>
                      <m:r>
                        <m:t>τ</m:t>
                      </m:r>
                    </m:e>
                  </m:acc>
                </m:e>
                <m:sub>
                  <m:r>
                    <m:t>F</m:t>
                  </m:r>
                </m:sub>
                <m:sup>
                  <m:r>
                    <m:rPr>
                      <m:nor/>
                      <m:sty m:val="p"/>
                    </m:rPr>
                    <m:t>Perú</m:t>
                  </m:r>
                </m:sup>
              </m:sSubSup>
            </m:oMath>
            <w:r>
              <w:t xml:space="preserve"> </w:t>
            </w:r>
            <w:r>
              <w:t xml:space="preserve">(canal formal)</w:t>
            </w:r>
          </w:p>
        </w:tc>
        <w:tc>
          <w:tcPr/>
          <w:p>
            <w:pPr>
              <w:pStyle w:val="Compact"/>
              <w:jc w:val="center"/>
            </w:pPr>
            <m:oMath>
              <m:sSup>
                <m:e>
                  <m:r>
                    <m:rPr>
                      <m:sty m:val="b"/>
                    </m:rPr>
                    <m:t>0.567</m:t>
                  </m:r>
                </m:e>
                <m:sup>
                  <m:r>
                    <m:rPr>
                      <m:sty m:val="b"/>
                    </m:rPr>
                    <m:t>*</m:t>
                  </m:r>
                  <m:r>
                    <m:rPr>
                      <m:sty m:val="b"/>
                    </m:rPr>
                    <m:t>*</m:t>
                  </m:r>
                  <m:r>
                    <m:rPr>
                      <m:sty m:val="b"/>
                    </m:rPr>
                    <m:t>*</m:t>
                  </m:r>
                </m:sup>
              </m:sSup>
            </m:oMath>
          </w:p>
        </w:tc>
        <w:tc>
          <w:tcPr/>
          <w:p>
            <w:pPr>
              <w:pStyle w:val="Compact"/>
              <w:jc w:val="center"/>
            </w:pPr>
            <m:oMath>
              <m:r>
                <m:rPr>
                  <m:sty m:val="b"/>
                </m:rPr>
                <m:t>−</m:t>
              </m:r>
              <m:sSup>
                <m:e>
                  <m:r>
                    <m:rPr>
                      <m:sty m:val="b"/>
                    </m:rPr>
                    <m:t>0.128</m:t>
                  </m:r>
                </m:e>
                <m:sup>
                  <m:r>
                    <m:rPr>
                      <m:sty m:val="b"/>
                    </m:rPr>
                    <m:t>*</m:t>
                  </m:r>
                  <m:r>
                    <m:rPr>
                      <m:sty m:val="b"/>
                    </m:rPr>
                    <m:t>*</m:t>
                  </m:r>
                </m:sup>
              </m:sSup>
            </m:oMath>
          </w:p>
        </w:tc>
        <w:tc>
          <w:tcPr/>
          <w:p>
            <w:pPr>
              <w:pStyle w:val="Compact"/>
              <w:jc w:val="center"/>
            </w:pPr>
            <m:oMath>
              <m:r>
                <m:rPr>
                  <m:sty m:val="p"/>
                </m:rPr>
                <m:t>−</m:t>
              </m:r>
              <m:sSup>
                <m:e>
                  <m:r>
                    <m:t>1.920</m:t>
                  </m:r>
                </m:e>
                <m:sup>
                  <m:r>
                    <m:rPr>
                      <m:sty m:val="p"/>
                    </m:rPr>
                    <m:t>*</m:t>
                  </m:r>
                </m:sup>
              </m:sSup>
            </m:oMath>
          </w:p>
        </w:tc>
      </w:tr>
      <w:tr>
        <w:tc>
          <w:tcPr/>
          <w:p>
            <w:pPr>
              <w:pStyle w:val="Compact"/>
            </w:pPr>
          </w:p>
        </w:tc>
        <w:tc>
          <w:tcPr/>
          <w:p>
            <w:pPr>
              <w:pStyle w:val="Compact"/>
              <w:jc w:val="center"/>
            </w:pPr>
            <m:oMath>
              <m:r>
                <m:rPr>
                  <m:sty m:val="p"/>
                </m:rPr>
                <m:t>(</m:t>
              </m:r>
              <m:r>
                <m:t>0.211</m:t>
              </m:r>
              <m:r>
                <m:rPr>
                  <m:sty m:val="p"/>
                </m:rPr>
                <m:t>)</m:t>
              </m:r>
            </m:oMath>
          </w:p>
        </w:tc>
        <w:tc>
          <w:tcPr/>
          <w:p>
            <w:pPr>
              <w:pStyle w:val="Compact"/>
              <w:jc w:val="center"/>
            </w:pPr>
            <m:oMath>
              <m:r>
                <m:rPr>
                  <m:sty m:val="p"/>
                </m:rPr>
                <m:t>(</m:t>
              </m:r>
              <m:r>
                <m:t>0.056</m:t>
              </m:r>
              <m:r>
                <m:rPr>
                  <m:sty m:val="p"/>
                </m:rPr>
                <m:t>)</m:t>
              </m:r>
            </m:oMath>
          </w:p>
        </w:tc>
        <w:tc>
          <w:tcPr/>
          <w:p>
            <w:pPr>
              <w:pStyle w:val="Compact"/>
              <w:jc w:val="center"/>
            </w:pPr>
            <m:oMath>
              <m:r>
                <m:rPr>
                  <m:sty m:val="p"/>
                </m:rPr>
                <m:t>(</m:t>
              </m:r>
              <m:r>
                <m:t>1.034</m:t>
              </m:r>
              <m:r>
                <m:rPr>
                  <m:sty m:val="p"/>
                </m:rPr>
                <m:t>)</m:t>
              </m:r>
            </m:oMath>
          </w:p>
        </w:tc>
      </w:tr>
      <w:tr>
        <w:tc>
          <w:tcPr/>
          <w:p>
            <w:pPr>
              <w:pStyle w:val="Compact"/>
              <w:jc w:val="left"/>
            </w:pPr>
            <m:oMath>
              <m:sSubSup>
                <m:e>
                  <m:acc>
                    <m:accPr>
                      <m:chr m:val="̂"/>
                    </m:accPr>
                    <m:e>
                      <m:r>
                        <m:t>τ</m:t>
                      </m:r>
                    </m:e>
                  </m:acc>
                </m:e>
                <m:sub>
                  <m:r>
                    <m:t>I</m:t>
                  </m:r>
                </m:sub>
                <m:sup>
                  <m:r>
                    <m:rPr>
                      <m:nor/>
                      <m:sty m:val="p"/>
                    </m:rPr>
                    <m:t>Perú</m:t>
                  </m:r>
                </m:sup>
              </m:sSubSup>
            </m:oMath>
            <w:r>
              <w:t xml:space="preserve"> </w:t>
            </w:r>
            <w:r>
              <w:t xml:space="preserve">(canal informal)</w:t>
            </w:r>
          </w:p>
        </w:tc>
        <w:tc>
          <w:tcPr/>
          <w:p>
            <w:pPr>
              <w:pStyle w:val="Compact"/>
              <w:jc w:val="center"/>
            </w:pPr>
            <m:oMath>
              <m:r>
                <m:rPr>
                  <m:sty m:val="p"/>
                </m:rPr>
                <m:t>−</m:t>
              </m:r>
              <m:r>
                <m:t>0.222</m:t>
              </m:r>
            </m:oMath>
          </w:p>
        </w:tc>
        <w:tc>
          <w:tcPr/>
          <w:p>
            <w:pPr>
              <w:pStyle w:val="Compact"/>
              <w:jc w:val="center"/>
            </w:pPr>
            <m:oMath>
              <m:sSup>
                <m:e>
                  <m:r>
                    <m:rPr>
                      <m:sty m:val="b"/>
                    </m:rPr>
                    <m:t>0.265</m:t>
                  </m:r>
                </m:e>
                <m:sup>
                  <m:r>
                    <m:rPr>
                      <m:sty m:val="b"/>
                    </m:rPr>
                    <m:t>*</m:t>
                  </m:r>
                  <m:r>
                    <m:rPr>
                      <m:sty m:val="b"/>
                    </m:rPr>
                    <m:t>*</m:t>
                  </m:r>
                  <m:r>
                    <m:rPr>
                      <m:sty m:val="b"/>
                    </m:rPr>
                    <m:t>*</m:t>
                  </m:r>
                </m:sup>
              </m:sSup>
            </m:oMath>
          </w:p>
        </w:tc>
        <w:tc>
          <w:tcPr/>
          <w:p>
            <w:pPr>
              <w:pStyle w:val="Compact"/>
              <w:jc w:val="center"/>
            </w:pPr>
            <m:oMath>
              <m:r>
                <m:rPr>
                  <m:sty m:val="p"/>
                </m:rPr>
                <m:t>−</m:t>
              </m:r>
              <m:r>
                <m:t>5.110</m:t>
              </m:r>
            </m:oMath>
          </w:p>
        </w:tc>
      </w:tr>
      <w:tr>
        <w:tc>
          <w:tcPr/>
          <w:p>
            <w:pPr>
              <w:pStyle w:val="Compact"/>
            </w:pPr>
          </w:p>
        </w:tc>
        <w:tc>
          <w:tcPr/>
          <w:p>
            <w:pPr>
              <w:pStyle w:val="Compact"/>
              <w:jc w:val="center"/>
            </w:pPr>
            <m:oMath>
              <m:r>
                <m:rPr>
                  <m:sty m:val="p"/>
                </m:rPr>
                <m:t>(</m:t>
              </m:r>
              <m:r>
                <m:t>0.286</m:t>
              </m:r>
              <m:r>
                <m:rPr>
                  <m:sty m:val="p"/>
                </m:rPr>
                <m:t>)</m:t>
              </m:r>
            </m:oMath>
          </w:p>
        </w:tc>
        <w:tc>
          <w:tcPr/>
          <w:p>
            <w:pPr>
              <w:pStyle w:val="Compact"/>
              <w:jc w:val="center"/>
            </w:pPr>
            <m:oMath>
              <m:r>
                <m:rPr>
                  <m:sty m:val="p"/>
                </m:rPr>
                <m:t>(</m:t>
              </m:r>
              <m:r>
                <m:t>0.080</m:t>
              </m:r>
              <m:r>
                <m:rPr>
                  <m:sty m:val="p"/>
                </m:rPr>
                <m:t>)</m:t>
              </m:r>
            </m:oMath>
          </w:p>
        </w:tc>
        <w:tc>
          <w:tcPr/>
          <w:p>
            <w:pPr>
              <w:pStyle w:val="Compact"/>
              <w:jc w:val="center"/>
            </w:pPr>
            <m:oMath>
              <m:r>
                <m:rPr>
                  <m:sty m:val="p"/>
                </m:rPr>
                <m:t>(</m:t>
              </m:r>
              <m:r>
                <m:t>3.819</m:t>
              </m:r>
              <m:r>
                <m:rPr>
                  <m:sty m:val="p"/>
                </m:rPr>
                <m:t>)</m:t>
              </m:r>
            </m:oMath>
          </w:p>
        </w:tc>
      </w:tr>
      <w:tr>
        <w:tc>
          <w:tcPr/>
          <w:p>
            <w:pPr>
              <w:pStyle w:val="Compact"/>
              <w:jc w:val="left"/>
            </w:pPr>
            <m:oMath>
              <m:sSub>
                <m:e>
                  <m:acc>
                    <m:accPr>
                      <m:chr m:val="̂"/>
                    </m:accPr>
                    <m:e>
                      <m:r>
                        <m:t>τ</m:t>
                      </m:r>
                    </m:e>
                  </m:acc>
                </m:e>
                <m:sub>
                  <m:r>
                    <m:t>F</m:t>
                  </m:r>
                </m:sub>
              </m:sSub>
              <m:r>
                <m:rPr>
                  <m:sty m:val="p"/>
                </m:rPr>
                <m:t>−</m:t>
              </m:r>
              <m:sSub>
                <m:e>
                  <m:acc>
                    <m:accPr>
                      <m:chr m:val="̂"/>
                    </m:accPr>
                    <m:e>
                      <m:r>
                        <m:t>τ</m:t>
                      </m:r>
                    </m:e>
                  </m:acc>
                </m:e>
                <m:sub>
                  <m:r>
                    <m:t>I</m:t>
                  </m:r>
                </m:sub>
              </m:sSub>
            </m:oMath>
          </w:p>
        </w:tc>
        <w:tc>
          <w:tcPr/>
          <w:p>
            <w:pPr>
              <w:pStyle w:val="Compact"/>
              <w:jc w:val="center"/>
            </w:pPr>
            <m:oMath>
              <m:r>
                <m:t>0.790</m:t>
              </m:r>
            </m:oMath>
          </w:p>
        </w:tc>
        <w:tc>
          <w:tcPr/>
          <w:p>
            <w:pPr>
              <w:pStyle w:val="Compact"/>
              <w:jc w:val="center"/>
            </w:pPr>
            <m:oMath>
              <m:r>
                <m:rPr>
                  <m:sty m:val="p"/>
                </m:rPr>
                <m:t>−</m:t>
              </m:r>
              <m:r>
                <m:t>0.394</m:t>
              </m:r>
            </m:oMath>
          </w:p>
        </w:tc>
        <w:tc>
          <w:tcPr/>
          <w:p>
            <w:pPr>
              <w:pStyle w:val="Compact"/>
              <w:jc w:val="center"/>
            </w:pPr>
            <m:oMath>
              <m:r>
                <m:t>3.190</m:t>
              </m:r>
            </m:oMath>
          </w:p>
        </w:tc>
      </w:tr>
      <w:tr>
        <w:tc>
          <w:tcPr/>
          <w:p>
            <w:pPr>
              <w:pStyle w:val="Compact"/>
              <w:jc w:val="left"/>
            </w:pPr>
            <m:oMath>
              <m:r>
                <m:t>z</m:t>
              </m:r>
            </m:oMath>
            <w:r>
              <w:t xml:space="preserve"> </w:t>
            </w:r>
            <w:r>
              <w:t xml:space="preserve">(test</w:t>
            </w:r>
            <w:r>
              <w:t xml:space="preserve"> </w:t>
            </w:r>
            <m:oMath>
              <m:sSub>
                <m:e>
                  <m:r>
                    <m:t>H</m:t>
                  </m:r>
                </m:e>
                <m:sub>
                  <m:r>
                    <m:t>0</m:t>
                  </m:r>
                </m:sub>
              </m:sSub>
              <m:r>
                <m:rPr>
                  <m:sty m:val="p"/>
                </m:rPr>
                <m:t>:</m:t>
              </m:r>
              <m:r>
                <m:t> </m:t>
              </m:r>
              <m:sSub>
                <m:e>
                  <m:acc>
                    <m:accPr>
                      <m:chr m:val="̂"/>
                    </m:accPr>
                    <m:e>
                      <m:r>
                        <m:t>τ</m:t>
                      </m:r>
                    </m:e>
                  </m:acc>
                </m:e>
                <m:sub>
                  <m:r>
                    <m:t>F</m:t>
                  </m:r>
                </m:sub>
              </m:sSub>
              <m:r>
                <m:rPr>
                  <m:sty m:val="p"/>
                </m:rPr>
                <m:t>=</m:t>
              </m:r>
              <m:sSub>
                <m:e>
                  <m:acc>
                    <m:accPr>
                      <m:chr m:val="̂"/>
                    </m:accPr>
                    <m:e>
                      <m:r>
                        <m:t>τ</m:t>
                      </m:r>
                    </m:e>
                  </m:acc>
                </m:e>
                <m:sub>
                  <m:r>
                    <m:t>I</m:t>
                  </m:r>
                </m:sub>
              </m:sSub>
            </m:oMath>
            <w:r>
              <w:t xml:space="preserve">)</w:t>
            </w:r>
          </w:p>
        </w:tc>
        <w:tc>
          <w:tcPr/>
          <w:p>
            <w:pPr>
              <w:pStyle w:val="Compact"/>
              <w:jc w:val="center"/>
            </w:pPr>
            <m:oMath>
              <m:r>
                <m:t>2.80</m:t>
              </m:r>
            </m:oMath>
          </w:p>
        </w:tc>
        <w:tc>
          <w:tcPr/>
          <w:p>
            <w:pPr>
              <w:pStyle w:val="Compact"/>
              <w:jc w:val="center"/>
            </w:pPr>
            <m:oMath>
              <m:r>
                <m:rPr>
                  <m:sty m:val="p"/>
                </m:rPr>
                <m:t>−</m:t>
              </m:r>
              <m:r>
                <m:t>4.19</m:t>
              </m:r>
            </m:oMath>
          </w:p>
        </w:tc>
        <w:tc>
          <w:tcPr/>
          <w:p>
            <w:pPr>
              <w:pStyle w:val="Compact"/>
              <w:jc w:val="center"/>
            </w:pPr>
            <m:oMath>
              <m:r>
                <m:t>0.82</m:t>
              </m:r>
            </m:oMath>
          </w:p>
        </w:tc>
      </w:tr>
      <w:tr>
        <w:tc>
          <w:tcPr/>
          <w:p>
            <w:pPr>
              <w:pStyle w:val="Compact"/>
              <w:jc w:val="left"/>
            </w:pPr>
            <m:oMath>
              <m:r>
                <m:t>p</m:t>
              </m:r>
            </m:oMath>
            <w:r>
              <w:t xml:space="preserve">-valor</w:t>
            </w:r>
          </w:p>
        </w:tc>
        <w:tc>
          <w:tcPr/>
          <w:p>
            <w:pPr>
              <w:pStyle w:val="Compact"/>
              <w:jc w:val="center"/>
            </w:pPr>
            <m:oMath>
              <m:r>
                <m:rPr>
                  <m:sty m:val="b"/>
                </m:rPr>
                <m:t>0.005</m:t>
              </m:r>
            </m:oMath>
          </w:p>
        </w:tc>
        <w:tc>
          <w:tcPr/>
          <w:p>
            <w:pPr>
              <w:pStyle w:val="Compact"/>
              <w:jc w:val="center"/>
            </w:pPr>
            <m:oMath>
              <m:r>
                <m:rPr>
                  <m:sty m:val="b"/>
                </m:rPr>
                <m:t>&lt;</m:t>
              </m:r>
              <m:r>
                <m:rPr>
                  <m:sty m:val="b"/>
                </m:rPr>
                <m:t>0.001</m:t>
              </m:r>
            </m:oMath>
          </w:p>
        </w:tc>
        <w:tc>
          <w:tcPr/>
          <w:p>
            <w:pPr>
              <w:pStyle w:val="Compact"/>
              <w:jc w:val="center"/>
            </w:pPr>
            <m:oMath>
              <m:r>
                <m:t>0.410</m:t>
              </m:r>
            </m:oMath>
          </w:p>
        </w:tc>
      </w:tr>
      <w:tr>
        <w:tc>
          <w:tcPr/>
          <w:p>
            <w:pPr>
              <w:pStyle w:val="Compact"/>
              <w:jc w:val="left"/>
            </w:pPr>
            <m:oMath>
              <m:sSubSup>
                <m:e>
                  <m:r>
                    <m:t>F</m:t>
                  </m:r>
                </m:e>
                <m:sub>
                  <m:r>
                    <m:t>o</m:t>
                  </m:r>
                </m:sub>
                <m:sup>
                  <m:r>
                    <m:t>2021</m:t>
                  </m:r>
                </m:sup>
              </m:sSubSup>
            </m:oMath>
            <w:r>
              <w:t xml:space="preserve"> </w:t>
            </w:r>
            <w:r>
              <w:t xml:space="preserve">mediana ponderada</w:t>
            </w:r>
          </w:p>
        </w:tc>
        <w:tc>
          <w:tcPr>
            <w:gridSpan w:val="3"/>
          </w:tcPr>
          <w:p>
            <w:pPr>
              <w:pStyle w:val="Compact"/>
              <w:jc w:val="center"/>
            </w:pPr>
            <m:oMath>
              <m:r>
                <m:t>0.225</m:t>
              </m:r>
            </m:oMath>
          </w:p>
        </w:tc>
      </w:tr>
      <w:tr>
        <w:tc>
          <w:tcPr/>
          <w:p>
            <w:pPr>
              <w:pStyle w:val="Compact"/>
              <w:jc w:val="left"/>
            </w:pPr>
            <w:r>
              <w:t xml:space="preserve">N celdas</w:t>
            </w:r>
          </w:p>
        </w:tc>
        <w:tc>
          <w:tcPr>
            <w:gridSpan w:val="3"/>
          </w:tcPr>
          <w:p>
            <w:pPr>
              <w:pStyle w:val="Compact"/>
              <w:jc w:val="center"/>
            </w:pPr>
            <m:oMath>
              <m:r>
                <m:t>2</m:t>
              </m:r>
              <m:r>
                <m:rPr>
                  <m:sty m:val="p"/>
                </m:rPr>
                <m:t>,</m:t>
              </m:r>
              <m:r>
                <m:t>078</m:t>
              </m:r>
            </m:oMath>
          </w:p>
        </w:tc>
      </w:tr>
    </w:tbl>
    <w:bookmarkEnd w:id="64"/>
    <w:p>
      <w:pPr>
        <w:pStyle w:val="BodyText"/>
      </w:pPr>
      <w:r>
        <w:rPr>
          <w:i/>
          <w:iCs/>
        </w:rPr>
        <w:t xml:space="preserve">Notas:</w:t>
      </w:r>
      <w:r>
        <w:t xml:space="preserve"> </w:t>
      </w:r>
      <w:r>
        <w:t xml:space="preserve">Estimaciones de la</w:t>
      </w:r>
      <w:r>
        <w:t xml:space="preserve"> </w:t>
      </w:r>
      <w:hyperlink w:anchor="eq:formality_interaction">
        <w:r>
          <w:rPr>
            <w:rStyle w:val="Hyperlink"/>
          </w:rPr>
          <w:t xml:space="preserve">[eq:formality_interaction]</w:t>
        </w:r>
      </w:hyperlink>
      <w:r>
        <w:t xml:space="preserve">. La regresión incluye efectos fijos de ocupación y de tiempo, está ponderada por el empleo expandido por la encuesta y emplea errores estándar agrupados a nivel de ocupación CIUO-08 a cuatro dígitos. El test de igualdad entre canales usa la aproximación normal para la diferencia</w:t>
      </w:r>
      <w:r>
        <w:t xml:space="preserve"> </w:t>
      </w:r>
      <m:oMath>
        <m:sSub>
          <m:e>
            <m:acc>
              <m:accPr>
                <m:chr m:val="̂"/>
              </m:accPr>
              <m:e>
                <m:r>
                  <m:t>τ</m:t>
                </m:r>
              </m:e>
            </m:acc>
          </m:e>
          <m:sub>
            <m:r>
              <m:t>F</m:t>
            </m:r>
          </m:sub>
        </m:sSub>
        <m:r>
          <m:rPr>
            <m:sty m:val="p"/>
          </m:rPr>
          <m:t>−</m:t>
        </m:r>
        <m:sSub>
          <m:e>
            <m:acc>
              <m:accPr>
                <m:chr m:val="̂"/>
              </m:accPr>
              <m:e>
                <m:r>
                  <m:t>τ</m:t>
                </m:r>
              </m:e>
            </m:acc>
          </m:e>
          <m:sub>
            <m:r>
              <m:t>I</m:t>
            </m:r>
          </m:sub>
        </m:sSub>
      </m:oMath>
      <w:r>
        <w:t xml:space="preserve"> </w:t>
      </w:r>
      <w:r>
        <w:t xml:space="preserve">con la covarianza completa estimada a partir de la matriz robusta del modelo. ***</w:t>
      </w:r>
      <w:r>
        <w:t xml:space="preserve"> </w:t>
      </w:r>
      <m:oMath>
        <m:r>
          <m:t>p</m:t>
        </m:r>
        <m:r>
          <m:rPr>
            <m:sty m:val="p"/>
          </m:rPr>
          <m:t>&lt;</m:t>
        </m:r>
        <m:r>
          <m:t>0.01</m:t>
        </m:r>
      </m:oMath>
      <w:r>
        <w:t xml:space="preserve">, **</w:t>
      </w:r>
      <w:r>
        <w:t xml:space="preserve"> </w:t>
      </w:r>
      <m:oMath>
        <m:r>
          <m:t>p</m:t>
        </m:r>
        <m:r>
          <m:rPr>
            <m:sty m:val="p"/>
          </m:rPr>
          <m:t>&lt;</m:t>
        </m:r>
        <m:r>
          <m:t>0.05</m:t>
        </m:r>
      </m:oMath>
      <w:r>
        <w:t xml:space="preserve">, *</w:t>
      </w:r>
      <w:r>
        <w:t xml:space="preserve"> </w:t>
      </w:r>
      <m:oMath>
        <m:r>
          <m:t>p</m:t>
        </m:r>
        <m:r>
          <m:rPr>
            <m:sty m:val="p"/>
          </m:rPr>
          <m:t>&lt;</m:t>
        </m:r>
        <m:r>
          <m:t>0.10</m:t>
        </m:r>
      </m:oMath>
      <w:r>
        <w:t xml:space="preserve">.</w:t>
      </w:r>
    </w:p>
    <w:bookmarkStart w:id="68" w:name="fig:peru_heterogeneity"/>
    <w:p>
      <w:pPr>
        <w:pStyle w:val="CaptionedFigure"/>
      </w:pPr>
      <w:r>
        <w:drawing>
          <wp:inline>
            <wp:extent cx="5067300" cy="2533650"/>
            <wp:effectExtent b="0" l="0" r="0" t="0"/>
            <wp:docPr descr="" title="" id="66" name="Picture"/>
            <a:graphic>
              <a:graphicData uri="http://schemas.openxmlformats.org/drawingml/2006/picture">
                <pic:pic>
                  <pic:nvPicPr>
                    <pic:cNvPr descr="figures/peru/fig_heterogeneity_formal.png" id="67" name="Picture"/>
                    <pic:cNvPicPr>
                      <a:picLocks noChangeArrowheads="1" noChangeAspect="1"/>
                    </pic:cNvPicPr>
                  </pic:nvPicPr>
                  <pic:blipFill>
                    <a:blip r:embed="rId65"/>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rPr>
          <w:i/>
          <w:iCs/>
        </w:rPr>
        <w:t xml:space="preserve">Heterogeneidad de</w:t>
      </w:r>
      <w:r>
        <w:rPr>
          <w:i/>
          <w:iCs/>
        </w:rPr>
        <w:t xml:space="preserve"> </w:t>
      </w:r>
      <m:oMath>
        <m:sSup>
          <m:e>
            <m:acc>
              <m:accPr>
                <m:chr m:val="̂"/>
              </m:accPr>
              <m:e>
                <m:r>
                  <m:t>τ</m:t>
                </m:r>
              </m:e>
            </m:acc>
          </m:e>
          <m:sup>
            <m:r>
              <m:rPr>
                <m:nor/>
                <m:sty m:val="p"/>
              </m:rPr>
              <m:t>Perú</m:t>
            </m:r>
          </m:sup>
        </m:sSup>
      </m:oMath>
      <w:r>
        <w:rPr>
          <w:i/>
          <w:iCs/>
        </w:rPr>
        <w:t xml:space="preserve"> </w:t>
      </w:r>
      <w:r>
        <w:rPr>
          <w:i/>
          <w:iCs/>
        </w:rPr>
        <w:t xml:space="preserve">por formalidad.</w:t>
      </w:r>
      <w:r>
        <w:t xml:space="preserve"> </w:t>
      </w:r>
      <w:r>
        <w:t xml:space="preserve">Coeficientes</w:t>
      </w:r>
      <w:r>
        <w:t xml:space="preserve"> </w:t>
      </w:r>
      <m:oMath>
        <m:sSub>
          <m:e>
            <m:acc>
              <m:accPr>
                <m:chr m:val="̂"/>
              </m:accPr>
              <m:e>
                <m:r>
                  <m:t>τ</m:t>
                </m:r>
              </m:e>
            </m:acc>
          </m:e>
          <m:sub>
            <m:r>
              <m:t>F</m:t>
            </m:r>
          </m:sub>
        </m:sSub>
      </m:oMath>
      <w:r>
        <w:t xml:space="preserve"> </w:t>
      </w:r>
      <w:r>
        <w:t xml:space="preserve">(canal formal) y</w:t>
      </w:r>
      <w:r>
        <w:t xml:space="preserve"> </w:t>
      </w:r>
      <m:oMath>
        <m:sSub>
          <m:e>
            <m:acc>
              <m:accPr>
                <m:chr m:val="̂"/>
              </m:accPr>
              <m:e>
                <m:r>
                  <m:t>τ</m:t>
                </m:r>
              </m:e>
            </m:acc>
          </m:e>
          <m:sub>
            <m:r>
              <m:t>I</m:t>
            </m:r>
          </m:sub>
        </m:sSub>
      </m:oMath>
      <w:r>
        <w:t xml:space="preserve"> </w:t>
      </w:r>
      <w:r>
        <w:t xml:space="preserve">(canal informal) de la</w:t>
      </w:r>
      <w:r>
        <w:t xml:space="preserve"> </w:t>
      </w:r>
      <w:hyperlink w:anchor="eq:formality_interaction">
        <w:r>
          <w:rPr>
            <w:rStyle w:val="Hyperlink"/>
          </w:rPr>
          <w:t xml:space="preserve">[eq:formality_interaction]</w:t>
        </w:r>
      </w:hyperlink>
      <w:r>
        <w:t xml:space="preserve"> </w:t>
      </w:r>
      <w:r>
        <w:t xml:space="preserve">para los tres resultados primarios, con intervalos de confianza al 95 por ciento. La diferencia entre canales es estadísticamente significativa para empleo (</w:t>
      </w:r>
      <m:oMath>
        <m:r>
          <m:t>p</m:t>
        </m:r>
        <m:r>
          <m:rPr>
            <m:sty m:val="p"/>
          </m:rPr>
          <m:t>=</m:t>
        </m:r>
        <m:r>
          <m:t>0.005</m:t>
        </m:r>
      </m:oMath>
      <w:r>
        <w:t xml:space="preserve">) y para salario por hora (</w:t>
      </w:r>
      <m:oMath>
        <m:r>
          <m:t>p</m:t>
        </m:r>
        <m:r>
          <m:rPr>
            <m:sty m:val="p"/>
          </m:rPr>
          <m:t>&lt;</m:t>
        </m:r>
        <m:r>
          <m:t>0.001</m:t>
        </m:r>
      </m:oMath>
      <w:r>
        <w:t xml:space="preserve">).</w:t>
      </w:r>
    </w:p>
    <w:bookmarkEnd w:id="68"/>
    <w:p>
      <w:pPr>
        <w:pStyle w:val="BodyText"/>
      </w:pPr>
      <w:r>
        <w:t xml:space="preserve">El cuadro empírico que emerge contradice la lectura agregada del nulo. El canal formal y el canal informal se mueven en direcciones opuestas y estadísticamente significativas en dos de los tres resultados primarios.</w:t>
      </w:r>
    </w:p>
    <w:p>
      <w:pPr>
        <w:pStyle w:val="BodyText"/>
      </w:pPr>
      <w:r>
        <w:rPr>
          <w:i/>
          <w:iCs/>
        </w:rPr>
        <w:t xml:space="preserve">Empleo.</w:t>
      </w:r>
      <w:r>
        <w:t xml:space="preserve"> </w:t>
      </w:r>
      <w:r>
        <w:t xml:space="preserve">El canal formal entrega un coeficiente positivo grande y significativo al 1 por ciento (</w:t>
      </w:r>
      <m:oMath>
        <m:sSub>
          <m:e>
            <m:acc>
              <m:accPr>
                <m:chr m:val="̂"/>
              </m:accPr>
              <m:e>
                <m:r>
                  <m:t>τ</m:t>
                </m:r>
              </m:e>
            </m:acc>
          </m:e>
          <m:sub>
            <m:r>
              <m:t>F</m:t>
            </m:r>
          </m:sub>
        </m:sSub>
        <m:r>
          <m:rPr>
            <m:sty m:val="p"/>
          </m:rPr>
          <m:t>=</m:t>
        </m:r>
        <m:r>
          <m:rPr>
            <m:sty m:val="p"/>
          </m:rPr>
          <m:t>+</m:t>
        </m:r>
        <m:r>
          <m:t>0.567</m:t>
        </m:r>
      </m:oMath>
      <w:r>
        <w:t xml:space="preserve">), mientras que el canal informal exhibe un coeficiente negativo, no significativo individualmente pero con un punto estimado sustantivo (</w:t>
      </w:r>
      <m:oMath>
        <m:sSub>
          <m:e>
            <m:acc>
              <m:accPr>
                <m:chr m:val="̂"/>
              </m:accPr>
              <m:e>
                <m:r>
                  <m:t>τ</m:t>
                </m:r>
              </m:e>
            </m:acc>
          </m:e>
          <m:sub>
            <m:r>
              <m:t>I</m:t>
            </m:r>
          </m:sub>
        </m:sSub>
        <m:r>
          <m:rPr>
            <m:sty m:val="p"/>
          </m:rPr>
          <m:t>=</m:t>
        </m:r>
        <m:r>
          <m:rPr>
            <m:sty m:val="p"/>
          </m:rPr>
          <m:t>−</m:t>
        </m:r>
        <m:r>
          <m:t>0.222</m:t>
        </m:r>
      </m:oMath>
      <w:r>
        <w:t xml:space="preserve">). El test conjunto de igualdad entre los dos canales rechaza al 1 por ciento (</w:t>
      </w:r>
      <m:oMath>
        <m:r>
          <m:t>p</m:t>
        </m:r>
        <m:r>
          <m:rPr>
            <m:sty m:val="p"/>
          </m:rPr>
          <m:t>=</m:t>
        </m:r>
        <m:r>
          <m:t>0.005</m:t>
        </m:r>
      </m:oMath>
      <w:r>
        <w:t xml:space="preserve">). Las ocupaciones de Lima Metropolitana en las que la fuerza laboral de línea base era predominantemente formal expanden el empleo en respuesta a la exposición a LLMs, mientras que las ocupaciones de línea base predominantemente informal contraen el empleo. Estos dos efectos opuestos se cancelan en el coeficiente agregado de la</w:t>
      </w:r>
      <w:r>
        <w:t xml:space="preserve"> </w:t>
      </w:r>
      <w:hyperlink w:anchor="tab:peru_main">
        <w:r>
          <w:rPr>
            <w:rStyle w:val="Hyperlink"/>
          </w:rPr>
          <w:t xml:space="preserve">6</w:t>
        </w:r>
      </w:hyperlink>
      <w:r>
        <w:t xml:space="preserve">, generando la apariencia de un nulo.</w:t>
      </w:r>
    </w:p>
    <w:p>
      <w:pPr>
        <w:pStyle w:val="BodyText"/>
      </w:pPr>
      <w:r>
        <w:rPr>
          <w:i/>
          <w:iCs/>
        </w:rPr>
        <w:t xml:space="preserve">Salario por hora.</w:t>
      </w:r>
      <w:r>
        <w:t xml:space="preserve"> </w:t>
      </w:r>
      <w:r>
        <w:t xml:space="preserve">El patrón se invierte y se vuelve incluso más nítido. El canal formal pierde salarios (</w:t>
      </w:r>
      <m:oMath>
        <m:sSub>
          <m:e>
            <m:acc>
              <m:accPr>
                <m:chr m:val="̂"/>
              </m:accPr>
              <m:e>
                <m:r>
                  <m:t>τ</m:t>
                </m:r>
              </m:e>
            </m:acc>
          </m:e>
          <m:sub>
            <m:r>
              <m:t>F</m:t>
            </m:r>
          </m:sub>
        </m:sSub>
        <m:r>
          <m:rPr>
            <m:sty m:val="p"/>
          </m:rPr>
          <m:t>=</m:t>
        </m:r>
        <m:r>
          <m:rPr>
            <m:sty m:val="p"/>
          </m:rPr>
          <m:t>−</m:t>
        </m:r>
        <m:r>
          <m:t>0.128</m:t>
        </m:r>
      </m:oMath>
      <w:r>
        <w:t xml:space="preserve">,</w:t>
      </w:r>
      <w:r>
        <w:t xml:space="preserve"> </w:t>
      </w:r>
      <m:oMath>
        <m:r>
          <m:t>p</m:t>
        </m:r>
        <m:r>
          <m:rPr>
            <m:sty m:val="p"/>
          </m:rPr>
          <m:t>&lt;</m:t>
        </m:r>
        <m:r>
          <m:t>0.05</m:t>
        </m:r>
      </m:oMath>
      <w:r>
        <w:t xml:space="preserve">), mientras que el canal informal los gana (</w:t>
      </w:r>
      <m:oMath>
        <m:sSub>
          <m:e>
            <m:acc>
              <m:accPr>
                <m:chr m:val="̂"/>
              </m:accPr>
              <m:e>
                <m:r>
                  <m:t>τ</m:t>
                </m:r>
              </m:e>
            </m:acc>
          </m:e>
          <m:sub>
            <m:r>
              <m:t>I</m:t>
            </m:r>
          </m:sub>
        </m:sSub>
        <m:r>
          <m:rPr>
            <m:sty m:val="p"/>
          </m:rPr>
          <m:t>=</m:t>
        </m:r>
        <m:r>
          <m:rPr>
            <m:sty m:val="p"/>
          </m:rPr>
          <m:t>+</m:t>
        </m:r>
        <m:r>
          <m:t>0.265</m:t>
        </m:r>
      </m:oMath>
      <w:r>
        <w:t xml:space="preserve">,</w:t>
      </w:r>
      <w:r>
        <w:t xml:space="preserve"> </w:t>
      </w:r>
      <m:oMath>
        <m:r>
          <m:t>p</m:t>
        </m:r>
        <m:r>
          <m:rPr>
            <m:sty m:val="p"/>
          </m:rPr>
          <m:t>&lt;</m:t>
        </m:r>
        <m:r>
          <m:t>0.01</m:t>
        </m:r>
      </m:oMath>
      <w:r>
        <w:t xml:space="preserve">). El test de igualdad rechaza al menos al uno por mil (</w:t>
      </w:r>
      <m:oMath>
        <m:r>
          <m:t>p</m:t>
        </m:r>
        <m:r>
          <m:rPr>
            <m:sty m:val="p"/>
          </m:rPr>
          <m:t>&lt;</m:t>
        </m:r>
        <m:r>
          <m:t>0.001</m:t>
        </m:r>
      </m:oMath>
      <w:r>
        <w:t xml:space="preserve">). Dentro del sector formal, las ocupaciones expuestas experimentan presión bajista sobre el salario hora, posiblemente derivada del ajuste intensivo en horas que documenta el coeficiente correspondiente, o bien de la entrada de más trabajadores en ocupaciones expuestas. Dentro del sector informal, el aumento de salarios entre los presentes en ocupaciones expuestas admite múltiples interpretaciones: selección positiva (los menos productivos salen de la ocupación y los que permanecen tienen mayor productividad media), poder de negociación heterogéneo, recomposición demográfica, o un canal de equilibrio general donde las firmas formales que adoptan compiten por trabajadores informales calificados, presionando el precio de mercado al alza. Los datos peruanos no permiten distinguir entre estas explicaciones porque la EPEN es un corte transversal repetido y no permite seguir individualmente a un mismo trabajador. La interpretación de selección positiva, aunque plausible, debe leerse como una lectura compatible con el patrón y no como un mecanismo identificado.</w:t>
      </w:r>
    </w:p>
    <w:p>
      <w:pPr>
        <w:pStyle w:val="BodyText"/>
      </w:pPr>
      <w:r>
        <w:rPr>
          <w:i/>
          <w:iCs/>
        </w:rPr>
        <w:t xml:space="preserve">Horas semanales.</w:t>
      </w:r>
      <w:r>
        <w:t xml:space="preserve"> </w:t>
      </w:r>
      <w:r>
        <w:t xml:space="preserve">Los dos canales se mueven en la misma dirección negativa, con magnitudes que difieren (</w:t>
      </w:r>
      <m:oMath>
        <m:sSub>
          <m:e>
            <m:acc>
              <m:accPr>
                <m:chr m:val="̂"/>
              </m:accPr>
              <m:e>
                <m:r>
                  <m:t>τ</m:t>
                </m:r>
              </m:e>
            </m:acc>
          </m:e>
          <m:sub>
            <m:r>
              <m:t>F</m:t>
            </m:r>
          </m:sub>
        </m:sSub>
        <m:r>
          <m:rPr>
            <m:sty m:val="p"/>
          </m:rPr>
          <m:t>=</m:t>
        </m:r>
        <m:r>
          <m:rPr>
            <m:sty m:val="p"/>
          </m:rPr>
          <m:t>−</m:t>
        </m:r>
        <m:r>
          <m:t>1.92</m:t>
        </m:r>
      </m:oMath>
      <w:r>
        <w:t xml:space="preserve">,</w:t>
      </w:r>
      <w:r>
        <w:t xml:space="preserve"> </w:t>
      </w:r>
      <m:oMath>
        <m:r>
          <m:t>p</m:t>
        </m:r>
        <m:r>
          <m:rPr>
            <m:sty m:val="p"/>
          </m:rPr>
          <m:t>&lt;</m:t>
        </m:r>
        <m:r>
          <m:t>0.10</m:t>
        </m:r>
      </m:oMath>
      <w:r>
        <w:t xml:space="preserve">;</w:t>
      </w:r>
      <w:r>
        <w:t xml:space="preserve"> </w:t>
      </w:r>
      <m:oMath>
        <m:sSub>
          <m:e>
            <m:acc>
              <m:accPr>
                <m:chr m:val="̂"/>
              </m:accPr>
              <m:e>
                <m:r>
                  <m:t>τ</m:t>
                </m:r>
              </m:e>
            </m:acc>
          </m:e>
          <m:sub>
            <m:r>
              <m:t>I</m:t>
            </m:r>
          </m:sub>
        </m:sSub>
        <m:r>
          <m:rPr>
            <m:sty m:val="p"/>
          </m:rPr>
          <m:t>=</m:t>
        </m:r>
        <m:r>
          <m:rPr>
            <m:sty m:val="p"/>
          </m:rPr>
          <m:t>−</m:t>
        </m:r>
        <m:r>
          <m:t>5.11</m:t>
        </m:r>
      </m:oMath>
      <w:r>
        <w:t xml:space="preserve">, no significativo) pero cuya igualdad no se rechaza (</w:t>
      </w:r>
      <m:oMath>
        <m:r>
          <m:t>p</m:t>
        </m:r>
        <m:r>
          <m:rPr>
            <m:sty m:val="p"/>
          </m:rPr>
          <m:t>=</m:t>
        </m:r>
        <m:r>
          <m:t>0.41</m:t>
        </m:r>
      </m:oMath>
      <w:r>
        <w:t xml:space="preserve">). El coeficiente formal es la fuente del agregado significativo al 5 por ciento del Panel B de la</w:t>
      </w:r>
      <w:r>
        <w:t xml:space="preserve"> </w:t>
      </w:r>
      <w:hyperlink w:anchor="tab:peru_main">
        <w:r>
          <w:rPr>
            <w:rStyle w:val="Hyperlink"/>
          </w:rPr>
          <w:t xml:space="preserve">6</w:t>
        </w:r>
      </w:hyperlink>
      <w:r>
        <w:t xml:space="preserve">; el coeficiente informal apunta en la misma dirección pero con masa muestral menor y mayor varianza.</w:t>
      </w:r>
    </w:p>
    <w:p>
      <w:pPr>
        <w:pStyle w:val="BodyText"/>
      </w:pPr>
      <w:r>
        <w:t xml:space="preserve">El</w:t>
      </w:r>
      <w:r>
        <w:t xml:space="preserve"> </w:t>
      </w:r>
      <w:hyperlink w:anchor="app:peru_subsamples">
        <w:r>
          <w:rPr>
            <w:rStyle w:val="Hyperlink"/>
          </w:rPr>
          <w:t xml:space="preserve">8.3</w:t>
        </w:r>
      </w:hyperlink>
      <w:r>
        <w:t xml:space="preserve"> </w:t>
      </w:r>
      <w:r>
        <w:t xml:space="preserve">reporta una especificación alternativa que divide la muestra en la mediana ponderada de la formalidad ocupacional (</w:t>
      </w:r>
      <m:oMath>
        <m:sSubSup>
          <m:e>
            <m:r>
              <m:t>F</m:t>
            </m:r>
          </m:e>
          <m:sub>
            <m:r>
              <m:t>o</m:t>
            </m:r>
          </m:sub>
          <m:sup>
            <m:r>
              <m:t>2021</m:t>
            </m:r>
          </m:sup>
        </m:sSubSup>
        <m:r>
          <m:rPr>
            <m:sty m:val="p"/>
          </m:rPr>
          <m:t>=</m:t>
        </m:r>
        <m:r>
          <m:t>0.225</m:t>
        </m:r>
      </m:oMath>
      <w:r>
        <w:t xml:space="preserve">). El patrón cualitativo se replica: las ocupaciones de alta formalidad de línea base ganan empleo y pierden horas, mientras que las de baja formalidad ganan salario por hora.</w:t>
      </w:r>
    </w:p>
    <w:bookmarkStart w:id="69" w:name="selección-y-márgenes-ajenos-al-modelo."/>
    <w:p>
      <w:pPr>
        <w:pStyle w:val="Heading4"/>
      </w:pPr>
      <w:r>
        <w:rPr>
          <w:rStyle w:val="SectionNumber"/>
        </w:rPr>
        <w:t xml:space="preserve">6.3.0.1</w:t>
      </w:r>
      <w:r>
        <w:tab/>
      </w:r>
      <w:r>
        <w:t xml:space="preserve">Selección y márgenes ajenos al modelo.</w:t>
      </w:r>
    </w:p>
    <w:p>
      <w:pPr>
        <w:pStyle w:val="FirstParagraph"/>
      </w:pPr>
      <w:r>
        <w:t xml:space="preserve">Los tres outcomes del</w:t>
      </w:r>
      <w:r>
        <w:t xml:space="preserve"> </w:t>
      </w:r>
      <w:hyperlink w:anchor="tab:peru_main">
        <w:r>
          <w:rPr>
            <w:rStyle w:val="Hyperlink"/>
          </w:rPr>
          <w:t xml:space="preserve">6</w:t>
        </w:r>
      </w:hyperlink>
      <w:r>
        <w:t xml:space="preserve"> </w:t>
      </w:r>
      <w:r>
        <w:t xml:space="preserve">se calculan condicional en estar ocupado. Si la exposición a LLM induce salida del empleo en una dirección correlacionada con el efecto de tratamiento, los coeficientes contienen un componente de selección no modelado. Tres canales son particularmente preocupantes. Primero, la migración entre ocupaciones: un trabajador que sale de una CIUO de alta exposición hacia una de baja exposición contribuye a reducir el empleo de la primera y aumentar el de la segunda, sin que necesariamente cambie su productividad ni su salario. Segundo, la salida del empleo hacia la inactividad o el desempleo, que recortaría la masa muestral de las ocupaciones expuestas. Tercero, la posible recomposición demográfica dentro de una CIUO entre 2021 y 2025, que el efecto fijo de ocupación no captura. Las EPEN trimestrales son cortes transversales repetidos, no un panel de trabajadores, por lo que estos márgenes no son identificables directamente con la presente especificación. La validación complementaria con la ENAHO anual nacional, prevista para la sección de robustez, permitirá acotar la magnitud de la migración ocupacional al comparar las shares de empleo CIUO entre 2021 y 2024 a nivel nacional.</w:t>
      </w:r>
    </w:p>
    <w:bookmarkEnd w:id="69"/>
    <w:bookmarkEnd w:id="70"/>
    <w:bookmarkStart w:id="71" w:name="subsec:results_narrative"/>
    <w:p>
      <w:pPr>
        <w:pStyle w:val="Heading2"/>
      </w:pPr>
      <w:r>
        <w:rPr>
          <w:rStyle w:val="SectionNumber"/>
        </w:rPr>
        <w:t xml:space="preserve">6.4</w:t>
      </w:r>
      <w:r>
        <w:tab/>
      </w:r>
      <w:r>
        <w:t xml:space="preserve">Síntesis: el patrón peruano y las narrativas preregistradas</w:t>
      </w:r>
    </w:p>
    <w:p>
      <w:pPr>
        <w:pStyle w:val="FirstParagraph"/>
      </w:pPr>
      <w:r>
        <w:t xml:space="preserve">Es importante ser honesto sobre la mapeo de los resultados peruanos a las cuatro narrativas preregistradas en la</w:t>
      </w:r>
      <w:r>
        <w:t xml:space="preserve"> </w:t>
      </w:r>
      <w:hyperlink w:anchor="subsec:method_narratives">
        <w:r>
          <w:rPr>
            <w:rStyle w:val="Hyperlink"/>
          </w:rPr>
          <w:t xml:space="preserve">4.8</w:t>
        </w:r>
      </w:hyperlink>
      <w:r>
        <w:t xml:space="preserve">. Ninguna de las cuatro reproduce exactamente el patrón observado en Lima Metropolitana.</w:t>
      </w:r>
    </w:p>
    <w:p>
      <w:pPr>
        <w:pStyle w:val="BodyText"/>
      </w:pPr>
      <w:r>
        <w:t xml:space="preserve">La Narrativa A (la informalidad amplifica) requería</w:t>
      </w:r>
      <w:r>
        <w:t xml:space="preserve"> </w:t>
      </w:r>
      <m:oMath>
        <m:sSubSup>
          <m:e>
            <m:r>
              <m:t>τ</m:t>
            </m:r>
          </m:e>
          <m:sub>
            <m:r>
              <m:t>I</m:t>
            </m:r>
          </m:sub>
          <m:sup>
            <m:r>
              <m:t>c</m:t>
            </m:r>
          </m:sup>
        </m:sSubSup>
        <m:r>
          <m:rPr>
            <m:sty m:val="p"/>
          </m:rPr>
          <m:t>&lt;</m:t>
        </m:r>
        <m:sSubSup>
          <m:e>
            <m:r>
              <m:t>τ</m:t>
            </m:r>
          </m:e>
          <m:sub>
            <m:r>
              <m:t>F</m:t>
            </m:r>
          </m:sub>
          <m:sup>
            <m:r>
              <m:t>c</m:t>
            </m:r>
          </m:sup>
        </m:sSubSup>
        <m:r>
          <m:rPr>
            <m:sty m:val="p"/>
          </m:rPr>
          <m:t>&lt;</m:t>
        </m:r>
        <m:r>
          <m:t>0</m:t>
        </m:r>
      </m:oMath>
      <w:r>
        <w:t xml:space="preserve"> </w:t>
      </w:r>
      <w:r>
        <w:t xml:space="preserve">con un agregado significativo. Lima muestra</w:t>
      </w:r>
      <w:r>
        <w:t xml:space="preserve"> </w:t>
      </w:r>
      <m:oMath>
        <m:sSubSup>
          <m:e>
            <m:r>
              <m:t>τ</m:t>
            </m:r>
          </m:e>
          <m:sub>
            <m:r>
              <m:t>F</m:t>
            </m:r>
          </m:sub>
          <m:sup>
            <m:r>
              <m:rPr>
                <m:nor/>
                <m:sty m:val="p"/>
              </m:rPr>
              <m:t>empleo</m:t>
            </m:r>
          </m:sup>
        </m:sSubSup>
      </m:oMath>
      <w:r>
        <w:t xml:space="preserve"> </w:t>
      </w:r>
      <w:r>
        <w:t xml:space="preserve">positivo, no negativo. La Narrativa B (replicación del nulo) requería efectos indistinguibles de cero en ambos canales; el resultado peruano contradice esto al rechazar la igualdad entre canales en empleo y salario. La Narrativa C (nulo formal, grande informal) requería</w:t>
      </w:r>
      <w:r>
        <w:t xml:space="preserve"> </w:t>
      </w:r>
      <m:oMath>
        <m:sSubSup>
          <m:e>
            <m:r>
              <m:t>τ</m:t>
            </m:r>
          </m:e>
          <m:sub>
            <m:r>
              <m:t>F</m:t>
            </m:r>
          </m:sub>
          <m:sup>
            <m:r>
              <m:t>c</m:t>
            </m:r>
          </m:sup>
        </m:sSubSup>
        <m:r>
          <m:rPr>
            <m:sty m:val="p"/>
          </m:rPr>
          <m:t>≈</m:t>
        </m:r>
        <m:r>
          <m:t>0</m:t>
        </m:r>
      </m:oMath>
      <w:r>
        <w:t xml:space="preserve">, lo cual tampoco coincide con la magnitud y significancia del canal formal observado. La Narrativa D, finalmente, predecía ganancias salariales positivas en formales urbanos con educación terciaria; el resultado peruano muestra el signo</w:t>
      </w:r>
      <w:r>
        <w:t xml:space="preserve"> </w:t>
      </w:r>
      <w:r>
        <w:rPr>
          <w:i/>
          <w:iCs/>
        </w:rPr>
        <w:t xml:space="preserve">opuesto</w:t>
      </w:r>
      <w:r>
        <w:t xml:space="preserve"> </w:t>
      </w:r>
      <w:r>
        <w:t xml:space="preserve">sobre salarios formales (</w:t>
      </w:r>
      <m:oMath>
        <m:sSubSup>
          <m:e>
            <m:acc>
              <m:accPr>
                <m:chr m:val="̂"/>
              </m:accPr>
              <m:e>
                <m:r>
                  <m:t>τ</m:t>
                </m:r>
              </m:e>
            </m:acc>
          </m:e>
          <m:sub>
            <m:r>
              <m:t>F</m:t>
            </m:r>
          </m:sub>
          <m:sup>
            <m:r>
              <m:rPr>
                <m:nor/>
                <m:sty m:val="p"/>
              </m:rPr>
              <m:t>salario</m:t>
            </m:r>
          </m:sup>
        </m:sSubSup>
        <m:r>
          <m:rPr>
            <m:sty m:val="p"/>
          </m:rPr>
          <m:t>=</m:t>
        </m:r>
        <m:r>
          <m:rPr>
            <m:sty m:val="p"/>
          </m:rPr>
          <m:t>−</m:t>
        </m:r>
        <m:r>
          <m:t>0.128</m:t>
        </m:r>
      </m:oMath>
      <w:r>
        <w:t xml:space="preserve">) aunque sí confirma la concentración del efecto en el sector formal.</w:t>
      </w:r>
    </w:p>
    <w:p>
      <w:pPr>
        <w:pStyle w:val="BodyText"/>
      </w:pPr>
      <w:r>
        <w:t xml:space="preserve">Lo que los datos peruanos describen mejor es un quinto patrón, articulado aquí por primera vez tras observar la evidencia y, por tanto, identificado explícitamente como exploratorio:</w:t>
      </w:r>
    </w:p>
    <w:p>
      <w:pPr>
        <w:pStyle w:val="BlockText"/>
      </w:pPr>
      <w:r>
        <w:rPr>
          <w:i/>
          <w:iCs/>
        </w:rPr>
        <w:t xml:space="preserve">Patrón peruano (P).</w:t>
      </w:r>
      <w:r>
        <w:t xml:space="preserve"> </w:t>
      </w:r>
      <w:r>
        <w:t xml:space="preserve">Las ocupaciones formales-dominantes expuestas a LLMs experimentan expansión del empleo y reducción de horas por trabajador, con presión bajista sobre el salario por hora; las ocupaciones informales-dominantes expuestas exhiben contracción débil del empleo combinada con salarios al alza entre los presentes en la ocupación.</w:t>
      </w:r>
    </w:p>
    <w:p>
      <w:pPr>
        <w:pStyle w:val="FirstParagraph"/>
      </w:pPr>
      <w:r>
        <w:t xml:space="preserve">Este patrón es consistente con un canal de complementariedad sesgada por habilidad en el sector formal acompañado de ajuste intensivo (ya sea por sustitución parcial de tareas o por entrada de más trabajadores), más un canal de recomposición en el sector informal cuyo mecanismo subyacente no se identifica con cortes transversales repetidos. La contribución del paper pasa, entonces, de "qué narrativa apoya Perú" a "Perú sugiere un quinto patrón que ninguna de las preregistradas anticipa". Este quinto patrón se añade al conjunto de hipótesis que serán preregistradas formalmente antes de mirar el dato post-tratamiento de los cinco países restantes.</w:t>
      </w:r>
    </w:p>
    <w:p>
      <w:pPr>
        <w:pStyle w:val="BodyText"/>
      </w:pPr>
      <w:r>
        <w:t xml:space="preserve">La lectura conjunta es que Lima Metropolitana no replica el nulo danés de</w:t>
      </w:r>
      <w:r>
        <w:t xml:space="preserve"> </w:t>
      </w:r>
      <w:r>
        <w:t xml:space="preserve">Humlum and Vestergaard (2025a)</w:t>
      </w:r>
      <w:r>
        <w:t xml:space="preserve"> </w:t>
      </w:r>
      <w:r>
        <w:t xml:space="preserve">en el agregado, pero esa similitud agregada es un artefacto de la cancelación entre canales formal e informal con signos opuestos. La estructura segmentada del mercado laboral peruano hace que el shock de los LLMs opere de manera materialmente distinta sobre los dos sectores, y este efecto diferencial es la contribución empírica central del análisis para Lima Metropolitana.</w:t>
      </w:r>
    </w:p>
    <w:bookmarkEnd w:id="71"/>
    <w:bookmarkEnd w:id="72"/>
    <w:bookmarkStart w:id="74" w:name="sec:conclusion"/>
    <w:p>
      <w:pPr>
        <w:pStyle w:val="Heading1"/>
      </w:pPr>
      <w:r>
        <w:rPr>
          <w:rStyle w:val="SectionNumber"/>
        </w:rPr>
        <w:t xml:space="preserve">7</w:t>
      </w:r>
      <w:r>
        <w:tab/>
      </w:r>
      <w:r>
        <w:t xml:space="preserve">Conclusiones [Perú,...]</w:t>
      </w:r>
    </w:p>
    <w:p>
      <w:pPr>
        <w:pStyle w:val="FirstParagraph"/>
      </w:pPr>
      <w:r>
        <w:t xml:space="preserve">Esta versión del artículo presenta resultados preliminares para un solo país. Se reportan las estimaciones causales para Perú (Lima Metropolitana, EPEN trimestral 2021T1–2025T4), construidas sobre el panel armonizado a CIUO-08 a cuatro dígitos descrito en la</w:t>
      </w:r>
      <w:r>
        <w:t xml:space="preserve"> </w:t>
      </w:r>
      <w:hyperlink w:anchor="sec:data">
        <w:r>
          <w:rPr>
            <w:rStyle w:val="Hyperlink"/>
          </w:rPr>
          <w:t xml:space="preserve">5</w:t>
        </w:r>
      </w:hyperlink>
      <w:r>
        <w:t xml:space="preserve">. La aplicación del mismo diseño a Costa Rica, Colombia, Ecuador, México y Uruguay queda pendiente, y con ello también queda pendiente la comparación entre países que constituye la contribución empírica central del artículo. Las afirmaciones a continuación deben leerse como caracterización de Lima Metropolitana, no como evidencia regional para América Latina.</w:t>
      </w:r>
    </w:p>
    <w:p>
      <w:pPr>
        <w:pStyle w:val="BodyText"/>
      </w:pPr>
      <w:r>
        <w:t xml:space="preserve">De la evidencia peruana emergen tres conclusiones. La más sorprendente es que la lectura agregada del shock de los LLMs en Lima Metropolitana resulta engañosamente nula. La especificación continua TWFE arroja coeficientes pequeños y estadísticamente indistinguibles de cero al 95 por ciento sobre los tres resultados primarios. Leída en aislamiento, esa estimación sugeriría una replicación del nulo de</w:t>
      </w:r>
      <w:r>
        <w:t xml:space="preserve"> </w:t>
      </w:r>
      <w:r>
        <w:t xml:space="preserve">Humlum and Vestergaard (2025a)</w:t>
      </w:r>
      <w:r>
        <w:t xml:space="preserve">. La especificación binaria de</w:t>
      </w:r>
      <w:r>
        <w:t xml:space="preserve"> </w:t>
      </w:r>
      <w:r>
        <w:t xml:space="preserve">Callaway and Sant’Anna (2021)</w:t>
      </w:r>
      <w:r>
        <w:t xml:space="preserve"> </w:t>
      </w:r>
      <w:r>
        <w:t xml:space="preserve">sobre la submuestra balanceada matiza la lectura: entrega un efecto positivo sobre el empleo (</w:t>
      </w:r>
      <m:oMath>
        <m:r>
          <m:rPr>
            <m:sty m:val="p"/>
          </m:rPr>
          <m:t>+</m:t>
        </m:r>
        <m:r>
          <m:t>14.4</m:t>
        </m:r>
      </m:oMath>
      <w:r>
        <w:t xml:space="preserve"> </w:t>
      </w:r>
      <w:r>
        <w:t xml:space="preserve">por ciento,</w:t>
      </w:r>
      <w:r>
        <w:t xml:space="preserve"> </w:t>
      </w:r>
      <m:oMath>
        <m:r>
          <m:t>p</m:t>
        </m:r>
        <m:r>
          <m:rPr>
            <m:sty m:val="p"/>
          </m:rPr>
          <m:t>&lt;</m:t>
        </m:r>
        <m:r>
          <m:t>0.01</m:t>
        </m:r>
      </m:oMath>
      <w:r>
        <w:t xml:space="preserve">) y un efecto negativo sobre las horas semanales (</w:t>
      </w:r>
      <m:oMath>
        <m:r>
          <m:rPr>
            <m:sty m:val="p"/>
          </m:rPr>
          <m:t>−</m:t>
        </m:r>
        <m:r>
          <m:t>0.80</m:t>
        </m:r>
      </m:oMath>
      <w:r>
        <w:t xml:space="preserve">,</w:t>
      </w:r>
      <w:r>
        <w:t xml:space="preserve"> </w:t>
      </w:r>
      <m:oMath>
        <m:r>
          <m:t>p</m:t>
        </m:r>
        <m:r>
          <m:rPr>
            <m:sty m:val="p"/>
          </m:rPr>
          <m:t>&lt;</m:t>
        </m:r>
        <m:r>
          <m:t>0.05</m:t>
        </m:r>
      </m:oMath>
      <w:r>
        <w:t xml:space="preserve">). La heterogeneidad por estimador es, por sí misma, informativa sobre las limitaciones de TWFE en presencia de respuestas heterogéneas a la dosis.</w:t>
      </w:r>
    </w:p>
    <w:p>
      <w:pPr>
        <w:pStyle w:val="BodyText"/>
      </w:pPr>
      <w:r>
        <w:t xml:space="preserve">La fuente principal del cuadro empírico es la heterogeneidad por formalidad de línea base. Los canales formal e informal se mueven en direcciones opuestas y con magnitudes estadísticamente significativas. En empleo el contraste es</w:t>
      </w:r>
      <w:r>
        <w:t xml:space="preserve"> </w:t>
      </w:r>
      <m:oMath>
        <m:sSub>
          <m:e>
            <m:acc>
              <m:accPr>
                <m:chr m:val="̂"/>
              </m:accPr>
              <m:e>
                <m:r>
                  <m:t>τ</m:t>
                </m:r>
              </m:e>
            </m:acc>
          </m:e>
          <m:sub>
            <m:r>
              <m:t>F</m:t>
            </m:r>
          </m:sub>
        </m:sSub>
        <m:r>
          <m:rPr>
            <m:sty m:val="p"/>
          </m:rPr>
          <m:t>=</m:t>
        </m:r>
        <m:r>
          <m:rPr>
            <m:sty m:val="p"/>
          </m:rPr>
          <m:t>+</m:t>
        </m:r>
        <m:r>
          <m:t>0.567</m:t>
        </m:r>
      </m:oMath>
      <w:r>
        <w:t xml:space="preserve"> </w:t>
      </w:r>
      <w:r>
        <w:t xml:space="preserve">vs. </w:t>
      </w:r>
      <m:oMath>
        <m:sSub>
          <m:e>
            <m:acc>
              <m:accPr>
                <m:chr m:val="̂"/>
              </m:accPr>
              <m:e>
                <m:r>
                  <m:t>τ</m:t>
                </m:r>
              </m:e>
            </m:acc>
          </m:e>
          <m:sub>
            <m:r>
              <m:t>I</m:t>
            </m:r>
          </m:sub>
        </m:sSub>
        <m:r>
          <m:rPr>
            <m:sty m:val="p"/>
          </m:rPr>
          <m:t>=</m:t>
        </m:r>
        <m:r>
          <m:rPr>
            <m:sty m:val="p"/>
          </m:rPr>
          <m:t>−</m:t>
        </m:r>
        <m:r>
          <m:t>0.222</m:t>
        </m:r>
      </m:oMath>
      <w:r>
        <w:t xml:space="preserve"> </w:t>
      </w:r>
      <w:r>
        <w:t xml:space="preserve">(test de igualdad</w:t>
      </w:r>
      <w:r>
        <w:t xml:space="preserve"> </w:t>
      </w:r>
      <m:oMath>
        <m:r>
          <m:t>p</m:t>
        </m:r>
        <m:r>
          <m:rPr>
            <m:sty m:val="p"/>
          </m:rPr>
          <m:t>=</m:t>
        </m:r>
        <m:r>
          <m:t>0.005</m:t>
        </m:r>
      </m:oMath>
      <w:r>
        <w:t xml:space="preserve">). En salario por hora es</w:t>
      </w:r>
      <w:r>
        <w:t xml:space="preserve"> </w:t>
      </w:r>
      <m:oMath>
        <m:sSub>
          <m:e>
            <m:acc>
              <m:accPr>
                <m:chr m:val="̂"/>
              </m:accPr>
              <m:e>
                <m:r>
                  <m:t>τ</m:t>
                </m:r>
              </m:e>
            </m:acc>
          </m:e>
          <m:sub>
            <m:r>
              <m:t>F</m:t>
            </m:r>
          </m:sub>
        </m:sSub>
        <m:r>
          <m:rPr>
            <m:sty m:val="p"/>
          </m:rPr>
          <m:t>=</m:t>
        </m:r>
        <m:r>
          <m:rPr>
            <m:sty m:val="p"/>
          </m:rPr>
          <m:t>−</m:t>
        </m:r>
        <m:r>
          <m:t>0.128</m:t>
        </m:r>
      </m:oMath>
      <w:r>
        <w:t xml:space="preserve"> </w:t>
      </w:r>
      <w:r>
        <w:t xml:space="preserve">vs. </w:t>
      </w:r>
      <m:oMath>
        <m:sSub>
          <m:e>
            <m:acc>
              <m:accPr>
                <m:chr m:val="̂"/>
              </m:accPr>
              <m:e>
                <m:r>
                  <m:t>τ</m:t>
                </m:r>
              </m:e>
            </m:acc>
          </m:e>
          <m:sub>
            <m:r>
              <m:t>I</m:t>
            </m:r>
          </m:sub>
        </m:sSub>
        <m:r>
          <m:rPr>
            <m:sty m:val="p"/>
          </m:rPr>
          <m:t>=</m:t>
        </m:r>
        <m:r>
          <m:rPr>
            <m:sty m:val="p"/>
          </m:rPr>
          <m:t>+</m:t>
        </m:r>
        <m:r>
          <m:t>0.265</m:t>
        </m:r>
      </m:oMath>
      <w:r>
        <w:t xml:space="preserve"> </w:t>
      </w:r>
      <w:r>
        <w:t xml:space="preserve">(</w:t>
      </w:r>
      <m:oMath>
        <m:r>
          <m:t>p</m:t>
        </m:r>
        <m:r>
          <m:rPr>
            <m:sty m:val="p"/>
          </m:rPr>
          <m:t>&lt;</m:t>
        </m:r>
        <m:r>
          <m:t>0.001</m:t>
        </m:r>
      </m:oMath>
      <w:r>
        <w:t xml:space="preserve">). Los nulos agregados emergen como resultado mecánico de cancelación entre canales con signos opuestos, no como evidencia de ausencia de efecto. La preregistración de la formalidad como dimensión central de heterogeneidad queda, así, empíricamente justificada.</w:t>
      </w:r>
    </w:p>
    <w:p>
      <w:pPr>
        <w:pStyle w:val="BodyText"/>
      </w:pPr>
      <w:r>
        <w:t xml:space="preserve">La lectura cualitativa peruana se adapta a una versión refinada de la</w:t>
      </w:r>
      <w:r>
        <w:t xml:space="preserve"> </w:t>
      </w:r>
      <w:r>
        <w:rPr>
          <w:i/>
          <w:iCs/>
        </w:rPr>
        <w:t xml:space="preserve">Narrativa D</w:t>
      </w:r>
      <w:r>
        <w:t xml:space="preserve"> </w:t>
      </w:r>
      <w:r>
        <w:t xml:space="preserve">preregistrada. Las firmas formales que adoptan herramientas con LLM expanden el empleo en ocupaciones expuestas (margen extensivo positivo) y reducen las horas semanales por trabajador (ajuste intensivo). El sector informal exhibe una contracción débil del empleo combinada con selección positiva en salarios entre los trabajadores que permanecen en ocupaciones expuestas. Este cuadro contradice la lectura de complementariedad uniforme del sector formal de la OCDE y entrega un mecanismo distinto: complementariedad sesgada por habilidad, modulada por la segmentación estructural del mercado laboral.</w:t>
      </w:r>
    </w:p>
    <w:bookmarkStart w:id="73" w:name="limitaciones-y-trabajo-en-curso."/>
    <w:p>
      <w:pPr>
        <w:pStyle w:val="Heading4"/>
      </w:pPr>
      <w:r>
        <w:rPr>
          <w:rStyle w:val="SectionNumber"/>
        </w:rPr>
        <w:t xml:space="preserve">7.0.0.1</w:t>
      </w:r>
      <w:r>
        <w:tab/>
      </w:r>
      <w:r>
        <w:t xml:space="preserve">Limitaciones y trabajo en curso.</w:t>
      </w:r>
    </w:p>
    <w:p>
      <w:pPr>
        <w:pStyle w:val="FirstParagraph"/>
      </w:pPr>
      <w:r>
        <w:t xml:space="preserve">El análisis actual tiene cinco limitaciones que orientan la versión siguiente del artículo. La más evidente es geográfica: el alcance de la EPEN restringe la representatividad a Lima Metropolitana y no al Perú entero. Una segunda limitación proviene de la propia definición de formalidad. La construcción basada en</w:t>
      </w:r>
      <w:r>
        <w:t xml:space="preserve"> </w:t>
      </w:r>
      <w:r>
        <w:rPr>
          <w:rStyle w:val="VerbatimChar"/>
        </w:rPr>
        <w:t xml:space="preserve">seguro1</w:t>
      </w:r>
      <w:r>
        <w:t xml:space="preserve"> </w:t>
      </w:r>
      <w:r>
        <w:t xml:space="preserve">aproxima la formalidad vía afiliación a ESSALUD, mientras que la ENAHO anual permitiría una validación con la definición estándar OIT basada en pensiones. La tercera limitación es metodológica: la armonización del clasificador ocupacional descansa en pesos posteriores empíricos cuya sensibilidad a esquemas alternativos será contrastada en la escalera de robustez de la</w:t>
      </w:r>
      <w:r>
        <w:t xml:space="preserve"> </w:t>
      </w:r>
      <w:hyperlink w:anchor="tab:peru_classifier_ladder">
        <w:r>
          <w:rPr>
            <w:rStyle w:val="Hyperlink"/>
          </w:rPr>
          <w:t xml:space="preserve">3</w:t>
        </w:r>
      </w:hyperlink>
      <w:r>
        <w:t xml:space="preserve">. También quedan pendientes las medidas alternativas de exposición (</w:t>
      </w:r>
      <m:oMath>
        <m:r>
          <m:t>α</m:t>
        </m:r>
      </m:oMath>
      <w:r>
        <w:t xml:space="preserve">,</w:t>
      </w:r>
      <w:r>
        <w:t xml:space="preserve"> </w:t>
      </w:r>
      <m:oMath>
        <m:r>
          <m:t>ζ</m:t>
        </m:r>
      </m:oMath>
      <w:r>
        <w:t xml:space="preserve">, Webb, Felten) y el donut DiD que excluye los trimestres adyacentes al cambio de clasificador. Por último, y de orden mayor, los países restantes del artículo (Costa Rica, Colombia, Ecuador, México y Uruguay) requieren la replicación del pipeline para entregar las seis estimaciones</w:t>
      </w:r>
      <w:r>
        <w:t xml:space="preserve"> </w:t>
      </w:r>
      <m:oMath>
        <m:r>
          <m:rPr>
            <m:sty m:val="p"/>
          </m:rPr>
          <m:t>{</m:t>
        </m:r>
        <m:sSup>
          <m:e>
            <m:acc>
              <m:accPr>
                <m:chr m:val="̂"/>
              </m:accPr>
              <m:e>
                <m:r>
                  <m:t>τ</m:t>
                </m:r>
              </m:e>
            </m:acc>
          </m:e>
          <m:sup>
            <m:r>
              <m:t>c</m:t>
            </m:r>
          </m:sup>
        </m:sSup>
        <m:sSubSup>
          <m:e>
            <m:r>
              <m:rPr>
                <m:sty m:val="p"/>
              </m:rPr>
              <m:t>}</m:t>
            </m:r>
          </m:e>
          <m:sub>
            <m:r>
              <m:t>c</m:t>
            </m:r>
            <m:r>
              <m:rPr>
                <m:sty m:val="p"/>
              </m:rPr>
              <m:t>=</m:t>
            </m:r>
            <m:r>
              <m:t>1</m:t>
            </m:r>
          </m:sub>
          <m:sup>
            <m:r>
              <m:t>6</m:t>
            </m:r>
          </m:sup>
        </m:sSubSup>
      </m:oMath>
      <w:r>
        <w:t xml:space="preserve"> </w:t>
      </w:r>
      <w:r>
        <w:t xml:space="preserve">que constituyen el resultado principal preregistrado.</w:t>
      </w:r>
    </w:p>
    <w:p>
      <w:pPr>
        <w:pStyle w:val="BodyText"/>
      </w:pPr>
      <w:r>
        <w:t xml:space="preserve">La versión final del artículo contrastará los seis países lado a lado e identificará cuál de las cuatro narrativas preregistradas se sostiene en cada país. Los resultados peruanos sugieren que el agregado regional puede esconder heterogeneidades de signo entre canales formal e informal que merecen estimación separada en cada país, y que la evidencia causal sobre el efecto laboral de los LLMs en América Latina probablemente difiera de las primeras estimaciones causales de economías de la OCDE no por replicación del nulo, sino por la mediación de instituciones de mercado laboral específicas de la región.</w:t>
      </w:r>
    </w:p>
    <w:bookmarkEnd w:id="73"/>
    <w:bookmarkEnd w:id="74"/>
    <w:bookmarkStart w:id="171" w:name="sec:appendices"/>
    <w:p>
      <w:pPr>
        <w:pStyle w:val="Heading1"/>
      </w:pPr>
      <w:r>
        <w:rPr>
          <w:rStyle w:val="SectionNumber"/>
        </w:rPr>
        <w:t xml:space="preserve">8</w:t>
      </w:r>
      <w:r>
        <w:tab/>
      </w:r>
      <w:r>
        <w:t xml:space="preserve">Apéndices</w:t>
      </w:r>
    </w:p>
    <w:bookmarkStart w:id="80" w:name="app:peru_imputation"/>
    <w:p>
      <w:pPr>
        <w:pStyle w:val="Heading2"/>
      </w:pPr>
      <w:r>
        <w:rPr>
          <w:rStyle w:val="SectionNumber"/>
        </w:rPr>
        <w:t xml:space="preserve">8.1</w:t>
      </w:r>
      <w:r>
        <w:tab/>
      </w:r>
      <w:r>
        <w:t xml:space="preserve">Armonización del clasificador ocupacional para Perú</w:t>
      </w:r>
    </w:p>
    <w:p>
      <w:pPr>
        <w:pStyle w:val="FirstParagraph"/>
      </w:pPr>
      <w:r>
        <w:t xml:space="preserve">Este apéndice documenta el procedimiento completo de armonización CO-1995</w:t>
      </w:r>
      <w:r>
        <w:t xml:space="preserve"> </w:t>
      </w:r>
      <m:oMath>
        <m:r>
          <m:rPr>
            <m:sty m:val="p"/>
          </m:rPr>
          <m:t>→</m:t>
        </m:r>
      </m:oMath>
      <w:r>
        <w:t xml:space="preserve"> </w:t>
      </w:r>
      <w:r>
        <w:t xml:space="preserve">CIUO-08 que sustenta la</w:t>
      </w:r>
      <w:r>
        <w:t xml:space="preserve"> </w:t>
      </w:r>
      <w:hyperlink w:anchor="subsec:data_peru">
        <w:r>
          <w:rPr>
            <w:rStyle w:val="Hyperlink"/>
          </w:rPr>
          <w:t xml:space="preserve">5.1</w:t>
        </w:r>
      </w:hyperlink>
      <w:r>
        <w:t xml:space="preserve"> </w:t>
      </w:r>
      <w:r>
        <w:t xml:space="preserve">del cuerpo principal. Se incluye la estructura de los cuatro Anexos del INEI, la ecuación de los pesos posteriores empíricos, el supuesto identificador del crosswalk, y el detalle de las tres pruebas de validación.</w:t>
      </w:r>
    </w:p>
    <w:bookmarkStart w:id="76" w:name="los-cuatro-anexos-del-inei."/>
    <w:p>
      <w:pPr>
        <w:pStyle w:val="Heading4"/>
      </w:pPr>
      <w:r>
        <w:rPr>
          <w:rStyle w:val="SectionNumber"/>
        </w:rPr>
        <w:t xml:space="preserve">8.1.0.1</w:t>
      </w:r>
      <w:r>
        <w:tab/>
      </w:r>
      <w:r>
        <w:t xml:space="preserve">Los cuatro Anexos del INEI.</w:t>
      </w:r>
    </w:p>
    <w:p>
      <w:pPr>
        <w:pStyle w:val="FirstParagraph"/>
      </w:pPr>
      <w:r>
        <w:t xml:space="preserve">La</w:t>
      </w:r>
      <w:r>
        <w:t xml:space="preserve"> </w:t>
      </w:r>
      <w:hyperlink w:anchor="tab:peru_crosswalks">
        <w:r>
          <w:rPr>
            <w:rStyle w:val="Hyperlink"/>
          </w:rPr>
          <w:t xml:space="preserve">8</w:t>
        </w:r>
      </w:hyperlink>
      <w:r>
        <w:t xml:space="preserve"> </w:t>
      </w:r>
      <w:r>
        <w:t xml:space="preserve">resume los cuatro mapeos oficiales que el INEI publica para sus dos clasificadores ocupacionales y la CIUO-08 de la OIT. Anexo 1 (CNO-2015</w:t>
      </w:r>
      <w:r>
        <w:t xml:space="preserve"> </w:t>
      </w:r>
      <m:oMath>
        <m:r>
          <m:rPr>
            <m:sty m:val="p"/>
          </m:rPr>
          <m:t>→</m:t>
        </m:r>
      </m:oMath>
      <w:r>
        <w:t xml:space="preserve"> </w:t>
      </w:r>
      <w:r>
        <w:t xml:space="preserve">CO-1995) se utiliza en la Robustez 2 para colapsar el post a granularidad CO-1995. Anexo 2 (CO-1995</w:t>
      </w:r>
      <w:r>
        <w:t xml:space="preserve"> </w:t>
      </w:r>
      <m:oMath>
        <m:r>
          <m:rPr>
            <m:sty m:val="p"/>
          </m:rPr>
          <m:t>→</m:t>
        </m:r>
      </m:oMath>
      <w:r>
        <w:t xml:space="preserve"> </w:t>
      </w:r>
      <w:r>
        <w:t xml:space="preserve">CNO-2015) es el primer paso del encadenamiento que asigna a cada trabajador del pre un conjunto de códigos CNO-2015 hijos. Anexo 3 (CNO-2015</w:t>
      </w:r>
      <w:r>
        <w:t xml:space="preserve"> </w:t>
      </w:r>
      <m:oMath>
        <m:r>
          <m:rPr>
            <m:sty m:val="p"/>
          </m:rPr>
          <m:t>→</m:t>
        </m:r>
      </m:oMath>
      <w:r>
        <w:t xml:space="preserve"> </w:t>
      </w:r>
      <w:r>
        <w:t xml:space="preserve">CIUO-2008) es el mapeo final hacia CIUO-08 utilizado tanto en el pre encadenado como en el post directo. Anexo 4 (CIUO-2008</w:t>
      </w:r>
      <w:r>
        <w:t xml:space="preserve"> </w:t>
      </w:r>
      <m:oMath>
        <m:r>
          <m:rPr>
            <m:sty m:val="p"/>
          </m:rPr>
          <m:t>→</m:t>
        </m:r>
      </m:oMath>
      <w:r>
        <w:t xml:space="preserve"> </w:t>
      </w:r>
      <w:r>
        <w:t xml:space="preserve">CNO-2015) sirve como validación cruzada del Anexo 3.</w:t>
      </w:r>
    </w:p>
    <w:bookmarkStart w:id="75" w:name="tab:peru_crosswalks"/>
    <w:p>
      <w:pPr>
        <w:pStyle w:val="TableCaption"/>
      </w:pPr>
      <w:r>
        <w:t xml:space="preserve">Estructura de los cuatro Anexos de correspondencia ocupacional del INEI</w:t>
      </w:r>
    </w:p>
    <w:tbl>
      <w:tblPr>
        <w:tblStyle w:val="Table"/>
        <w:tblW w:type="auto" w:w="0"/>
        <w:tblLook w:firstRow="1" w:lastRow="0" w:firstColumn="0" w:lastColumn="0" w:noHBand="0" w:noVBand="0" w:val="0020"/>
        <w:tblCaption w:val="Estructura de los cuatro Anexos de correspondencia ocupacional del INEI"/>
      </w:tblPr>
      <w:tblGrid>
        <w:gridCol w:w="1980"/>
        <w:gridCol w:w="1980"/>
        <w:gridCol w:w="1980"/>
        <w:gridCol w:w="1980"/>
      </w:tblGrid>
      <w:tr>
        <w:trPr>
          <w:tblHeader w:val="on"/>
        </w:trPr>
        <w:tc>
          <w:tcPr/>
          <w:p>
            <w:pPr>
              <w:pStyle w:val="Compact"/>
              <w:jc w:val="center"/>
            </w:pPr>
            <w:r>
              <w:t xml:space="preserve">Anexo</w:t>
            </w:r>
          </w:p>
        </w:tc>
        <w:tc>
          <w:tcPr/>
          <w:p>
            <w:pPr>
              <w:pStyle w:val="Compact"/>
              <w:jc w:val="left"/>
            </w:pPr>
            <w:r>
              <w:t xml:space="preserve">Mapeo</w:t>
            </w:r>
          </w:p>
        </w:tc>
        <w:tc>
          <w:tcPr/>
          <w:p>
            <w:pPr>
              <w:pStyle w:val="Compact"/>
              <w:jc w:val="left"/>
            </w:pPr>
            <w:r>
              <w:t xml:space="preserve">Tipo</w:t>
            </w:r>
          </w:p>
        </w:tc>
        <w:tc>
          <w:tcPr/>
          <w:p>
            <w:pPr>
              <w:pStyle w:val="Compact"/>
              <w:jc w:val="center"/>
            </w:pPr>
            <w:r>
              <w:t xml:space="preserve">Uso en este artículo</w:t>
            </w:r>
          </w:p>
        </w:tc>
      </w:tr>
      <w:tr>
        <w:tc>
          <w:tcPr/>
          <w:p>
            <w:pPr>
              <w:pStyle w:val="Compact"/>
              <w:jc w:val="center"/>
            </w:pPr>
            <w:r>
              <w:t xml:space="preserve">1</w:t>
            </w:r>
          </w:p>
        </w:tc>
        <w:tc>
          <w:tcPr/>
          <w:p>
            <w:pPr>
              <w:pStyle w:val="Compact"/>
              <w:jc w:val="left"/>
            </w:pPr>
            <w:r>
              <w:t xml:space="preserve">CNO-2015 (4d)</w:t>
            </w:r>
            <w:r>
              <w:t xml:space="preserve"> </w:t>
            </w:r>
            <m:oMath>
              <m:r>
                <m:rPr>
                  <m:sty m:val="p"/>
                </m:rPr>
                <m:t>→</m:t>
              </m:r>
            </m:oMath>
            <w:r>
              <w:t xml:space="preserve"> </w:t>
            </w:r>
            <w:r>
              <w:t xml:space="preserve">CO-1995 (3d)</w:t>
            </w:r>
          </w:p>
        </w:tc>
        <w:tc>
          <w:tcPr/>
          <w:p>
            <w:pPr>
              <w:pStyle w:val="Compact"/>
              <w:jc w:val="left"/>
            </w:pPr>
            <w:r>
              <w:rPr>
                <w:i/>
                <w:iCs/>
              </w:rPr>
              <w:t xml:space="preserve">Many-to-one</w:t>
            </w:r>
            <w:r>
              <w:rPr>
                <w:vertAlign w:val="superscript"/>
              </w:rPr>
              <w:t xml:space="preserve">a</w:t>
            </w:r>
          </w:p>
        </w:tc>
        <w:tc>
          <w:tcPr/>
          <w:p>
            <w:pPr>
              <w:pStyle w:val="Compact"/>
              <w:jc w:val="center"/>
            </w:pPr>
            <w:r>
              <w:t xml:space="preserve">Robustez 2 (</w:t>
            </w:r>
            <w:hyperlink w:anchor="tab:peru_classifier_ladder">
              <w:r>
                <w:rPr>
                  <w:rStyle w:val="Hyperlink"/>
                </w:rPr>
                <w:t xml:space="preserve">3</w:t>
              </w:r>
            </w:hyperlink>
            <w:r>
              <w:t xml:space="preserve">)</w:t>
            </w:r>
          </w:p>
        </w:tc>
      </w:tr>
      <w:tr>
        <w:tc>
          <w:tcPr/>
          <w:p>
            <w:pPr>
              <w:pStyle w:val="Compact"/>
              <w:jc w:val="center"/>
            </w:pPr>
            <w:r>
              <w:t xml:space="preserve">2</w:t>
            </w:r>
          </w:p>
        </w:tc>
        <w:tc>
          <w:tcPr/>
          <w:p>
            <w:pPr>
              <w:pStyle w:val="Compact"/>
              <w:jc w:val="left"/>
            </w:pPr>
            <w:r>
              <w:t xml:space="preserve">CO-1995 (3d)</w:t>
            </w:r>
            <w:r>
              <w:t xml:space="preserve"> </w:t>
            </w:r>
            <m:oMath>
              <m:r>
                <m:rPr>
                  <m:sty m:val="p"/>
                </m:rPr>
                <m:t>→</m:t>
              </m:r>
            </m:oMath>
            <w:r>
              <w:t xml:space="preserve"> </w:t>
            </w:r>
            <w:r>
              <w:t xml:space="preserve">CNO-2015 (4d)</w:t>
            </w:r>
          </w:p>
        </w:tc>
        <w:tc>
          <w:tcPr/>
          <w:p>
            <w:pPr>
              <w:pStyle w:val="Compact"/>
              <w:jc w:val="left"/>
            </w:pPr>
            <w:r>
              <w:t xml:space="preserve">One-to-many</w:t>
            </w:r>
          </w:p>
        </w:tc>
        <w:tc>
          <w:tcPr/>
          <w:p>
            <w:pPr>
              <w:pStyle w:val="Compact"/>
              <w:jc w:val="center"/>
            </w:pPr>
            <w:r>
              <w:t xml:space="preserve">Esp. principal (período pre)</w:t>
            </w:r>
          </w:p>
        </w:tc>
      </w:tr>
      <w:tr>
        <w:tc>
          <w:tcPr/>
          <w:p>
            <w:pPr>
              <w:pStyle w:val="Compact"/>
              <w:jc w:val="center"/>
            </w:pPr>
            <w:r>
              <w:t xml:space="preserve">3</w:t>
            </w:r>
          </w:p>
        </w:tc>
        <w:tc>
          <w:tcPr/>
          <w:p>
            <w:pPr>
              <w:pStyle w:val="Compact"/>
              <w:jc w:val="left"/>
            </w:pPr>
            <w:r>
              <w:t xml:space="preserve">CNO-2015 (4d)</w:t>
            </w:r>
            <w:r>
              <w:t xml:space="preserve"> </w:t>
            </w:r>
            <m:oMath>
              <m:r>
                <m:rPr>
                  <m:sty m:val="p"/>
                </m:rPr>
                <m:t>→</m:t>
              </m:r>
            </m:oMath>
            <w:r>
              <w:t xml:space="preserve"> </w:t>
            </w:r>
            <w:r>
              <w:t xml:space="preserve">CIUO-2008 (4d)</w:t>
            </w:r>
          </w:p>
        </w:tc>
        <w:tc>
          <w:tcPr/>
          <w:p>
            <w:pPr>
              <w:pStyle w:val="Compact"/>
              <w:jc w:val="left"/>
            </w:pPr>
            <w:r>
              <w:t xml:space="preserve">Cerca 1-a-1</w:t>
            </w:r>
          </w:p>
        </w:tc>
        <w:tc>
          <w:tcPr/>
          <w:p>
            <w:pPr>
              <w:pStyle w:val="Compact"/>
              <w:jc w:val="center"/>
            </w:pPr>
            <w:r>
              <w:t xml:space="preserve">Esp. principal (período post)</w:t>
            </w:r>
          </w:p>
        </w:tc>
      </w:tr>
      <w:tr>
        <w:tc>
          <w:tcPr/>
          <w:p>
            <w:pPr>
              <w:pStyle w:val="Compact"/>
              <w:jc w:val="center"/>
            </w:pPr>
            <w:r>
              <w:t xml:space="preserve">4</w:t>
            </w:r>
          </w:p>
        </w:tc>
        <w:tc>
          <w:tcPr/>
          <w:p>
            <w:pPr>
              <w:pStyle w:val="Compact"/>
              <w:jc w:val="left"/>
            </w:pPr>
            <w:r>
              <w:t xml:space="preserve">CIUO-2008 (4d)</w:t>
            </w:r>
            <w:r>
              <w:t xml:space="preserve"> </w:t>
            </w:r>
            <m:oMath>
              <m:r>
                <m:rPr>
                  <m:sty m:val="p"/>
                </m:rPr>
                <m:t>→</m:t>
              </m:r>
            </m:oMath>
            <w:r>
              <w:t xml:space="preserve"> </w:t>
            </w:r>
            <w:r>
              <w:t xml:space="preserve">CNO-2015 (4d)</w:t>
            </w:r>
          </w:p>
        </w:tc>
        <w:tc>
          <w:tcPr/>
          <w:p>
            <w:pPr>
              <w:pStyle w:val="Compact"/>
              <w:jc w:val="left"/>
            </w:pPr>
            <w:r>
              <w:t xml:space="preserve">Cerca 1-a-1</w:t>
            </w:r>
          </w:p>
        </w:tc>
        <w:tc>
          <w:tcPr/>
          <w:p>
            <w:pPr>
              <w:pStyle w:val="Compact"/>
              <w:jc w:val="center"/>
            </w:pPr>
            <w:r>
              <w:t xml:space="preserve">Validación cruzada del Anexo 3</w:t>
            </w:r>
          </w:p>
        </w:tc>
      </w:tr>
    </w:tbl>
    <w:bookmarkEnd w:id="75"/>
    <w:p>
      <w:pPr>
        <w:pStyle w:val="BodyText"/>
      </w:pPr>
      <w:r>
        <w:rPr>
          <w:i/>
          <w:iCs/>
        </w:rPr>
        <w:t xml:space="preserve">Notas:</w:t>
      </w:r>
      <w:r>
        <w:t xml:space="preserve"> </w:t>
      </w:r>
      <w:r>
        <w:t xml:space="preserve">El CO-1995 a tres dígitos define 370 códigos en el clasificador oficial del INEI, de los cuales 319 aparecen en la EPEN 2021T1–2022T3. El CNO-2015 a cuatro dígitos define 473 códigos. Los Anexos 3 y 4 cubren 425 y 426 códigos CIUO-08 a cuatro dígitos respectivamente; la versión oficial completa de la OIT contiene 436.</w:t>
      </w:r>
      <w:r>
        <w:t xml:space="preserve"> </w:t>
      </w:r>
      <w:r>
        <w:rPr>
          <w:vertAlign w:val="superscript"/>
        </w:rPr>
        <w:t xml:space="preserve">a</w:t>
      </w:r>
      <w:r>
        <w:t xml:space="preserve"> El Anexo 1 no es estrictamente</w:t>
      </w:r>
      <w:r>
        <w:t xml:space="preserve"> </w:t>
      </w:r>
      <w:r>
        <w:rPr>
          <w:i/>
          <w:iCs/>
        </w:rPr>
        <w:t xml:space="preserve">many-to-one</w:t>
      </w:r>
      <w:r>
        <w:t xml:space="preserve">: 86 códigos CNO-2015 mapean a más de un código CO-1995, reflejando que algunas familias ocupacionales del CO-1995 tenían mayor detalle que la posterior consolidación en CNO-2015. La implementación resuelve estas ambigüedades al CO-1995 con valor numérico mínimo, con sensibilidad reportada en la Robustez 1 de la</w:t>
      </w:r>
      <w:r>
        <w:t xml:space="preserve"> </w:t>
      </w:r>
      <w:hyperlink w:anchor="tab:peru_classifier_ladder">
        <w:r>
          <w:rPr>
            <w:rStyle w:val="Hyperlink"/>
          </w:rPr>
          <w:t xml:space="preserve">3</w:t>
        </w:r>
      </w:hyperlink>
      <w:r>
        <w:t xml:space="preserve">.</w:t>
      </w:r>
    </w:p>
    <w:bookmarkEnd w:id="76"/>
    <w:bookmarkStart w:id="77" w:name="X9142e4ad9245d9f254a9306a2f57424ca9652c2"/>
    <w:p>
      <w:pPr>
        <w:pStyle w:val="Heading4"/>
      </w:pPr>
      <w:r>
        <w:rPr>
          <w:rStyle w:val="SectionNumber"/>
        </w:rPr>
        <w:t xml:space="preserve">8.1.0.2</w:t>
      </w:r>
      <w:r>
        <w:tab/>
      </w:r>
      <w:r>
        <w:t xml:space="preserve">Pesos posteriores empíricos condicionales.</w:t>
      </w:r>
    </w:p>
    <w:p>
      <w:pPr>
        <w:pStyle w:val="FirstParagraph"/>
      </w:pPr>
      <w:r>
        <w:t xml:space="preserve">En el período pre, el primer paso del encadenamiento (CO-1995</w:t>
      </w:r>
      <w:r>
        <w:t xml:space="preserve"> </w:t>
      </w:r>
      <m:oMath>
        <m:r>
          <m:rPr>
            <m:sty m:val="p"/>
          </m:rPr>
          <m:t>→</m:t>
        </m:r>
      </m:oMath>
      <w:r>
        <w:t xml:space="preserve"> </w:t>
      </w:r>
      <w:r>
        <w:t xml:space="preserve">CNO-2015 vía el Anexo 2) es</w:t>
      </w:r>
      <w:r>
        <w:t xml:space="preserve"> </w:t>
      </w:r>
      <w:r>
        <w:rPr>
          <w:i/>
          <w:iCs/>
        </w:rPr>
        <w:t xml:space="preserve">one-to-many</w:t>
      </w:r>
      <w:r>
        <w:t xml:space="preserve">: cada código CO-1995 se desagrega en varios códigos CNO-2015 hijos. La asignación de un trabajador peruano del pre a un código CNO-2015 específico requiere, por tanto, un esquema de pesos. Adopto pesos posteriores estimados sobre el propio post de la EPEN, donde el código CIUO-08 fino está observado, en lugar de pesos uniformes. Para cada celda</w:t>
      </w:r>
      <w:r>
        <w:t xml:space="preserve"> </w:t>
      </w:r>
      <m:oMath>
        <m:r>
          <m:rPr>
            <m:sty m:val="p"/>
          </m:rPr>
          <m:t>(</m:t>
        </m:r>
        <m:r>
          <m:t>k</m:t>
        </m:r>
        <m:r>
          <m:rPr>
            <m:sty m:val="p"/>
          </m:rPr>
          <m:t>,</m:t>
        </m:r>
        <m:r>
          <m:t>X</m:t>
        </m:r>
        <m:r>
          <m:rPr>
            <m:sty m:val="p"/>
          </m:rPr>
          <m:t>)</m:t>
        </m:r>
      </m:oMath>
      <w:r>
        <w:t xml:space="preserve"> </w:t>
      </w:r>
      <w:r>
        <w:t xml:space="preserve">definida por un código CO-1995</w:t>
      </w:r>
      <w:r>
        <w:t xml:space="preserve"> </w:t>
      </w:r>
      <m:oMath>
        <m:r>
          <m:t>k</m:t>
        </m:r>
      </m:oMath>
      <w:r>
        <w:t xml:space="preserve"> </w:t>
      </w:r>
      <w:r>
        <w:t xml:space="preserve">y un vector de características observables del trabajador</w:t>
      </w:r>
      <w:r>
        <w:t xml:space="preserve"> </w:t>
      </w:r>
      <m:oMath>
        <m:r>
          <m:t>X</m:t>
        </m:r>
      </m:oMath>
      <w:r>
        <w:t xml:space="preserve"> </w:t>
      </w:r>
      <w:r>
        <w:t xml:space="preserve">(sexo, nivel educativo en cinco categorías, sector ISIC a un dígito y dominio urbano), la probabilidad estimada de que el trabajador pertenezca al código CIUO-08</w:t>
      </w:r>
      <w:r>
        <w:t xml:space="preserve"> </w:t>
      </w:r>
      <m:oMath>
        <m:r>
          <m:t>c</m:t>
        </m:r>
      </m:oMath>
      <w:r>
        <w:t xml:space="preserve"> </w:t>
      </w:r>
      <w:r>
        <w:t xml:space="preserve">se calcula por</w:t>
      </w:r>
    </w:p>
    <w:p>
      <w:pPr>
        <w:pStyle w:val="BodyText"/>
      </w:pPr>
      <m:oMathPara>
        <m:oMathParaPr>
          <m:jc m:val="center"/>
        </m:oMathParaPr>
        <m:oMath>
          <m:acc>
            <m:accPr>
              <m:chr m:val="̂"/>
            </m:accPr>
            <m:e>
              <m:r>
                <m:rPr>
                  <m:sty m:val="p"/>
                </m:rPr>
                <m:t>Pr</m:t>
              </m:r>
            </m:e>
          </m:acc>
          <m:r>
            <m:rPr>
              <m:sty m:val="p"/>
            </m:rPr>
            <m:t>(</m:t>
          </m:r>
          <m:r>
            <m:t>c</m:t>
          </m:r>
          <m:r>
            <m:rPr>
              <m:sty m:val="p"/>
            </m:rPr>
            <m:t>∣</m:t>
          </m:r>
          <m:r>
            <m:t>k</m:t>
          </m:r>
          <m:r>
            <m:rPr>
              <m:sty m:val="p"/>
            </m:rPr>
            <m:t>,</m:t>
          </m:r>
          <m:r>
            <m:t>X</m:t>
          </m:r>
          <m:r>
            <m:rPr>
              <m:sty m:val="p"/>
            </m:rPr>
            <m:t>)</m:t>
          </m:r>
          <m:r>
            <m:t> </m:t>
          </m:r>
          <m:r>
            <m:rPr>
              <m:sty m:val="p"/>
            </m:rPr>
            <m:t>=</m:t>
          </m:r>
          <m:r>
            <m:t> </m:t>
          </m:r>
          <m:f>
            <m:fPr>
              <m:type m:val="bar"/>
            </m:fPr>
            <m:num>
              <m:nary>
                <m:naryPr>
                  <m:chr m:val="∑"/>
                  <m:limLoc m:val="undOvr"/>
                  <m:subHide m:val="off"/>
                  <m:supHide m:val="on"/>
                </m:naryPr>
                <m:sub>
                  <m:r>
                    <m:t>i</m:t>
                  </m:r>
                  <m:r>
                    <m:rPr>
                      <m:sty m:val="p"/>
                    </m:rPr>
                    <m:t>∈</m:t>
                  </m:r>
                  <m:r>
                    <m:rPr>
                      <m:nor/>
                      <m:sty m:val="p"/>
                    </m:rPr>
                    <m:t>post</m:t>
                  </m:r>
                </m:sub>
                <m:sup>
                  <m:r>
                    <m:t>​</m:t>
                  </m:r>
                </m:sup>
                <m:e>
                  <m:r>
                    <m:rPr>
                      <m:scr m:val="double-struck"/>
                      <m:sty m:val="p"/>
                    </m:rPr>
                    <m:t>1</m:t>
                  </m:r>
                </m:e>
              </m:nary>
              <m:r>
                <m:rPr>
                  <m:sty m:val="p"/>
                </m:rPr>
                <m:t>[</m:t>
              </m:r>
              <m:sSub>
                <m:e>
                  <m:r>
                    <m:t>c</m:t>
                  </m:r>
                </m:e>
                <m:sub>
                  <m:r>
                    <m:t>i</m:t>
                  </m:r>
                </m:sub>
              </m:sSub>
              <m:r>
                <m:rPr>
                  <m:sty m:val="p"/>
                </m:rPr>
                <m:t>=</m:t>
              </m:r>
              <m:r>
                <m:t>c</m:t>
              </m:r>
              <m:r>
                <m:rPr>
                  <m:sty m:val="p"/>
                </m:rPr>
                <m:t>]</m:t>
              </m:r>
              <m:r>
                <m:t> </m:t>
              </m:r>
              <m:r>
                <m:rPr>
                  <m:scr m:val="double-struck"/>
                  <m:sty m:val="p"/>
                </m:rPr>
                <m:t>1</m:t>
              </m:r>
              <m:r>
                <m:rPr>
                  <m:sty m:val="p"/>
                </m:rPr>
                <m:t>[</m:t>
              </m:r>
              <m:sSub>
                <m:e>
                  <m:r>
                    <m:t>k</m:t>
                  </m:r>
                </m:e>
                <m:sub>
                  <m:r>
                    <m:t>i</m:t>
                  </m:r>
                </m:sub>
              </m:sSub>
              <m:r>
                <m:rPr>
                  <m:sty m:val="p"/>
                </m:rPr>
                <m:t>=</m:t>
              </m:r>
              <m:r>
                <m:t>k</m:t>
              </m:r>
              <m:r>
                <m:rPr>
                  <m:sty m:val="p"/>
                </m:rPr>
                <m:t>,</m:t>
              </m:r>
              <m:sSub>
                <m:e>
                  <m:r>
                    <m:t>X</m:t>
                  </m:r>
                </m:e>
                <m:sub>
                  <m:r>
                    <m:t>i</m:t>
                  </m:r>
                </m:sub>
              </m:sSub>
              <m:r>
                <m:rPr>
                  <m:sty m:val="p"/>
                </m:rPr>
                <m:t>=</m:t>
              </m:r>
              <m:r>
                <m:t>X</m:t>
              </m:r>
              <m:r>
                <m:rPr>
                  <m:sty m:val="p"/>
                </m:rPr>
                <m:t>]</m:t>
              </m:r>
              <m:r>
                <m:t> </m:t>
              </m:r>
              <m:sSub>
                <m:e>
                  <m:r>
                    <m:t>w</m:t>
                  </m:r>
                </m:e>
                <m:sub>
                  <m:r>
                    <m:t>i</m:t>
                  </m:r>
                </m:sub>
              </m:sSub>
            </m:num>
            <m:den>
              <m:nary>
                <m:naryPr>
                  <m:chr m:val="∑"/>
                  <m:limLoc m:val="undOvr"/>
                  <m:subHide m:val="off"/>
                  <m:supHide m:val="on"/>
                </m:naryPr>
                <m:sub>
                  <m:r>
                    <m:t>i</m:t>
                  </m:r>
                  <m:r>
                    <m:rPr>
                      <m:sty m:val="p"/>
                    </m:rPr>
                    <m:t>∈</m:t>
                  </m:r>
                  <m:r>
                    <m:rPr>
                      <m:nor/>
                      <m:sty m:val="p"/>
                    </m:rPr>
                    <m:t>post</m:t>
                  </m:r>
                </m:sub>
                <m:sup>
                  <m:r>
                    <m:t>​</m:t>
                  </m:r>
                </m:sup>
                <m:e>
                  <m:r>
                    <m:rPr>
                      <m:scr m:val="double-struck"/>
                      <m:sty m:val="p"/>
                    </m:rPr>
                    <m:t>1</m:t>
                  </m:r>
                </m:e>
              </m:nary>
              <m:r>
                <m:rPr>
                  <m:sty m:val="p"/>
                </m:rPr>
                <m:t>[</m:t>
              </m:r>
              <m:sSub>
                <m:e>
                  <m:r>
                    <m:t>k</m:t>
                  </m:r>
                </m:e>
                <m:sub>
                  <m:r>
                    <m:t>i</m:t>
                  </m:r>
                </m:sub>
              </m:sSub>
              <m:r>
                <m:rPr>
                  <m:sty m:val="p"/>
                </m:rPr>
                <m:t>=</m:t>
              </m:r>
              <m:r>
                <m:t>k</m:t>
              </m:r>
              <m:r>
                <m:rPr>
                  <m:sty m:val="p"/>
                </m:rPr>
                <m:t>,</m:t>
              </m:r>
              <m:sSub>
                <m:e>
                  <m:r>
                    <m:t>X</m:t>
                  </m:r>
                </m:e>
                <m:sub>
                  <m:r>
                    <m:t>i</m:t>
                  </m:r>
                </m:sub>
              </m:sSub>
              <m:r>
                <m:rPr>
                  <m:sty m:val="p"/>
                </m:rPr>
                <m:t>=</m:t>
              </m:r>
              <m:r>
                <m:t>X</m:t>
              </m:r>
              <m:r>
                <m:rPr>
                  <m:sty m:val="p"/>
                </m:rPr>
                <m:t>]</m:t>
              </m:r>
              <m:r>
                <m:t> </m:t>
              </m:r>
              <m:sSub>
                <m:e>
                  <m:r>
                    <m:t>w</m:t>
                  </m:r>
                </m:e>
                <m:sub>
                  <m:r>
                    <m:t>i</m:t>
                  </m:r>
                </m:sub>
              </m:sSub>
            </m:den>
          </m:f>
          <m:r>
            <m:rPr>
              <m:sty m:val="p"/>
            </m:rPr>
            <m:t>,</m:t>
          </m:r>
        </m:oMath>
      </m:oMathPara>
    </w:p>
    <w:p>
      <w:pPr>
        <w:pStyle w:val="FirstParagraph"/>
      </w:pPr>
      <w:r>
        <w:t xml:space="preserve">donde</w:t>
      </w:r>
      <w:r>
        <w:t xml:space="preserve"> </w:t>
      </w:r>
      <m:oMath>
        <m:sSub>
          <m:e>
            <m:r>
              <m:t>k</m:t>
            </m:r>
          </m:e>
          <m:sub>
            <m:r>
              <m:t>i</m:t>
            </m:r>
          </m:sub>
        </m:sSub>
      </m:oMath>
      <w:r>
        <w:t xml:space="preserve"> </w:t>
      </w:r>
      <w:r>
        <w:t xml:space="preserve">es el código CO-1995 obtenido al colapsar la observación CNO-2015 del período post vía el Anexo 1 (operación</w:t>
      </w:r>
      <w:r>
        <w:t xml:space="preserve"> </w:t>
      </w:r>
      <w:r>
        <w:rPr>
          <w:i/>
          <w:iCs/>
        </w:rPr>
        <w:t xml:space="preserve">many-to-one</w:t>
      </w:r>
      <w:r>
        <w:t xml:space="preserve"> </w:t>
      </w:r>
      <w:r>
        <w:t xml:space="preserve">y por tanto sin imputación),</w:t>
      </w:r>
      <w:r>
        <w:t xml:space="preserve"> </w:t>
      </w:r>
      <m:oMath>
        <m:sSub>
          <m:e>
            <m:r>
              <m:t>c</m:t>
            </m:r>
          </m:e>
          <m:sub>
            <m:r>
              <m:t>i</m:t>
            </m:r>
          </m:sub>
        </m:sSub>
      </m:oMath>
      <w:r>
        <w:t xml:space="preserve"> </w:t>
      </w:r>
      <w:r>
        <w:t xml:space="preserve">es el código CIUO-08 observado vía el Anexo 3 y</w:t>
      </w:r>
      <w:r>
        <w:t xml:space="preserve"> </w:t>
      </w:r>
      <m:oMath>
        <m:sSub>
          <m:e>
            <m:r>
              <m:t>w</m:t>
            </m:r>
          </m:e>
          <m:sub>
            <m:r>
              <m:t>i</m:t>
            </m:r>
          </m:sub>
        </m:sSub>
      </m:oMath>
      <w:r>
        <w:t xml:space="preserve"> </w:t>
      </w:r>
      <w:r>
        <w:t xml:space="preserve">es el factor de expansión de la EPEN. El denominador se computa sólo sobre celdas con al menos cincuenta observaciones expandidas; las celdas con menos masa se colapsan a</w:t>
      </w:r>
      <w:r>
        <w:t xml:space="preserve"> </w:t>
      </w:r>
      <m:oMath>
        <m:r>
          <m:t>X</m:t>
        </m:r>
      </m:oMath>
      <w:r>
        <w:t xml:space="preserve"> </w:t>
      </w:r>
      <w:r>
        <w:t xml:space="preserve">con menor dimensión (sin sector y sin dominio, en ese orden). Los pesos posteriores se aplican luego al período pre, expandiendo cada observación CO-1995 en hasta varias filas con probabilidades</w:t>
      </w:r>
      <w:r>
        <w:t xml:space="preserve"> </w:t>
      </w:r>
      <m:oMath>
        <m:acc>
          <m:accPr>
            <m:chr m:val="̂"/>
          </m:accPr>
          <m:e>
            <m:r>
              <m:rPr>
                <m:sty m:val="p"/>
              </m:rPr>
              <m:t>Pr</m:t>
            </m:r>
          </m:e>
        </m:acc>
        <m:r>
          <m:rPr>
            <m:sty m:val="p"/>
          </m:rPr>
          <m:t>(</m:t>
        </m:r>
        <m:r>
          <m:t>c</m:t>
        </m:r>
        <m:r>
          <m:rPr>
            <m:sty m:val="p"/>
          </m:rPr>
          <m:t>∣</m:t>
        </m:r>
        <m:r>
          <m:t>k</m:t>
        </m:r>
        <m:r>
          <m:rPr>
            <m:sty m:val="p"/>
          </m:rPr>
          <m:t>,</m:t>
        </m:r>
        <m:r>
          <m:t>X</m:t>
        </m:r>
        <m:r>
          <m:rPr>
            <m:sty m:val="p"/>
          </m:rPr>
          <m:t>)</m:t>
        </m:r>
      </m:oMath>
      <w:r>
        <w:t xml:space="preserve"> </w:t>
      </w:r>
      <w:r>
        <w:t xml:space="preserve">que suman la unidad.</w:t>
      </w:r>
    </w:p>
    <w:bookmarkEnd w:id="77"/>
    <w:bookmarkStart w:id="78" w:name="supuesto-identificador-del-crosswalk."/>
    <w:p>
      <w:pPr>
        <w:pStyle w:val="Heading4"/>
      </w:pPr>
      <w:r>
        <w:rPr>
          <w:rStyle w:val="SectionNumber"/>
        </w:rPr>
        <w:t xml:space="preserve">8.1.0.3</w:t>
      </w:r>
      <w:r>
        <w:tab/>
      </w:r>
      <w:r>
        <w:t xml:space="preserve">Supuesto identificador del crosswalk.</w:t>
      </w:r>
    </w:p>
    <w:p>
      <w:pPr>
        <w:pStyle w:val="FirstParagraph"/>
      </w:pPr>
      <w:r>
        <w:t xml:space="preserve">El procedimiento descansa en un único supuesto sobre la imputación: la distribución condicional</w:t>
      </w:r>
      <w:r>
        <w:t xml:space="preserve"> </w:t>
      </w:r>
      <m:oMath>
        <m:r>
          <m:rPr>
            <m:sty m:val="p"/>
          </m:rPr>
          <m:t>Pr</m:t>
        </m:r>
        <m:r>
          <m:rPr>
            <m:sty m:val="p"/>
          </m:rPr>
          <m:t>(</m:t>
        </m:r>
        <m:r>
          <m:rPr>
            <m:nor/>
            <m:sty m:val="p"/>
          </m:rPr>
          <m:t>CIUO-08-4d</m:t>
        </m:r>
        <m:r>
          <m:rPr>
            <m:sty m:val="p"/>
          </m:rPr>
          <m:t>∣</m:t>
        </m:r>
        <m:r>
          <m:rPr>
            <m:nor/>
            <m:sty m:val="p"/>
          </m:rPr>
          <m:t>CO-1995-3d</m:t>
        </m:r>
        <m:r>
          <m:rPr>
            <m:sty m:val="p"/>
          </m:rPr>
          <m:t>,</m:t>
        </m:r>
        <m:r>
          <m:t>X</m:t>
        </m:r>
        <m:r>
          <m:rPr>
            <m:sty m:val="p"/>
          </m:rPr>
          <m:t>)</m:t>
        </m:r>
      </m:oMath>
      <w:r>
        <w:t xml:space="preserve"> </w:t>
      </w:r>
      <w:r>
        <w:t xml:space="preserve">es estable a lo largo de toda la ventana muestral 2021T1–2025T4. La forma más débil de fallo de este supuesto, recomposición de la fuerza de trabajo dentro de un mismo</w:t>
      </w:r>
      <w:r>
        <w:t xml:space="preserve"> </w:t>
      </w:r>
      <m:oMath>
        <m:r>
          <m:rPr>
            <m:sty m:val="p"/>
          </m:rPr>
          <m:t>(</m:t>
        </m:r>
        <m:r>
          <m:t>k</m:t>
        </m:r>
        <m:r>
          <m:rPr>
            <m:sty m:val="p"/>
          </m:rPr>
          <m:t>,</m:t>
        </m:r>
        <m:r>
          <m:t>X</m:t>
        </m:r>
        <m:r>
          <m:rPr>
            <m:sty m:val="p"/>
          </m:rPr>
          <m:t>)</m:t>
        </m:r>
      </m:oMath>
      <w:r>
        <w:t xml:space="preserve"> </w:t>
      </w:r>
      <w:r>
        <w:t xml:space="preserve">en respuesta al shock de LLM, no afecta a la imputación del período pre, que es anterior al shock. La forma más severa, deriva temporal en la composición ocupacional independiente del shock, se acota empíricamente comparando</w:t>
      </w:r>
      <w:r>
        <w:t xml:space="preserve"> </w:t>
      </w:r>
      <m:oMath>
        <m:acc>
          <m:accPr>
            <m:chr m:val="̂"/>
          </m:accPr>
          <m:e>
            <m:r>
              <m:rPr>
                <m:sty m:val="p"/>
              </m:rPr>
              <m:t>Pr</m:t>
            </m:r>
          </m:e>
        </m:acc>
        <m:r>
          <m:rPr>
            <m:sty m:val="p"/>
          </m:rPr>
          <m:t>(</m:t>
        </m:r>
        <m:r>
          <m:t>c</m:t>
        </m:r>
        <m:r>
          <m:rPr>
            <m:sty m:val="p"/>
          </m:rPr>
          <m:t>∣</m:t>
        </m:r>
        <m:r>
          <m:t>k</m:t>
        </m:r>
        <m:r>
          <m:rPr>
            <m:sty m:val="p"/>
          </m:rPr>
          <m:t>,</m:t>
        </m:r>
        <m:r>
          <m:t>X</m:t>
        </m:r>
        <m:r>
          <m:rPr>
            <m:sty m:val="p"/>
          </m:rPr>
          <m:t>)</m:t>
        </m:r>
      </m:oMath>
      <w:r>
        <w:t xml:space="preserve"> </w:t>
      </w:r>
      <w:r>
        <w:t xml:space="preserve">entre los años 2023, 2024 y 2025 dentro del período post.</w:t>
      </w:r>
    </w:p>
    <w:bookmarkEnd w:id="78"/>
    <w:bookmarkStart w:id="79" w:name="las-tres-pruebas-de-validación."/>
    <w:p>
      <w:pPr>
        <w:pStyle w:val="Heading4"/>
      </w:pPr>
      <w:r>
        <w:rPr>
          <w:rStyle w:val="SectionNumber"/>
        </w:rPr>
        <w:t xml:space="preserve">8.1.0.4</w:t>
      </w:r>
      <w:r>
        <w:tab/>
      </w:r>
      <w:r>
        <w:t xml:space="preserve">Las tres pruebas de validación.</w:t>
      </w:r>
    </w:p>
    <w:p>
      <w:pPr>
        <w:pStyle w:val="FirstParagraph"/>
      </w:pPr>
      <w:r>
        <w:t xml:space="preserve">La validez de la estrategia se examina con tres pruebas que separan el efecto mecánico de la armonización del efecto causal del shock.</w:t>
      </w:r>
    </w:p>
    <w:p>
      <w:pPr>
        <w:pStyle w:val="BodyText"/>
      </w:pPr>
      <w:r>
        <w:rPr>
          <w:i/>
          <w:iCs/>
        </w:rPr>
        <w:t xml:space="preserve">Prueba 1: estabilidad de la composición del empleo en el corte.</w:t>
      </w:r>
      <w:r>
        <w:t xml:space="preserve"> </w:t>
      </w:r>
      <w:r>
        <w:t xml:space="preserve">Se compara la distribución del empleo expandido por CIUO-08 a cuatro dígitos en 2022T3 (último trimestre con CO-1995, asignado vía pesos posteriores) y 2022T4 (primer trimestre con CNO-2015, asignado vía el Anexo 3). Bajo armonización correcta, las shares ocupacionales no deberían exhibir saltos no atribuibles al shock. La diferencia mediana absoluta entre las shares CIUO-08 a cuatro dígitos es 0.04 puntos porcentuales y la diferencia máxima es 2.05 puntos porcentuales en el código CIUO 9629 (vendedores ambulantes y otros vendedores callejeros), por debajo del umbral de cinco puntos porcentuales que define una armonización problemática. Ningún código CIUO supera ese umbral. La distribución del valor absoluto entre los 335 códigos CIUO presentes en la comparación tiene mediana 0.04, percentil 90 igual a 0.24 y percentil 95 igual a 0.44 puntos porcentuales.</w:t>
      </w:r>
    </w:p>
    <w:p>
      <w:pPr>
        <w:pStyle w:val="BodyText"/>
      </w:pPr>
      <w:r>
        <w:rPr>
          <w:i/>
          <w:iCs/>
        </w:rPr>
        <w:t xml:space="preserve">Prueba 2: estabilidad temporal de los pesos posteriores.</w:t>
      </w:r>
      <w:r>
        <w:t xml:space="preserve"> </w:t>
      </w:r>
      <w:r>
        <w:t xml:space="preserve">Se calcula la divergencia de Kullback-Leibler promedio ponderada por empleo entre las distribuciones de los pesos posteriores estimadas separadamente en 2023, 2024 y 2025, con suavizado de Laplace (</w:t>
      </w:r>
      <m:oMath>
        <m:r>
          <m:t>ε</m:t>
        </m:r>
        <m:r>
          <m:rPr>
            <m:sty m:val="p"/>
          </m:rPr>
          <m:t>=</m:t>
        </m:r>
        <m:sSup>
          <m:e>
            <m:r>
              <m:t>10</m:t>
            </m:r>
          </m:e>
          <m:sup>
            <m:r>
              <m:rPr>
                <m:sty m:val="p"/>
              </m:rPr>
              <m:t>−</m:t>
            </m:r>
            <m:r>
              <m:t>4</m:t>
            </m:r>
          </m:sup>
        </m:sSup>
      </m:oMath>
      <w:r>
        <w:t xml:space="preserve">) para evitar logaritmos de cero. Una divergencia agregada inferior a 0.05 nats se considera consistente con el supuesto. Las divergencias agregadas observadas en la EPEN son 0.029 nats entre 2023 y 2024, 0.019 nats entre 2024 y 2025, y 0.046 nats entre 2023 y 2025, todas dentro del límite. La distancia de variación total complementaria, métrica acotada que no requiere suavizado, queda entre 0.04 y 0.05 entre todos los pares de años.</w:t>
      </w:r>
    </w:p>
    <w:p>
      <w:pPr>
        <w:pStyle w:val="BodyText"/>
      </w:pPr>
      <w:r>
        <w:rPr>
          <w:i/>
          <w:iCs/>
        </w:rPr>
        <w:t xml:space="preserve">Prueba 3: donut DiD.</w:t>
      </w:r>
      <w:r>
        <w:t xml:space="preserve"> </w:t>
      </w:r>
      <w:r>
        <w:t xml:space="preserve">La especificación primaria descarta 2022T4 como período de transición. Como verificación adicional, se descartan además 2022T3, eliminando los dos trimestres que cubren el corte de clasificador. Si la estimación donut</w:t>
      </w:r>
      <w:r>
        <w:t xml:space="preserve"> </w:t>
      </w:r>
      <m:oMath>
        <m:sSup>
          <m:e>
            <m:acc>
              <m:accPr>
                <m:chr m:val="̂"/>
              </m:accPr>
              <m:e>
                <m:r>
                  <m:t>τ</m:t>
                </m:r>
              </m:e>
            </m:acc>
          </m:e>
          <m:sup>
            <m:r>
              <m:rPr>
                <m:nor/>
                <m:sty m:val="p"/>
              </m:rPr>
              <m:t>Perú, donut</m:t>
            </m:r>
          </m:sup>
        </m:sSup>
      </m:oMath>
      <w:r>
        <w:t xml:space="preserve"> </w:t>
      </w:r>
      <w:r>
        <w:t xml:space="preserve">converge con la estimación principal</w:t>
      </w:r>
      <w:r>
        <w:t xml:space="preserve"> </w:t>
      </w:r>
      <m:oMath>
        <m:sSup>
          <m:e>
            <m:acc>
              <m:accPr>
                <m:chr m:val="̂"/>
              </m:accPr>
              <m:e>
                <m:r>
                  <m:t>τ</m:t>
                </m:r>
              </m:e>
            </m:acc>
          </m:e>
          <m:sup>
            <m:r>
              <m:rPr>
                <m:nor/>
                <m:sty m:val="p"/>
              </m:rPr>
              <m:t>Perú</m:t>
            </m:r>
          </m:sup>
        </m:sSup>
      </m:oMath>
      <w:r>
        <w:t xml:space="preserve">, ningún efecto de identificación está siendo absorbido por el cruce de clasificador. Si las dos estimaciones divergen, la armonización está contaminando el coeficiente y se reporta el donut como la estimación preferida. La verificación cuantitativa del donut DiD se reporta en la sección de robustez.</w:t>
      </w:r>
    </w:p>
    <w:bookmarkEnd w:id="79"/>
    <w:bookmarkEnd w:id="80"/>
    <w:bookmarkStart w:id="83" w:name="app:peru_extremes"/>
    <w:p>
      <w:pPr>
        <w:pStyle w:val="Heading2"/>
      </w:pPr>
      <w:r>
        <w:rPr>
          <w:rStyle w:val="SectionNumber"/>
        </w:rPr>
        <w:t xml:space="preserve">8.2</w:t>
      </w:r>
      <w:r>
        <w:tab/>
      </w:r>
      <w:r>
        <w:t xml:space="preserve">Ocupaciones en las colas de la distribución de exposición a LLMs</w:t>
      </w:r>
    </w:p>
    <w:p>
      <w:pPr>
        <w:pStyle w:val="FirstParagraph"/>
      </w:pPr>
      <w:r>
        <w:t xml:space="preserve">Las dos tablas a continuación complementan la</w:t>
      </w:r>
      <w:r>
        <w:t xml:space="preserve"> </w:t>
      </w:r>
      <w:hyperlink w:anchor="subsec:data_descriptives">
        <w:r>
          <w:rPr>
            <w:rStyle w:val="Hyperlink"/>
          </w:rPr>
          <w:t xml:space="preserve">5.3</w:t>
        </w:r>
      </w:hyperlink>
      <w:r>
        <w:t xml:space="preserve"> </w:t>
      </w:r>
      <w:r>
        <w:t xml:space="preserve">y dan contenido sustantivo a las dos colas de la distribución del puntaje</w:t>
      </w:r>
      <w:r>
        <w:t xml:space="preserve"> </w:t>
      </w:r>
      <m:oMath>
        <m:r>
          <m:t>β</m:t>
        </m:r>
      </m:oMath>
      <w:r>
        <w:t xml:space="preserve"> </w:t>
      </w:r>
      <w:r>
        <w:t xml:space="preserve">de</w:t>
      </w:r>
      <w:r>
        <w:t xml:space="preserve"> </w:t>
      </w:r>
      <w:r>
        <w:t xml:space="preserve">Eloundou et al. (2024)</w:t>
      </w:r>
      <w:r>
        <w:t xml:space="preserve"> </w:t>
      </w:r>
      <w:r>
        <w:t xml:space="preserve">para las ocupaciones presentes en la EPEN 2021.</w:t>
      </w:r>
    </w:p>
    <w:bookmarkStart w:id="81" w:name="tab:peru_top10"/>
    <w:p>
      <w:pPr>
        <w:pStyle w:val="TableCaption"/>
      </w:pPr>
      <w:r>
        <w:t xml:space="preserve">Diez ocupaciones más expuestas a LLMs (CIUO-08 4d), Lima Metropolitana</w:t>
      </w:r>
    </w:p>
    <w:tbl>
      <w:tblPr>
        <w:tblStyle w:val="Table"/>
        <w:tblW w:type="auto" w:w="0"/>
        <w:tblLook w:firstRow="1" w:lastRow="0" w:firstColumn="0" w:lastColumn="0" w:noHBand="0" w:noVBand="0" w:val="0020"/>
        <w:tblCaption w:val="Diez ocupaciones más expuestas a LLMs (CIUO-08 4d), Lima Metropolitana"/>
      </w:tblPr>
      <w:tblGrid>
        <w:gridCol w:w="2640"/>
        <w:gridCol w:w="2640"/>
        <w:gridCol w:w="2640"/>
      </w:tblGrid>
      <w:tr>
        <w:trPr>
          <w:tblHeader w:val="on"/>
        </w:trPr>
        <w:tc>
          <w:tcPr/>
          <w:p>
            <w:pPr>
              <w:pStyle w:val="Compact"/>
              <w:jc w:val="center"/>
            </w:pPr>
            <w:r>
              <w:t xml:space="preserve">Código CIUO</w:t>
            </w:r>
          </w:p>
        </w:tc>
        <w:tc>
          <w:tcPr/>
          <w:p>
            <w:pPr>
              <w:pStyle w:val="Compact"/>
              <w:jc w:val="center"/>
            </w:pPr>
            <m:oMath>
              <m:r>
                <m:t>β</m:t>
              </m:r>
            </m:oMath>
          </w:p>
        </w:tc>
        <w:tc>
          <w:tcPr/>
          <w:p>
            <w:pPr>
              <w:pStyle w:val="Compact"/>
              <w:jc w:val="left"/>
            </w:pPr>
            <w:r>
              <w:t xml:space="preserve">Ocupación</w:t>
            </w:r>
          </w:p>
        </w:tc>
      </w:tr>
      <w:tr>
        <w:tc>
          <w:tcPr/>
          <w:p>
            <w:pPr>
              <w:pStyle w:val="Compact"/>
              <w:jc w:val="center"/>
            </w:pPr>
            <w:r>
              <w:t xml:space="preserve">2432</w:t>
            </w:r>
          </w:p>
        </w:tc>
        <w:tc>
          <w:tcPr/>
          <w:p>
            <w:pPr>
              <w:pStyle w:val="Compact"/>
              <w:jc w:val="center"/>
            </w:pPr>
            <w:r>
              <w:t xml:space="preserve">0.806</w:t>
            </w:r>
          </w:p>
        </w:tc>
        <w:tc>
          <w:tcPr/>
          <w:p>
            <w:pPr>
              <w:pStyle w:val="Compact"/>
              <w:jc w:val="left"/>
            </w:pPr>
            <w:r>
              <w:t xml:space="preserve">Profesionales en relaciones públicas</w:t>
            </w:r>
          </w:p>
        </w:tc>
      </w:tr>
      <w:tr>
        <w:tc>
          <w:tcPr/>
          <w:p>
            <w:pPr>
              <w:pStyle w:val="Compact"/>
              <w:jc w:val="center"/>
            </w:pPr>
            <w:r>
              <w:t xml:space="preserve">2643</w:t>
            </w:r>
          </w:p>
        </w:tc>
        <w:tc>
          <w:tcPr/>
          <w:p>
            <w:pPr>
              <w:pStyle w:val="Compact"/>
              <w:jc w:val="center"/>
            </w:pPr>
            <w:r>
              <w:t xml:space="preserve">0.741</w:t>
            </w:r>
          </w:p>
        </w:tc>
        <w:tc>
          <w:tcPr/>
          <w:p>
            <w:pPr>
              <w:pStyle w:val="Compact"/>
              <w:jc w:val="left"/>
            </w:pPr>
            <w:r>
              <w:t xml:space="preserve">Traductores, intérpretes y otros lingüistas</w:t>
            </w:r>
          </w:p>
        </w:tc>
      </w:tr>
      <w:tr>
        <w:tc>
          <w:tcPr/>
          <w:p>
            <w:pPr>
              <w:pStyle w:val="Compact"/>
              <w:jc w:val="center"/>
            </w:pPr>
            <w:r>
              <w:t xml:space="preserve">2514</w:t>
            </w:r>
          </w:p>
        </w:tc>
        <w:tc>
          <w:tcPr/>
          <w:p>
            <w:pPr>
              <w:pStyle w:val="Compact"/>
              <w:jc w:val="center"/>
            </w:pPr>
            <w:r>
              <w:t xml:space="preserve">0.706</w:t>
            </w:r>
          </w:p>
        </w:tc>
        <w:tc>
          <w:tcPr/>
          <w:p>
            <w:pPr>
              <w:pStyle w:val="Compact"/>
              <w:jc w:val="left"/>
            </w:pPr>
            <w:r>
              <w:t xml:space="preserve">Programadores de aplicaciones</w:t>
            </w:r>
          </w:p>
        </w:tc>
      </w:tr>
      <w:tr>
        <w:tc>
          <w:tcPr/>
          <w:p>
            <w:pPr>
              <w:pStyle w:val="Compact"/>
              <w:jc w:val="center"/>
            </w:pPr>
            <w:r>
              <w:t xml:space="preserve">2641</w:t>
            </w:r>
          </w:p>
        </w:tc>
        <w:tc>
          <w:tcPr/>
          <w:p>
            <w:pPr>
              <w:pStyle w:val="Compact"/>
              <w:jc w:val="center"/>
            </w:pPr>
            <w:r>
              <w:t xml:space="preserve">0.689</w:t>
            </w:r>
          </w:p>
        </w:tc>
        <w:tc>
          <w:tcPr/>
          <w:p>
            <w:pPr>
              <w:pStyle w:val="Compact"/>
              <w:jc w:val="left"/>
            </w:pPr>
            <w:r>
              <w:t xml:space="preserve">Autores y escritores</w:t>
            </w:r>
          </w:p>
        </w:tc>
      </w:tr>
      <w:tr>
        <w:tc>
          <w:tcPr/>
          <w:p>
            <w:pPr>
              <w:pStyle w:val="Compact"/>
              <w:jc w:val="center"/>
            </w:pPr>
            <w:r>
              <w:t xml:space="preserve">2120</w:t>
            </w:r>
          </w:p>
        </w:tc>
        <w:tc>
          <w:tcPr/>
          <w:p>
            <w:pPr>
              <w:pStyle w:val="Compact"/>
              <w:jc w:val="center"/>
            </w:pPr>
            <w:r>
              <w:t xml:space="preserve">0.682</w:t>
            </w:r>
          </w:p>
        </w:tc>
        <w:tc>
          <w:tcPr/>
          <w:p>
            <w:pPr>
              <w:pStyle w:val="Compact"/>
              <w:jc w:val="left"/>
            </w:pPr>
            <w:r>
              <w:t xml:space="preserve">Matemáticos, actuarios y estadísticos</w:t>
            </w:r>
          </w:p>
        </w:tc>
      </w:tr>
      <w:tr>
        <w:tc>
          <w:tcPr/>
          <w:p>
            <w:pPr>
              <w:pStyle w:val="Compact"/>
              <w:jc w:val="center"/>
            </w:pPr>
            <w:r>
              <w:t xml:space="preserve">3312</w:t>
            </w:r>
          </w:p>
        </w:tc>
        <w:tc>
          <w:tcPr/>
          <w:p>
            <w:pPr>
              <w:pStyle w:val="Compact"/>
              <w:jc w:val="center"/>
            </w:pPr>
            <w:r>
              <w:t xml:space="preserve">0.662</w:t>
            </w:r>
          </w:p>
        </w:tc>
        <w:tc>
          <w:tcPr/>
          <w:p>
            <w:pPr>
              <w:pStyle w:val="Compact"/>
              <w:jc w:val="left"/>
            </w:pPr>
            <w:r>
              <w:t xml:space="preserve">Oficiales de crédito y préstamos</w:t>
            </w:r>
          </w:p>
        </w:tc>
      </w:tr>
      <w:tr>
        <w:tc>
          <w:tcPr/>
          <w:p>
            <w:pPr>
              <w:pStyle w:val="Compact"/>
              <w:jc w:val="center"/>
            </w:pPr>
            <w:r>
              <w:t xml:space="preserve">2431</w:t>
            </w:r>
          </w:p>
        </w:tc>
        <w:tc>
          <w:tcPr/>
          <w:p>
            <w:pPr>
              <w:pStyle w:val="Compact"/>
              <w:jc w:val="center"/>
            </w:pPr>
            <w:r>
              <w:t xml:space="preserve">0.661</w:t>
            </w:r>
          </w:p>
        </w:tc>
        <w:tc>
          <w:tcPr/>
          <w:p>
            <w:pPr>
              <w:pStyle w:val="Compact"/>
              <w:jc w:val="left"/>
            </w:pPr>
            <w:r>
              <w:t xml:space="preserve">Profesionales de publicidad y marketing</w:t>
            </w:r>
          </w:p>
        </w:tc>
      </w:tr>
      <w:tr>
        <w:tc>
          <w:tcPr/>
          <w:p>
            <w:pPr>
              <w:pStyle w:val="Compact"/>
              <w:jc w:val="center"/>
            </w:pPr>
            <w:r>
              <w:t xml:space="preserve">3512</w:t>
            </w:r>
          </w:p>
        </w:tc>
        <w:tc>
          <w:tcPr/>
          <w:p>
            <w:pPr>
              <w:pStyle w:val="Compact"/>
              <w:jc w:val="center"/>
            </w:pPr>
            <w:r>
              <w:t xml:space="preserve">0.656</w:t>
            </w:r>
          </w:p>
        </w:tc>
        <w:tc>
          <w:tcPr/>
          <w:p>
            <w:pPr>
              <w:pStyle w:val="Compact"/>
              <w:jc w:val="left"/>
            </w:pPr>
            <w:r>
              <w:t xml:space="preserve">Técnicos de soporte de usuarios de TIC</w:t>
            </w:r>
          </w:p>
        </w:tc>
      </w:tr>
      <w:tr>
        <w:tc>
          <w:tcPr/>
          <w:p>
            <w:pPr>
              <w:pStyle w:val="Compact"/>
              <w:jc w:val="center"/>
            </w:pPr>
            <w:r>
              <w:t xml:space="preserve">4323</w:t>
            </w:r>
          </w:p>
        </w:tc>
        <w:tc>
          <w:tcPr/>
          <w:p>
            <w:pPr>
              <w:pStyle w:val="Compact"/>
              <w:jc w:val="center"/>
            </w:pPr>
            <w:r>
              <w:t xml:space="preserve">0.654</w:t>
            </w:r>
          </w:p>
        </w:tc>
        <w:tc>
          <w:tcPr/>
          <w:p>
            <w:pPr>
              <w:pStyle w:val="Compact"/>
              <w:jc w:val="left"/>
            </w:pPr>
            <w:r>
              <w:t xml:space="preserve">Empleados de transporte</w:t>
            </w:r>
          </w:p>
        </w:tc>
      </w:tr>
      <w:tr>
        <w:tc>
          <w:tcPr/>
          <w:p>
            <w:pPr>
              <w:pStyle w:val="Compact"/>
              <w:jc w:val="center"/>
            </w:pPr>
            <w:r>
              <w:t xml:space="preserve">2513</w:t>
            </w:r>
          </w:p>
        </w:tc>
        <w:tc>
          <w:tcPr/>
          <w:p>
            <w:pPr>
              <w:pStyle w:val="Compact"/>
              <w:jc w:val="center"/>
            </w:pPr>
            <w:r>
              <w:t xml:space="preserve">0.638</w:t>
            </w:r>
          </w:p>
        </w:tc>
        <w:tc>
          <w:tcPr/>
          <w:p>
            <w:pPr>
              <w:pStyle w:val="Compact"/>
              <w:jc w:val="left"/>
            </w:pPr>
            <w:r>
              <w:t xml:space="preserve">Desarrolladores web y multimedia</w:t>
            </w:r>
          </w:p>
        </w:tc>
      </w:tr>
    </w:tbl>
    <w:bookmarkEnd w:id="81"/>
    <w:p>
      <w:pPr>
        <w:pStyle w:val="BodyText"/>
      </w:pPr>
      <w:r>
        <w:rPr>
          <w:i/>
          <w:iCs/>
        </w:rPr>
        <w:t xml:space="preserve">Notas:</w:t>
      </w:r>
      <w:r>
        <w:t xml:space="preserve"> </w:t>
      </w:r>
      <w:r>
        <w:t xml:space="preserve">Ranking por valor de</w:t>
      </w:r>
      <w:r>
        <w:t xml:space="preserve"> </w:t>
      </w:r>
      <m:oMath>
        <m:r>
          <m:t>β</m:t>
        </m:r>
      </m:oMath>
      <w:r>
        <w:t xml:space="preserve"> </w:t>
      </w:r>
      <w:r>
        <w:t xml:space="preserve">de</w:t>
      </w:r>
      <w:r>
        <w:t xml:space="preserve"> </w:t>
      </w:r>
      <w:r>
        <w:t xml:space="preserve">Eloundou et al. (2024)</w:t>
      </w:r>
      <w:r>
        <w:t xml:space="preserve"> </w:t>
      </w:r>
      <w:r>
        <w:t xml:space="preserve">sobre las ocupaciones presentes en la EPEN 2021.</w:t>
      </w:r>
    </w:p>
    <w:bookmarkStart w:id="82" w:name="tab:peru_bottom10"/>
    <w:p>
      <w:pPr>
        <w:pStyle w:val="TableCaption"/>
      </w:pPr>
      <w:r>
        <w:t xml:space="preserve">Diez ocupaciones menos expuestas a LLMs (CIUO-08 4d), Lima Metropolitana</w:t>
      </w:r>
    </w:p>
    <w:tbl>
      <w:tblPr>
        <w:tblStyle w:val="Table"/>
        <w:tblW w:type="auto" w:w="0"/>
        <w:tblLook w:firstRow="1" w:lastRow="0" w:firstColumn="0" w:lastColumn="0" w:noHBand="0" w:noVBand="0" w:val="0020"/>
        <w:tblCaption w:val="Diez ocupaciones menos expuestas a LLMs (CIUO-08 4d), Lima Metropolitana"/>
      </w:tblPr>
      <w:tblGrid>
        <w:gridCol w:w="2640"/>
        <w:gridCol w:w="2640"/>
        <w:gridCol w:w="2640"/>
      </w:tblGrid>
      <w:tr>
        <w:trPr>
          <w:tblHeader w:val="on"/>
        </w:trPr>
        <w:tc>
          <w:tcPr/>
          <w:p>
            <w:pPr>
              <w:pStyle w:val="Compact"/>
              <w:jc w:val="center"/>
            </w:pPr>
            <w:r>
              <w:t xml:space="preserve">Código CIUO</w:t>
            </w:r>
          </w:p>
        </w:tc>
        <w:tc>
          <w:tcPr/>
          <w:p>
            <w:pPr>
              <w:pStyle w:val="Compact"/>
              <w:jc w:val="center"/>
            </w:pPr>
            <m:oMath>
              <m:r>
                <m:t>β</m:t>
              </m:r>
            </m:oMath>
          </w:p>
        </w:tc>
        <w:tc>
          <w:tcPr/>
          <w:p>
            <w:pPr>
              <w:pStyle w:val="Compact"/>
              <w:jc w:val="left"/>
            </w:pPr>
            <w:r>
              <w:t xml:space="preserve">Ocupación</w:t>
            </w:r>
          </w:p>
        </w:tc>
      </w:tr>
      <w:tr>
        <w:tc>
          <w:tcPr/>
          <w:p>
            <w:pPr>
              <w:pStyle w:val="Compact"/>
              <w:jc w:val="center"/>
            </w:pPr>
            <w:r>
              <w:t xml:space="preserve">3421</w:t>
            </w:r>
          </w:p>
        </w:tc>
        <w:tc>
          <w:tcPr/>
          <w:p>
            <w:pPr>
              <w:pStyle w:val="Compact"/>
              <w:jc w:val="center"/>
            </w:pPr>
            <w:r>
              <w:t xml:space="preserve">0.000</w:t>
            </w:r>
          </w:p>
        </w:tc>
        <w:tc>
          <w:tcPr/>
          <w:p>
            <w:pPr>
              <w:pStyle w:val="Compact"/>
              <w:jc w:val="left"/>
            </w:pPr>
            <w:r>
              <w:t xml:space="preserve">Atletas y deportistas</w:t>
            </w:r>
          </w:p>
        </w:tc>
      </w:tr>
      <w:tr>
        <w:tc>
          <w:tcPr/>
          <w:p>
            <w:pPr>
              <w:pStyle w:val="Compact"/>
              <w:jc w:val="center"/>
            </w:pPr>
            <w:r>
              <w:t xml:space="preserve">9122</w:t>
            </w:r>
          </w:p>
        </w:tc>
        <w:tc>
          <w:tcPr/>
          <w:p>
            <w:pPr>
              <w:pStyle w:val="Compact"/>
              <w:jc w:val="center"/>
            </w:pPr>
            <w:r>
              <w:t xml:space="preserve">0.000</w:t>
            </w:r>
          </w:p>
        </w:tc>
        <w:tc>
          <w:tcPr/>
          <w:p>
            <w:pPr>
              <w:pStyle w:val="Compact"/>
              <w:jc w:val="left"/>
            </w:pPr>
            <w:r>
              <w:t xml:space="preserve">Limpiadores de vehículos</w:t>
            </w:r>
          </w:p>
        </w:tc>
      </w:tr>
      <w:tr>
        <w:tc>
          <w:tcPr/>
          <w:p>
            <w:pPr>
              <w:pStyle w:val="Compact"/>
              <w:jc w:val="center"/>
            </w:pPr>
            <w:r>
              <w:t xml:space="preserve">9312</w:t>
            </w:r>
          </w:p>
        </w:tc>
        <w:tc>
          <w:tcPr/>
          <w:p>
            <w:pPr>
              <w:pStyle w:val="Compact"/>
              <w:jc w:val="center"/>
            </w:pPr>
            <w:r>
              <w:t xml:space="preserve">0.000</w:t>
            </w:r>
          </w:p>
        </w:tc>
        <w:tc>
          <w:tcPr/>
          <w:p>
            <w:pPr>
              <w:pStyle w:val="Compact"/>
              <w:jc w:val="left"/>
            </w:pPr>
            <w:r>
              <w:t xml:space="preserve">Peónes de obras públicas</w:t>
            </w:r>
          </w:p>
        </w:tc>
      </w:tr>
      <w:tr>
        <w:tc>
          <w:tcPr/>
          <w:p>
            <w:pPr>
              <w:pStyle w:val="Compact"/>
              <w:jc w:val="center"/>
            </w:pPr>
            <w:r>
              <w:t xml:space="preserve">9313</w:t>
            </w:r>
          </w:p>
        </w:tc>
        <w:tc>
          <w:tcPr/>
          <w:p>
            <w:pPr>
              <w:pStyle w:val="Compact"/>
              <w:jc w:val="center"/>
            </w:pPr>
            <w:r>
              <w:t xml:space="preserve">0.002</w:t>
            </w:r>
          </w:p>
        </w:tc>
        <w:tc>
          <w:tcPr/>
          <w:p>
            <w:pPr>
              <w:pStyle w:val="Compact"/>
              <w:jc w:val="left"/>
            </w:pPr>
            <w:r>
              <w:t xml:space="preserve">Peónes de la construcción de edificios</w:t>
            </w:r>
          </w:p>
        </w:tc>
      </w:tr>
      <w:tr>
        <w:tc>
          <w:tcPr/>
          <w:p>
            <w:pPr>
              <w:pStyle w:val="Compact"/>
              <w:jc w:val="center"/>
            </w:pPr>
            <w:r>
              <w:t xml:space="preserve">7214</w:t>
            </w:r>
          </w:p>
        </w:tc>
        <w:tc>
          <w:tcPr/>
          <w:p>
            <w:pPr>
              <w:pStyle w:val="Compact"/>
              <w:jc w:val="center"/>
            </w:pPr>
            <w:r>
              <w:t xml:space="preserve">0.007</w:t>
            </w:r>
          </w:p>
        </w:tc>
        <w:tc>
          <w:tcPr/>
          <w:p>
            <w:pPr>
              <w:pStyle w:val="Compact"/>
              <w:jc w:val="left"/>
            </w:pPr>
            <w:r>
              <w:t xml:space="preserve">Montadores de estructuras metálicas</w:t>
            </w:r>
          </w:p>
        </w:tc>
      </w:tr>
      <w:tr>
        <w:tc>
          <w:tcPr/>
          <w:p>
            <w:pPr>
              <w:pStyle w:val="Compact"/>
              <w:jc w:val="center"/>
            </w:pPr>
            <w:r>
              <w:t xml:space="preserve">8211</w:t>
            </w:r>
          </w:p>
        </w:tc>
        <w:tc>
          <w:tcPr/>
          <w:p>
            <w:pPr>
              <w:pStyle w:val="Compact"/>
              <w:jc w:val="center"/>
            </w:pPr>
            <w:r>
              <w:t xml:space="preserve">0.008</w:t>
            </w:r>
          </w:p>
        </w:tc>
        <w:tc>
          <w:tcPr/>
          <w:p>
            <w:pPr>
              <w:pStyle w:val="Compact"/>
              <w:jc w:val="left"/>
            </w:pPr>
            <w:r>
              <w:t xml:space="preserve">Ensambladores de maquinaria mecánica</w:t>
            </w:r>
          </w:p>
        </w:tc>
      </w:tr>
      <w:tr>
        <w:tc>
          <w:tcPr/>
          <w:p>
            <w:pPr>
              <w:pStyle w:val="Compact"/>
              <w:jc w:val="center"/>
            </w:pPr>
            <w:r>
              <w:t xml:space="preserve">7131</w:t>
            </w:r>
          </w:p>
        </w:tc>
        <w:tc>
          <w:tcPr/>
          <w:p>
            <w:pPr>
              <w:pStyle w:val="Compact"/>
              <w:jc w:val="center"/>
            </w:pPr>
            <w:r>
              <w:t xml:space="preserve">0.013</w:t>
            </w:r>
          </w:p>
        </w:tc>
        <w:tc>
          <w:tcPr/>
          <w:p>
            <w:pPr>
              <w:pStyle w:val="Compact"/>
              <w:jc w:val="left"/>
            </w:pPr>
            <w:r>
              <w:t xml:space="preserve">Pintores y empapeladores</w:t>
            </w:r>
          </w:p>
        </w:tc>
      </w:tr>
      <w:tr>
        <w:tc>
          <w:tcPr/>
          <w:p>
            <w:pPr>
              <w:pStyle w:val="Compact"/>
              <w:jc w:val="center"/>
            </w:pPr>
            <w:r>
              <w:t xml:space="preserve">7133</w:t>
            </w:r>
          </w:p>
        </w:tc>
        <w:tc>
          <w:tcPr/>
          <w:p>
            <w:pPr>
              <w:pStyle w:val="Compact"/>
              <w:jc w:val="center"/>
            </w:pPr>
            <w:r>
              <w:t xml:space="preserve">0.015</w:t>
            </w:r>
          </w:p>
        </w:tc>
        <w:tc>
          <w:tcPr/>
          <w:p>
            <w:pPr>
              <w:pStyle w:val="Compact"/>
              <w:jc w:val="left"/>
            </w:pPr>
            <w:r>
              <w:t xml:space="preserve">Limpiadores de fachadas y deshollinadores</w:t>
            </w:r>
          </w:p>
        </w:tc>
      </w:tr>
      <w:tr>
        <w:tc>
          <w:tcPr/>
          <w:p>
            <w:pPr>
              <w:pStyle w:val="Compact"/>
              <w:jc w:val="center"/>
            </w:pPr>
            <w:r>
              <w:t xml:space="preserve">9412</w:t>
            </w:r>
          </w:p>
        </w:tc>
        <w:tc>
          <w:tcPr/>
          <w:p>
            <w:pPr>
              <w:pStyle w:val="Compact"/>
              <w:jc w:val="center"/>
            </w:pPr>
            <w:r>
              <w:t xml:space="preserve">0.016</w:t>
            </w:r>
          </w:p>
        </w:tc>
        <w:tc>
          <w:tcPr/>
          <w:p>
            <w:pPr>
              <w:pStyle w:val="Compact"/>
              <w:jc w:val="left"/>
            </w:pPr>
            <w:r>
              <w:t xml:space="preserve">Ayudantes de cocina</w:t>
            </w:r>
          </w:p>
        </w:tc>
      </w:tr>
      <w:tr>
        <w:tc>
          <w:tcPr/>
          <w:p>
            <w:pPr>
              <w:pStyle w:val="Compact"/>
              <w:jc w:val="center"/>
            </w:pPr>
            <w:r>
              <w:t xml:space="preserve">7132</w:t>
            </w:r>
          </w:p>
        </w:tc>
        <w:tc>
          <w:tcPr/>
          <w:p>
            <w:pPr>
              <w:pStyle w:val="Compact"/>
              <w:jc w:val="center"/>
            </w:pPr>
            <w:r>
              <w:t xml:space="preserve">0.017</w:t>
            </w:r>
          </w:p>
        </w:tc>
        <w:tc>
          <w:tcPr/>
          <w:p>
            <w:pPr>
              <w:pStyle w:val="Compact"/>
              <w:jc w:val="left"/>
            </w:pPr>
            <w:r>
              <w:t xml:space="preserve">Pintores con pistola y barnizadores</w:t>
            </w:r>
          </w:p>
        </w:tc>
      </w:tr>
    </w:tbl>
    <w:bookmarkEnd w:id="82"/>
    <w:p>
      <w:pPr>
        <w:pStyle w:val="BodyText"/>
      </w:pPr>
      <w:r>
        <w:rPr>
          <w:i/>
          <w:iCs/>
        </w:rPr>
        <w:t xml:space="preserve">Notas:</w:t>
      </w:r>
      <w:r>
        <w:t xml:space="preserve"> </w:t>
      </w:r>
      <w:r>
        <w:t xml:space="preserve">Ranking inverso por</w:t>
      </w:r>
      <w:r>
        <w:t xml:space="preserve"> </w:t>
      </w:r>
      <m:oMath>
        <m:r>
          <m:t>β</m:t>
        </m:r>
      </m:oMath>
      <w:r>
        <w:t xml:space="preserve">. Código CIUO 9313 (peónes de construcción) concentra una masa de empleo expandido sustancial en Lima Metropolitana, ilustrando que la cola de baja exposición no es residual.</w:t>
      </w:r>
    </w:p>
    <w:bookmarkEnd w:id="83"/>
    <w:bookmarkStart w:id="170" w:name="app:peru_subsamples"/>
    <w:p>
      <w:pPr>
        <w:pStyle w:val="Heading2"/>
      </w:pPr>
      <w:r>
        <w:rPr>
          <w:rStyle w:val="SectionNumber"/>
        </w:rPr>
        <w:t xml:space="preserve">8.3</w:t>
      </w:r>
      <w:r>
        <w:tab/>
      </w:r>
      <w:r>
        <w:t xml:space="preserve">Heterogeneidad por formalidad estimada en submuestras</w:t>
      </w:r>
    </w:p>
    <w:p>
      <w:pPr>
        <w:pStyle w:val="FirstParagraph"/>
      </w:pPr>
      <w:r>
        <w:t xml:space="preserve">La</w:t>
      </w:r>
      <w:r>
        <w:t xml:space="preserve"> </w:t>
      </w:r>
      <w:hyperlink w:anchor="tab:peru_formality_split">
        <w:r>
          <w:rPr>
            <w:rStyle w:val="Hyperlink"/>
          </w:rPr>
          <w:t xml:space="preserve">11</w:t>
        </w:r>
      </w:hyperlink>
      <w:r>
        <w:t xml:space="preserve"> </w:t>
      </w:r>
      <w:r>
        <w:t xml:space="preserve">reporta una verificación alternativa del análisis interactuado de la</w:t>
      </w:r>
      <w:r>
        <w:t xml:space="preserve"> </w:t>
      </w:r>
      <w:hyperlink w:anchor="tab:peru_formality">
        <w:r>
          <w:rPr>
            <w:rStyle w:val="Hyperlink"/>
          </w:rPr>
          <w:t xml:space="preserve">7</w:t>
        </w:r>
      </w:hyperlink>
      <w:r>
        <w:t xml:space="preserve">: el panel se divide en la mediana ponderada por empleo de</w:t>
      </w:r>
      <w:r>
        <w:t xml:space="preserve"> </w:t>
      </w:r>
      <m:oMath>
        <m:sSubSup>
          <m:e>
            <m:r>
              <m:t>F</m:t>
            </m:r>
          </m:e>
          <m:sub>
            <m:r>
              <m:t>o</m:t>
            </m:r>
          </m:sub>
          <m:sup>
            <m:r>
              <m:t>2021</m:t>
            </m:r>
          </m:sup>
        </m:sSubSup>
      </m:oMath>
      <w:r>
        <w:t xml:space="preserve"> </w:t>
      </w:r>
      <w:r>
        <w:t xml:space="preserve">y la</w:t>
      </w:r>
      <w:r>
        <w:t xml:space="preserve"> </w:t>
      </w:r>
      <w:hyperlink w:anchor="eq:did_main">
        <w:r>
          <w:rPr>
            <w:rStyle w:val="Hyperlink"/>
          </w:rPr>
          <w:t xml:space="preserve">[eq:did_main]</w:t>
        </w:r>
      </w:hyperlink>
      <w:r>
        <w:t xml:space="preserve"> </w:t>
      </w:r>
      <w:r>
        <w:t xml:space="preserve">se estima por separado en cada submuestra. El patrón cualitativo coincide con la regresión interactuada del cuerpo principal y entrega coeficientes estimables sin imponer la restricción de aditividad entre canales.</w:t>
      </w:r>
    </w:p>
    <w:bookmarkStart w:id="84" w:name="tab:peru_formality_split"/>
    <w:p>
      <w:pPr>
        <w:pStyle w:val="TableCaption"/>
      </w:pPr>
      <m:oMath>
        <m:sSup>
          <m:e>
            <m:acc>
              <m:accPr>
                <m:chr m:val="̂"/>
              </m:accPr>
              <m:e>
                <m:r>
                  <m:t>τ</m:t>
                </m:r>
              </m:e>
            </m:acc>
          </m:e>
          <m:sup>
            <m:r>
              <m:rPr>
                <m:nor/>
                <m:sty m:val="p"/>
              </m:rPr>
              <m:t>Perú</m:t>
            </m:r>
          </m:sup>
        </m:sSup>
      </m:oMath>
      <w:r>
        <w:t xml:space="preserve"> </w:t>
      </w:r>
      <w:r>
        <w:t xml:space="preserve">en submuestras divididas por formalidad de línea base</w:t>
      </w:r>
    </w:p>
    <w:tbl>
      <w:tblPr>
        <w:tblStyle w:val="Table"/>
        <w:tblW w:type="auto" w:w="0"/>
        <w:tblLook w:firstRow="1" w:lastRow="0" w:firstColumn="0" w:lastColumn="0" w:noHBand="0" w:noVBand="0" w:val="0020"/>
        <w:tblCaption w:val="\hat\tau^{\text{Per\'{u}}} en submuestras divididas por formalidad de línea base"/>
      </w:tblPr>
      <w:tblGrid>
        <w:gridCol w:w="1980"/>
        <w:gridCol w:w="1980"/>
        <w:gridCol w:w="1980"/>
        <w:gridCol w:w="1980"/>
      </w:tblGrid>
      <w:tr>
        <w:trPr>
          <w:tblHeader w:val="on"/>
        </w:trPr>
        <w:tc>
          <w:tcPr/>
          <w:p>
            <w:pPr>
              <w:pStyle w:val="Compact"/>
            </w:pPr>
          </w:p>
        </w:tc>
        <w:tc>
          <w:tcPr/>
          <w:p>
            <w:pPr>
              <w:pStyle w:val="Compact"/>
              <w:jc w:val="center"/>
            </w:pPr>
            <w:r>
              <w:t xml:space="preserve">log empleo</w:t>
            </w:r>
          </w:p>
        </w:tc>
        <w:tc>
          <w:tcPr/>
          <w:p>
            <w:pPr>
              <w:pStyle w:val="Compact"/>
              <w:jc w:val="center"/>
            </w:pPr>
            <w:r>
              <w:t xml:space="preserve">log salario hora</w:t>
            </w:r>
          </w:p>
        </w:tc>
        <w:tc>
          <w:tcPr/>
          <w:p>
            <w:pPr>
              <w:pStyle w:val="Compact"/>
              <w:jc w:val="center"/>
            </w:pPr>
            <w:r>
              <w:t xml:space="preserve">horas semanales</w:t>
            </w:r>
          </w:p>
        </w:tc>
      </w:tr>
      <w:tr>
        <w:tc>
          <w:tcPr>
            <w:gridSpan w:val="4"/>
          </w:tcPr>
          <w:p>
            <w:pPr>
              <w:pStyle w:val="Compact"/>
              <w:jc w:val="left"/>
            </w:pPr>
            <w:r>
              <w:rPr>
                <w:i/>
                <w:iCs/>
              </w:rPr>
              <w:t xml:space="preserve">Submuestra A. Alta formalidad de línea base (</w:t>
            </w:r>
            <m:oMath>
              <m:sSubSup>
                <m:e>
                  <m:r>
                    <m:t>F</m:t>
                  </m:r>
                </m:e>
                <m:sub>
                  <m:r>
                    <m:t>o</m:t>
                  </m:r>
                </m:sub>
                <m:sup>
                  <m:r>
                    <m:t>2021</m:t>
                  </m:r>
                </m:sup>
              </m:sSubSup>
              <m:r>
                <m:rPr>
                  <m:sty m:val="p"/>
                </m:rPr>
                <m:t>&gt;</m:t>
              </m:r>
              <m:r>
                <m:t>0.225</m:t>
              </m:r>
            </m:oMath>
            <w:r>
              <w:rPr>
                <w:i/>
                <w:iCs/>
              </w:rPr>
              <w:t xml:space="preserve">,</w:t>
            </w:r>
            <w:r>
              <w:rPr>
                <w:i/>
                <w:iCs/>
              </w:rPr>
              <w:t xml:space="preserve"> </w:t>
            </w:r>
            <m:oMath>
              <m:r>
                <m:t>N</m:t>
              </m:r>
              <m:r>
                <m:rPr>
                  <m:sty m:val="p"/>
                </m:rPr>
                <m:t>=</m:t>
              </m:r>
              <m:r>
                <m:t>1</m:t>
              </m:r>
              <m:r>
                <m:rPr>
                  <m:sty m:val="p"/>
                </m:rPr>
                <m:t>,</m:t>
              </m:r>
              <m:r>
                <m:t>446</m:t>
              </m:r>
            </m:oMath>
            <w:r>
              <w:rPr>
                <w:i/>
                <w:iCs/>
              </w:rPr>
              <w:t xml:space="preserve">)</w:t>
            </w:r>
          </w:p>
        </w:tc>
      </w:tr>
      <w:tr>
        <w:tc>
          <w:tcPr/>
          <w:p>
            <w:pPr>
              <w:pStyle w:val="Compact"/>
              <w:jc w:val="left"/>
            </w:pPr>
            <m:oMath>
              <m:sSup>
                <m:e>
                  <m:acc>
                    <m:accPr>
                      <m:chr m:val="̂"/>
                    </m:accPr>
                    <m:e>
                      <m:r>
                        <m:t>τ</m:t>
                      </m:r>
                    </m:e>
                  </m:acc>
                </m:e>
                <m:sup>
                  <m:r>
                    <m:rPr>
                      <m:nor/>
                      <m:sty m:val="p"/>
                    </m:rPr>
                    <m:t>Perú</m:t>
                  </m:r>
                </m:sup>
              </m:sSup>
            </m:oMath>
          </w:p>
        </w:tc>
        <w:tc>
          <w:tcPr/>
          <w:p>
            <w:pPr>
              <w:pStyle w:val="Compact"/>
              <w:jc w:val="center"/>
            </w:pPr>
            <m:oMath>
              <m:sSup>
                <m:e>
                  <m:r>
                    <m:rPr>
                      <m:sty m:val="b"/>
                    </m:rPr>
                    <m:t>0.720</m:t>
                  </m:r>
                </m:e>
                <m:sup>
                  <m:r>
                    <m:rPr>
                      <m:sty m:val="b"/>
                    </m:rPr>
                    <m:t>*</m:t>
                  </m:r>
                  <m:r>
                    <m:rPr>
                      <m:sty m:val="b"/>
                    </m:rPr>
                    <m:t>*</m:t>
                  </m:r>
                  <m:r>
                    <m:rPr>
                      <m:sty m:val="b"/>
                    </m:rPr>
                    <m:t>*</m:t>
                  </m:r>
                </m:sup>
              </m:sSup>
            </m:oMath>
          </w:p>
        </w:tc>
        <w:tc>
          <w:tcPr/>
          <w:p>
            <w:pPr>
              <w:pStyle w:val="Compact"/>
              <w:jc w:val="center"/>
            </w:pPr>
            <m:oMath>
              <m:r>
                <m:rPr>
                  <m:sty m:val="p"/>
                </m:rPr>
                <m:t>−</m:t>
              </m:r>
              <m:r>
                <m:t>0.077</m:t>
              </m:r>
            </m:oMath>
          </w:p>
        </w:tc>
        <w:tc>
          <w:tcPr/>
          <w:p>
            <w:pPr>
              <w:pStyle w:val="Compact"/>
              <w:jc w:val="center"/>
            </w:pPr>
            <m:oMath>
              <m:r>
                <m:rPr>
                  <m:sty m:val="p"/>
                </m:rPr>
                <m:t>−</m:t>
              </m:r>
              <m:sSup>
                <m:e>
                  <m:r>
                    <m:t>2.480</m:t>
                  </m:r>
                </m:e>
                <m:sup>
                  <m:r>
                    <m:rPr>
                      <m:sty m:val="p"/>
                    </m:rPr>
                    <m:t>*</m:t>
                  </m:r>
                </m:sup>
              </m:sSup>
            </m:oMath>
          </w:p>
        </w:tc>
      </w:tr>
      <w:tr>
        <w:tc>
          <w:tcPr/>
          <w:p>
            <w:pPr>
              <w:pStyle w:val="Compact"/>
            </w:pPr>
          </w:p>
        </w:tc>
        <w:tc>
          <w:tcPr/>
          <w:p>
            <w:pPr>
              <w:pStyle w:val="Compact"/>
              <w:jc w:val="center"/>
            </w:pPr>
            <m:oMath>
              <m:r>
                <m:rPr>
                  <m:sty m:val="p"/>
                </m:rPr>
                <m:t>(</m:t>
              </m:r>
              <m:r>
                <m:t>0.232</m:t>
              </m:r>
              <m:r>
                <m:rPr>
                  <m:sty m:val="p"/>
                </m:rPr>
                <m:t>)</m:t>
              </m:r>
            </m:oMath>
          </w:p>
        </w:tc>
        <w:tc>
          <w:tcPr/>
          <w:p>
            <w:pPr>
              <w:pStyle w:val="Compact"/>
              <w:jc w:val="center"/>
            </w:pPr>
            <m:oMath>
              <m:r>
                <m:rPr>
                  <m:sty m:val="p"/>
                </m:rPr>
                <m:t>(</m:t>
              </m:r>
              <m:r>
                <m:t>0.055</m:t>
              </m:r>
              <m:r>
                <m:rPr>
                  <m:sty m:val="p"/>
                </m:rPr>
                <m:t>)</m:t>
              </m:r>
            </m:oMath>
          </w:p>
        </w:tc>
        <w:tc>
          <w:tcPr/>
          <w:p>
            <w:pPr>
              <w:pStyle w:val="Compact"/>
              <w:jc w:val="center"/>
            </w:pPr>
            <m:oMath>
              <m:r>
                <m:rPr>
                  <m:sty m:val="p"/>
                </m:rPr>
                <m:t>(</m:t>
              </m:r>
              <m:r>
                <m:t>1.262</m:t>
              </m:r>
              <m:r>
                <m:rPr>
                  <m:sty m:val="p"/>
                </m:rPr>
                <m:t>)</m:t>
              </m:r>
            </m:oMath>
          </w:p>
        </w:tc>
      </w:tr>
      <w:tr>
        <w:tc>
          <w:tcPr>
            <w:gridSpan w:val="4"/>
          </w:tcPr>
          <w:p>
            <w:pPr>
              <w:pStyle w:val="Compact"/>
              <w:jc w:val="left"/>
            </w:pPr>
            <w:r>
              <w:rPr>
                <w:i/>
                <w:iCs/>
              </w:rPr>
              <w:t xml:space="preserve">Submuestra B. Baja formalidad de línea base (</w:t>
            </w:r>
            <m:oMath>
              <m:sSubSup>
                <m:e>
                  <m:r>
                    <m:t>F</m:t>
                  </m:r>
                </m:e>
                <m:sub>
                  <m:r>
                    <m:t>o</m:t>
                  </m:r>
                </m:sub>
                <m:sup>
                  <m:r>
                    <m:t>2021</m:t>
                  </m:r>
                </m:sup>
              </m:sSubSup>
              <m:r>
                <m:rPr>
                  <m:sty m:val="p"/>
                </m:rPr>
                <m:t>≤</m:t>
              </m:r>
              <m:r>
                <m:t>0.225</m:t>
              </m:r>
            </m:oMath>
            <w:r>
              <w:rPr>
                <w:i/>
                <w:iCs/>
              </w:rPr>
              <w:t xml:space="preserve">,</w:t>
            </w:r>
            <w:r>
              <w:rPr>
                <w:i/>
                <w:iCs/>
              </w:rPr>
              <w:t xml:space="preserve"> </w:t>
            </w:r>
            <m:oMath>
              <m:r>
                <m:t>N</m:t>
              </m:r>
              <m:r>
                <m:rPr>
                  <m:sty m:val="p"/>
                </m:rPr>
                <m:t>=</m:t>
              </m:r>
              <m:r>
                <m:t>632</m:t>
              </m:r>
            </m:oMath>
            <w:r>
              <w:rPr>
                <w:i/>
                <w:iCs/>
              </w:rPr>
              <w:t xml:space="preserve">)</w:t>
            </w:r>
          </w:p>
        </w:tc>
      </w:tr>
      <w:tr>
        <w:tc>
          <w:tcPr/>
          <w:p>
            <w:pPr>
              <w:pStyle w:val="Compact"/>
              <w:jc w:val="left"/>
            </w:pPr>
            <m:oMath>
              <m:sSup>
                <m:e>
                  <m:acc>
                    <m:accPr>
                      <m:chr m:val="̂"/>
                    </m:accPr>
                    <m:e>
                      <m:r>
                        <m:t>τ</m:t>
                      </m:r>
                    </m:e>
                  </m:acc>
                </m:e>
                <m:sup>
                  <m:r>
                    <m:rPr>
                      <m:nor/>
                      <m:sty m:val="p"/>
                    </m:rPr>
                    <m:t>Perú</m:t>
                  </m:r>
                </m:sup>
              </m:sSup>
            </m:oMath>
          </w:p>
        </w:tc>
        <w:tc>
          <w:tcPr/>
          <w:p>
            <w:pPr>
              <w:pStyle w:val="Compact"/>
              <w:jc w:val="center"/>
            </w:pPr>
            <m:oMath>
              <m:r>
                <m:rPr>
                  <m:sty m:val="p"/>
                </m:rPr>
                <m:t>−</m:t>
              </m:r>
              <m:r>
                <m:t>0.545</m:t>
              </m:r>
            </m:oMath>
          </w:p>
        </w:tc>
        <w:tc>
          <w:tcPr/>
          <w:p>
            <w:pPr>
              <w:pStyle w:val="Compact"/>
              <w:jc w:val="center"/>
            </w:pPr>
            <m:oMath>
              <m:sSup>
                <m:e>
                  <m:r>
                    <m:rPr>
                      <m:sty m:val="b"/>
                    </m:rPr>
                    <m:t>0.254</m:t>
                  </m:r>
                </m:e>
                <m:sup>
                  <m:r>
                    <m:rPr>
                      <m:sty m:val="b"/>
                    </m:rPr>
                    <m:t>*</m:t>
                  </m:r>
                  <m:r>
                    <m:rPr>
                      <m:sty m:val="b"/>
                    </m:rPr>
                    <m:t>*</m:t>
                  </m:r>
                  <m:r>
                    <m:rPr>
                      <m:sty m:val="b"/>
                    </m:rPr>
                    <m:t>*</m:t>
                  </m:r>
                </m:sup>
              </m:sSup>
            </m:oMath>
          </w:p>
        </w:tc>
        <w:tc>
          <w:tcPr/>
          <w:p>
            <w:pPr>
              <w:pStyle w:val="Compact"/>
              <w:jc w:val="center"/>
            </w:pPr>
            <m:oMath>
              <m:r>
                <m:rPr>
                  <m:sty m:val="p"/>
                </m:rPr>
                <m:t>−</m:t>
              </m:r>
              <m:r>
                <m:t>4.545</m:t>
              </m:r>
            </m:oMath>
          </w:p>
        </w:tc>
      </w:tr>
      <w:tr>
        <w:tc>
          <w:tcPr/>
          <w:p>
            <w:pPr>
              <w:pStyle w:val="Compact"/>
            </w:pPr>
          </w:p>
        </w:tc>
        <w:tc>
          <w:tcPr/>
          <w:p>
            <w:pPr>
              <w:pStyle w:val="Compact"/>
              <w:jc w:val="center"/>
            </w:pPr>
            <m:oMath>
              <m:r>
                <m:rPr>
                  <m:sty m:val="p"/>
                </m:rPr>
                <m:t>(</m:t>
              </m:r>
              <m:r>
                <m:t>0.339</m:t>
              </m:r>
              <m:r>
                <m:rPr>
                  <m:sty m:val="p"/>
                </m:rPr>
                <m:t>)</m:t>
              </m:r>
            </m:oMath>
          </w:p>
        </w:tc>
        <w:tc>
          <w:tcPr/>
          <w:p>
            <w:pPr>
              <w:pStyle w:val="Compact"/>
              <w:jc w:val="center"/>
            </w:pPr>
            <m:oMath>
              <m:r>
                <m:rPr>
                  <m:sty m:val="p"/>
                </m:rPr>
                <m:t>(</m:t>
              </m:r>
              <m:r>
                <m:t>0.091</m:t>
              </m:r>
              <m:r>
                <m:rPr>
                  <m:sty m:val="p"/>
                </m:rPr>
                <m:t>)</m:t>
              </m:r>
            </m:oMath>
          </w:p>
        </w:tc>
        <w:tc>
          <w:tcPr/>
          <w:p>
            <w:pPr>
              <w:pStyle w:val="Compact"/>
              <w:jc w:val="center"/>
            </w:pPr>
            <m:oMath>
              <m:r>
                <m:rPr>
                  <m:sty m:val="p"/>
                </m:rPr>
                <m:t>(</m:t>
              </m:r>
              <m:r>
                <m:t>4.656</m:t>
              </m:r>
              <m:r>
                <m:rPr>
                  <m:sty m:val="p"/>
                </m:rPr>
                <m:t>)</m:t>
              </m:r>
            </m:oMath>
          </w:p>
        </w:tc>
      </w:tr>
    </w:tbl>
    <w:bookmarkEnd w:id="84"/>
    <w:p>
      <w:pPr>
        <w:pStyle w:val="BodyText"/>
      </w:pPr>
      <w:r>
        <w:rPr>
          <w:i/>
          <w:iCs/>
        </w:rPr>
        <w:t xml:space="preserve">Notas:</w:t>
      </w:r>
      <w:r>
        <w:t xml:space="preserve"> </w:t>
      </w:r>
      <w:r>
        <w:t xml:space="preserve">Cada submuestra se estima con la misma especificación de la</w:t>
      </w:r>
      <w:r>
        <w:t xml:space="preserve"> </w:t>
      </w:r>
      <w:hyperlink w:anchor="eq:did_main">
        <w:r>
          <w:rPr>
            <w:rStyle w:val="Hyperlink"/>
          </w:rPr>
          <w:t xml:space="preserve">[eq:did_main]</w:t>
        </w:r>
      </w:hyperlink>
      <w:r>
        <w:t xml:space="preserve">, ponderada por empleo, con efectos fijos de ocupación y tiempo y errores estándar agrupados a nivel de ocupación. La mediana de corte</w:t>
      </w:r>
      <w:r>
        <w:t xml:space="preserve"> </w:t>
      </w:r>
      <m:oMath>
        <m:sSubSup>
          <m:e>
            <m:r>
              <m:t>F</m:t>
            </m:r>
          </m:e>
          <m:sub>
            <m:r>
              <m:t>o</m:t>
            </m:r>
          </m:sub>
          <m:sup>
            <m:r>
              <m:t>2021</m:t>
            </m:r>
          </m:sup>
        </m:sSubSup>
        <m:r>
          <m:rPr>
            <m:sty m:val="p"/>
          </m:rPr>
          <m:t>=</m:t>
        </m:r>
        <m:r>
          <m:t>0.225</m:t>
        </m:r>
      </m:oMath>
      <w:r>
        <w:t xml:space="preserve"> </w:t>
      </w:r>
      <w:r>
        <w:t xml:space="preserve">se calcula sobre 2021 ponderada por empleo. ***</w:t>
      </w:r>
      <w:r>
        <w:t xml:space="preserve"> </w:t>
      </w:r>
      <m:oMath>
        <m:r>
          <m:t>p</m:t>
        </m:r>
        <m:r>
          <m:rPr>
            <m:sty m:val="p"/>
          </m:rPr>
          <m:t>&lt;</m:t>
        </m:r>
        <m:r>
          <m:t>0.01</m:t>
        </m:r>
      </m:oMath>
      <w:r>
        <w:t xml:space="preserve">, **</w:t>
      </w:r>
      <w:r>
        <w:t xml:space="preserve"> </w:t>
      </w:r>
      <m:oMath>
        <m:r>
          <m:t>p</m:t>
        </m:r>
        <m:r>
          <m:rPr>
            <m:sty m:val="p"/>
          </m:rPr>
          <m:t>&lt;</m:t>
        </m:r>
        <m:r>
          <m:t>0.05</m:t>
        </m:r>
      </m:oMath>
      <w:r>
        <w:t xml:space="preserve">, *</w:t>
      </w:r>
      <w:r>
        <w:t xml:space="preserve"> </w:t>
      </w:r>
      <m:oMath>
        <m:r>
          <m:t>p</m:t>
        </m:r>
        <m:r>
          <m:rPr>
            <m:sty m:val="p"/>
          </m:rPr>
          <m:t>&lt;</m:t>
        </m:r>
        <m:r>
          <m:t>0.10</m:t>
        </m:r>
      </m:oMath>
      <w:r>
        <w:t xml:space="preserve">.</w:t>
      </w:r>
    </w:p>
    <w:bookmarkStart w:id="169" w:name="refs"/>
    <w:bookmarkStart w:id="86" w:name="ref-AbadieAIW2023_cluster"/>
    <w:p>
      <w:pPr>
        <w:pStyle w:val="Bibliography"/>
      </w:pPr>
      <w:r>
        <w:t xml:space="preserve">Abadie, Alberto, Susan Athey, Guido W. Imbens, and Jeffrey M. Wooldridge. 2023.</w:t>
      </w:r>
      <w:r>
        <w:t xml:space="preserve"> </w:t>
      </w:r>
      <w:r>
        <w:t xml:space="preserve">“When Should You Adjust Standard Errors for Clustering?”</w:t>
      </w:r>
      <w:r>
        <w:t xml:space="preserve"> </w:t>
      </w:r>
      <w:r>
        <w:rPr>
          <w:i/>
          <w:iCs/>
        </w:rPr>
        <w:t xml:space="preserve">The Quarterly Journal of Economics</w:t>
      </w:r>
      <w:r>
        <w:t xml:space="preserve"> </w:t>
      </w:r>
      <w:r>
        <w:t xml:space="preserve">138 (1): 1–35.</w:t>
      </w:r>
      <w:r>
        <w:t xml:space="preserve"> </w:t>
      </w:r>
      <w:hyperlink r:id="rId85">
        <w:r>
          <w:rPr>
            <w:rStyle w:val="Hyperlink"/>
          </w:rPr>
          <w:t xml:space="preserve">https://doi.org/10.1093/qje/qjac038</w:t>
        </w:r>
      </w:hyperlink>
      <w:r>
        <w:t xml:space="preserve">.</w:t>
      </w:r>
    </w:p>
    <w:bookmarkEnd w:id="86"/>
    <w:bookmarkStart w:id="88" w:name="ref-AcemogluAutor2011_tasks"/>
    <w:p>
      <w:pPr>
        <w:pStyle w:val="Bibliography"/>
      </w:pPr>
      <w:r>
        <w:t xml:space="preserve">Acemoglu, Daron, and David Autor. 2011.</w:t>
      </w:r>
      <w:r>
        <w:t xml:space="preserve"> </w:t>
      </w:r>
      <w:r>
        <w:t xml:space="preserve">“Skills, Tasks and Technologies: Implications for Employment and Earnings.”</w:t>
      </w:r>
      <w:r>
        <w:t xml:space="preserve"> </w:t>
      </w:r>
      <w:r>
        <w:t xml:space="preserve">In</w:t>
      </w:r>
      <w:r>
        <w:t xml:space="preserve"> </w:t>
      </w:r>
      <w:r>
        <w:rPr>
          <w:i/>
          <w:iCs/>
        </w:rPr>
        <w:t xml:space="preserve">Handbook of Labor Economics</w:t>
      </w:r>
      <w:r>
        <w:t xml:space="preserve">, edited by David Card and Orley Ashenfelter, vol. 4. Handbook of Labor Economics. Elsevier.</w:t>
      </w:r>
      <w:r>
        <w:t xml:space="preserve"> </w:t>
      </w:r>
      <w:hyperlink r:id="rId87">
        <w:r>
          <w:rPr>
            <w:rStyle w:val="Hyperlink"/>
          </w:rPr>
          <w:t xml:space="preserve">https://doi.org/10.1016/S0169-7218(11)02410-5</w:t>
        </w:r>
      </w:hyperlink>
      <w:r>
        <w:t xml:space="preserve">.</w:t>
      </w:r>
    </w:p>
    <w:bookmarkEnd w:id="88"/>
    <w:bookmarkStart w:id="90" w:name="ref-AcemogluAHR2022_ai_jobs"/>
    <w:p>
      <w:pPr>
        <w:pStyle w:val="Bibliography"/>
      </w:pPr>
      <w:r>
        <w:t xml:space="preserve">Acemoglu, Daron, David Autor, Jonathon Hazell, and Pascual Restrepo. 2022.</w:t>
      </w:r>
      <w:r>
        <w:t xml:space="preserve"> </w:t>
      </w:r>
      <w:r>
        <w:rPr>
          <w:i/>
          <w:iCs/>
        </w:rPr>
        <w:t xml:space="preserve">Artificial Intelligence and Jobs: Evidence from Online Vacancies</w:t>
      </w:r>
      <w:r>
        <w:t xml:space="preserve">. LSE Research Online Documents on Economics No. 113325. London School of Economics, LSE Library.</w:t>
      </w:r>
      <w:r>
        <w:t xml:space="preserve"> </w:t>
      </w:r>
      <w:hyperlink r:id="rId89">
        <w:r>
          <w:rPr>
            <w:rStyle w:val="Hyperlink"/>
          </w:rPr>
          <w:t xml:space="preserve">https://ideas.repec.org/p/ehl/lserod/113325.html</w:t>
        </w:r>
      </w:hyperlink>
      <w:r>
        <w:t xml:space="preserve">.</w:t>
      </w:r>
    </w:p>
    <w:bookmarkEnd w:id="90"/>
    <w:bookmarkStart w:id="92" w:name="ref-AcemogluRestrepo2018_race"/>
    <w:p>
      <w:pPr>
        <w:pStyle w:val="Bibliography"/>
      </w:pPr>
      <w:r>
        <w:t xml:space="preserve">Acemoglu, Daron, and Pascual Restrepo. 2018.</w:t>
      </w:r>
      <w:r>
        <w:t xml:space="preserve"> </w:t>
      </w:r>
      <w:r>
        <w:t xml:space="preserve">“The Race Between Man and Machine: Implications of Technology for Growth, Factor Shares, and Employment.”</w:t>
      </w:r>
      <w:r>
        <w:t xml:space="preserve"> </w:t>
      </w:r>
      <w:r>
        <w:rPr>
          <w:i/>
          <w:iCs/>
        </w:rPr>
        <w:t xml:space="preserve">American Economic Review</w:t>
      </w:r>
      <w:r>
        <w:t xml:space="preserve"> </w:t>
      </w:r>
      <w:r>
        <w:t xml:space="preserve">108 (6): 1488–542.</w:t>
      </w:r>
      <w:r>
        <w:t xml:space="preserve"> </w:t>
      </w:r>
      <w:hyperlink r:id="rId91">
        <w:r>
          <w:rPr>
            <w:rStyle w:val="Hyperlink"/>
          </w:rPr>
          <w:t xml:space="preserve">https://doi.org/10.1257/aer.20160696</w:t>
        </w:r>
      </w:hyperlink>
      <w:r>
        <w:t xml:space="preserve">.</w:t>
      </w:r>
    </w:p>
    <w:bookmarkEnd w:id="92"/>
    <w:bookmarkStart w:id="94" w:name="X9d6359d261156e01811b17e2217b2d40d337029"/>
    <w:p>
      <w:pPr>
        <w:pStyle w:val="Bibliography"/>
      </w:pPr>
      <w:r>
        <w:t xml:space="preserve">Acemoglu, Daron, and Pascual Restrepo. 2022.</w:t>
      </w:r>
      <w:r>
        <w:t xml:space="preserve"> </w:t>
      </w:r>
      <w:r>
        <w:t xml:space="preserve">“Tasks, Automation, and the Rise in</w:t>
      </w:r>
      <w:r>
        <w:t xml:space="preserve"> </w:t>
      </w:r>
      <w:r>
        <w:t xml:space="preserve">U.S.</w:t>
      </w:r>
      <w:r>
        <w:t xml:space="preserve"> </w:t>
      </w:r>
      <w:r>
        <w:t xml:space="preserve">Wage Inequality.”</w:t>
      </w:r>
      <w:r>
        <w:t xml:space="preserve"> </w:t>
      </w:r>
      <w:r>
        <w:rPr>
          <w:i/>
          <w:iCs/>
        </w:rPr>
        <w:t xml:space="preserve">Econometrica</w:t>
      </w:r>
      <w:r>
        <w:t xml:space="preserve"> </w:t>
      </w:r>
      <w:r>
        <w:t xml:space="preserve">90 (5): 1973–2016.</w:t>
      </w:r>
      <w:r>
        <w:t xml:space="preserve"> </w:t>
      </w:r>
      <w:hyperlink r:id="rId93">
        <w:r>
          <w:rPr>
            <w:rStyle w:val="Hyperlink"/>
          </w:rPr>
          <w:t xml:space="preserve">https://doi.org/10.3982/ECTA19815</w:t>
        </w:r>
      </w:hyperlink>
      <w:r>
        <w:t xml:space="preserve">.</w:t>
      </w:r>
    </w:p>
    <w:bookmarkEnd w:id="94"/>
    <w:bookmarkStart w:id="96" w:name="ref-Agrawal2019_prediction"/>
    <w:p>
      <w:pPr>
        <w:pStyle w:val="Bibliography"/>
      </w:pPr>
      <w:r>
        <w:t xml:space="preserve">Agrawal, Ajay, Joshua Gans, and Avi Goldfarb. 2018.</w:t>
      </w:r>
      <w:r>
        <w:t xml:space="preserve"> </w:t>
      </w:r>
      <w:r>
        <w:t xml:space="preserve">“Prediction, Judgment, and Complexity: A Theory of Decision-Making and Artificial Intelligence.”</w:t>
      </w:r>
      <w:r>
        <w:t xml:space="preserve"> </w:t>
      </w:r>
      <w:r>
        <w:t xml:space="preserve">In</w:t>
      </w:r>
      <w:r>
        <w:t xml:space="preserve"> </w:t>
      </w:r>
      <w:r>
        <w:rPr>
          <w:i/>
          <w:iCs/>
        </w:rPr>
        <w:t xml:space="preserve">The Economics of Artificial Intelligence: An Agenda</w:t>
      </w:r>
      <w:r>
        <w:t xml:space="preserve">, edited by Ajay Agrawal, Joshua Gans, and Avi Goldfarb. University of Chicago Press.</w:t>
      </w:r>
      <w:r>
        <w:t xml:space="preserve"> </w:t>
      </w:r>
      <w:hyperlink r:id="rId95">
        <w:r>
          <w:rPr>
            <w:rStyle w:val="Hyperlink"/>
          </w:rPr>
          <w:t xml:space="preserve">http://www.nber.org/chapters/c14010</w:t>
        </w:r>
      </w:hyperlink>
      <w:r>
        <w:t xml:space="preserve">.</w:t>
      </w:r>
    </w:p>
    <w:bookmarkEnd w:id="96"/>
    <w:bookmarkStart w:id="98" w:name="ref-AutorLM2003_skill_content"/>
    <w:p>
      <w:pPr>
        <w:pStyle w:val="Bibliography"/>
      </w:pPr>
      <w:r>
        <w:t xml:space="preserve">Autor, David H., Frank Levy, and Richard J. Murnane. 2003.</w:t>
      </w:r>
      <w:r>
        <w:t xml:space="preserve"> </w:t>
      </w:r>
      <w:r>
        <w:t xml:space="preserve">“The Skill Content of Recent Technological Change: An Empirical Exploration.”</w:t>
      </w:r>
      <w:r>
        <w:t xml:space="preserve"> </w:t>
      </w:r>
      <w:r>
        <w:rPr>
          <w:i/>
          <w:iCs/>
        </w:rPr>
        <w:t xml:space="preserve">The Quarterly Journal of Economics</w:t>
      </w:r>
      <w:r>
        <w:t xml:space="preserve"> </w:t>
      </w:r>
      <w:r>
        <w:t xml:space="preserve">118 (4): 1279–333.</w:t>
      </w:r>
      <w:r>
        <w:t xml:space="preserve"> </w:t>
      </w:r>
      <w:hyperlink r:id="rId97">
        <w:r>
          <w:rPr>
            <w:rStyle w:val="Hyperlink"/>
          </w:rPr>
          <w:t xml:space="preserve">https://doi.org/10.1162/003355303322552801</w:t>
        </w:r>
      </w:hyperlink>
      <w:r>
        <w:t xml:space="preserve">.</w:t>
      </w:r>
    </w:p>
    <w:bookmarkEnd w:id="98"/>
    <w:bookmarkStart w:id="100" w:name="ref-Azuara2024_idb_ai"/>
    <w:p>
      <w:pPr>
        <w:pStyle w:val="Bibliography"/>
      </w:pPr>
      <w:r>
        <w:t xml:space="preserve">Azuara Herrera, Oliver, Laura Ripani, and Eric Torres Ramirez. 2024.</w:t>
      </w:r>
      <w:r>
        <w:t xml:space="preserve"> </w:t>
      </w:r>
      <w:r>
        <w:rPr>
          <w:i/>
          <w:iCs/>
        </w:rPr>
        <w:t xml:space="preserve">AI</w:t>
      </w:r>
      <w:r>
        <w:rPr>
          <w:i/>
          <w:iCs/>
        </w:rPr>
        <w:t xml:space="preserve"> </w:t>
      </w:r>
      <w:r>
        <w:rPr>
          <w:i/>
          <w:iCs/>
        </w:rPr>
        <w:t xml:space="preserve">and the Increase of Productivity and Labor Inequality in Latin America: Potential Impact of Large Language Models on Latin American Workforce</w:t>
      </w:r>
      <w:r>
        <w:t xml:space="preserve">.</w:t>
      </w:r>
      <w:r>
        <w:t xml:space="preserve"> </w:t>
      </w:r>
      <w:hyperlink r:id="rId99">
        <w:r>
          <w:rPr>
            <w:rStyle w:val="Hyperlink"/>
          </w:rPr>
          <w:t xml:space="preserve">https://doi.org/10.18235/0013152</w:t>
        </w:r>
      </w:hyperlink>
      <w:r>
        <w:t xml:space="preserve">.</w:t>
      </w:r>
    </w:p>
    <w:bookmarkEnd w:id="100"/>
    <w:bookmarkStart w:id="102" w:name="ref-BergBZ2018_ai_inequality"/>
    <w:p>
      <w:pPr>
        <w:pStyle w:val="Bibliography"/>
      </w:pPr>
      <w:r>
        <w:t xml:space="preserve">Berg, Andrew, Edward F. Buffie, and Luis-Felipe Zanna. 2018.</w:t>
      </w:r>
      <w:r>
        <w:t xml:space="preserve"> </w:t>
      </w:r>
      <w:r>
        <w:t xml:space="preserve">“Should We Fear the Robot Revolution? (The Correct Answer Is Yes).”</w:t>
      </w:r>
      <w:r>
        <w:t xml:space="preserve"> </w:t>
      </w:r>
      <w:r>
        <w:rPr>
          <w:i/>
          <w:iCs/>
        </w:rPr>
        <w:t xml:space="preserve">Journal of Monetary Economics</w:t>
      </w:r>
      <w:r>
        <w:t xml:space="preserve"> </w:t>
      </w:r>
      <w:r>
        <w:t xml:space="preserve">97: 117–48.</w:t>
      </w:r>
      <w:r>
        <w:t xml:space="preserve"> </w:t>
      </w:r>
      <w:hyperlink r:id="rId101">
        <w:r>
          <w:rPr>
            <w:rStyle w:val="Hyperlink"/>
          </w:rPr>
          <w:t xml:space="preserve">https://doi.org/10.1016/j.jmoneco.2018.05.014</w:t>
        </w:r>
      </w:hyperlink>
      <w:r>
        <w:t xml:space="preserve">.</w:t>
      </w:r>
    </w:p>
    <w:bookmarkEnd w:id="102"/>
    <w:bookmarkStart w:id="104" w:name="ref-BorusyakHJ2022_shiftshare"/>
    <w:p>
      <w:pPr>
        <w:pStyle w:val="Bibliography"/>
      </w:pPr>
      <w:r>
        <w:t xml:space="preserve">Borusyak, Kirill, Peter Hull, and Xavier Jaravel. 2022.</w:t>
      </w:r>
      <w:r>
        <w:t xml:space="preserve"> </w:t>
      </w:r>
      <w:r>
        <w:t xml:space="preserve">“Quasi-Experimental Shift-Share Research Designs.”</w:t>
      </w:r>
      <w:r>
        <w:t xml:space="preserve"> </w:t>
      </w:r>
      <w:r>
        <w:rPr>
          <w:i/>
          <w:iCs/>
        </w:rPr>
        <w:t xml:space="preserve">The Review of Economic Studies</w:t>
      </w:r>
      <w:r>
        <w:t xml:space="preserve"> </w:t>
      </w:r>
      <w:r>
        <w:t xml:space="preserve">89 (1): 181–213.</w:t>
      </w:r>
      <w:r>
        <w:t xml:space="preserve"> </w:t>
      </w:r>
      <w:hyperlink r:id="rId103">
        <w:r>
          <w:rPr>
            <w:rStyle w:val="Hyperlink"/>
          </w:rPr>
          <w:t xml:space="preserve">https://doi.org/10.1093/restud/rdab030</w:t>
        </w:r>
      </w:hyperlink>
      <w:r>
        <w:t xml:space="preserve">.</w:t>
      </w:r>
    </w:p>
    <w:bookmarkEnd w:id="104"/>
    <w:bookmarkStart w:id="106" w:name="ref-Brollo2024_social_protection"/>
    <w:p>
      <w:pPr>
        <w:pStyle w:val="Bibliography"/>
      </w:pPr>
      <w:r>
        <w:t xml:space="preserve">Brollo, Fernanda. 2024.</w:t>
      </w:r>
      <w:r>
        <w:t xml:space="preserve"> </w:t>
      </w:r>
      <w:r>
        <w:t xml:space="preserve">“Strengthening Social Protection to Pave the Way for Technological Innovation: Evidence from the</w:t>
      </w:r>
      <w:r>
        <w:t xml:space="preserve"> </w:t>
      </w:r>
      <w:r>
        <w:t xml:space="preserve">U.S.</w:t>
      </w:r>
      <w:r>
        <w:t xml:space="preserve">”</w:t>
      </w:r>
      <w:r>
        <w:t xml:space="preserve"> </w:t>
      </w:r>
      <w:r>
        <w:rPr>
          <w:i/>
          <w:iCs/>
        </w:rPr>
        <w:t xml:space="preserve">IMF Working Papers</w:t>
      </w:r>
      <w:r>
        <w:t xml:space="preserve"> </w:t>
      </w:r>
      <w:r>
        <w:t xml:space="preserve">2024 (095): 1.</w:t>
      </w:r>
      <w:r>
        <w:t xml:space="preserve"> </w:t>
      </w:r>
      <w:hyperlink r:id="rId105">
        <w:r>
          <w:rPr>
            <w:rStyle w:val="Hyperlink"/>
          </w:rPr>
          <w:t xml:space="preserve">https://doi.org/10.5089/9798400274596.001</w:t>
        </w:r>
      </w:hyperlink>
      <w:r>
        <w:t xml:space="preserve">.</w:t>
      </w:r>
    </w:p>
    <w:bookmarkEnd w:id="106"/>
    <w:bookmarkStart w:id="108" w:name="ref-Brynjolfsson2023_genai"/>
    <w:p>
      <w:pPr>
        <w:pStyle w:val="Bibliography"/>
      </w:pPr>
      <w:r>
        <w:t xml:space="preserve">Brynjolfsson, Erik, Danielle Li, and Lindsey R. Raymond. 2023.</w:t>
      </w:r>
      <w:r>
        <w:t xml:space="preserve"> </w:t>
      </w:r>
      <w:r>
        <w:rPr>
          <w:i/>
          <w:iCs/>
        </w:rPr>
        <w:t xml:space="preserve">Generative</w:t>
      </w:r>
      <w:r>
        <w:rPr>
          <w:i/>
          <w:iCs/>
        </w:rPr>
        <w:t xml:space="preserve"> </w:t>
      </w:r>
      <w:r>
        <w:rPr>
          <w:i/>
          <w:iCs/>
        </w:rPr>
        <w:t xml:space="preserve">AI</w:t>
      </w:r>
      <w:r>
        <w:rPr>
          <w:i/>
          <w:iCs/>
        </w:rPr>
        <w:t xml:space="preserve"> </w:t>
      </w:r>
      <w:r>
        <w:rPr>
          <w:i/>
          <w:iCs/>
        </w:rPr>
        <w:t xml:space="preserve">at Work</w:t>
      </w:r>
      <w:r>
        <w:t xml:space="preserve">. NBER Working Paper No. 31161. National Bureau of Economic Research.</w:t>
      </w:r>
      <w:r>
        <w:t xml:space="preserve"> </w:t>
      </w:r>
      <w:hyperlink r:id="rId107">
        <w:r>
          <w:rPr>
            <w:rStyle w:val="Hyperlink"/>
          </w:rPr>
          <w:t xml:space="preserve">https://doi.org/10.3386/w31161</w:t>
        </w:r>
      </w:hyperlink>
      <w:r>
        <w:t xml:space="preserve">.</w:t>
      </w:r>
    </w:p>
    <w:bookmarkEnd w:id="108"/>
    <w:bookmarkStart w:id="110" w:name="ref-CallawayCGBS2024_continuous"/>
    <w:p>
      <w:pPr>
        <w:pStyle w:val="Bibliography"/>
      </w:pPr>
      <w:r>
        <w:t xml:space="preserve">Callaway, Brantly, Andrew Goodman-Bacon, and Pedro H. C. Sant’Anna. 2024.</w:t>
      </w:r>
      <w:r>
        <w:t xml:space="preserve"> </w:t>
      </w:r>
      <w:r>
        <w:rPr>
          <w:i/>
          <w:iCs/>
        </w:rPr>
        <w:t xml:space="preserve">Difference-in-Differences with a Continuous Treatment</w:t>
      </w:r>
      <w:r>
        <w:t xml:space="preserve">. NBER Working Paper No. 32117. National Bureau of Economic Research.</w:t>
      </w:r>
      <w:r>
        <w:t xml:space="preserve"> </w:t>
      </w:r>
      <w:hyperlink r:id="rId109">
        <w:r>
          <w:rPr>
            <w:rStyle w:val="Hyperlink"/>
          </w:rPr>
          <w:t xml:space="preserve">https://doi.org/10.3386/w32117</w:t>
        </w:r>
      </w:hyperlink>
      <w:r>
        <w:t xml:space="preserve">.</w:t>
      </w:r>
    </w:p>
    <w:bookmarkEnd w:id="110"/>
    <w:bookmarkStart w:id="112" w:name="ref-CallawayS2021_did"/>
    <w:p>
      <w:pPr>
        <w:pStyle w:val="Bibliography"/>
      </w:pPr>
      <w:r>
        <w:t xml:space="preserve">Callaway, Brantly, and Pedro H. C. Sant’Anna. 2021.</w:t>
      </w:r>
      <w:r>
        <w:t xml:space="preserve"> </w:t>
      </w:r>
      <w:r>
        <w:t xml:space="preserve">“Difference-in-Differences with Multiple Time Periods.”</w:t>
      </w:r>
      <w:r>
        <w:t xml:space="preserve"> </w:t>
      </w:r>
      <w:r>
        <w:rPr>
          <w:i/>
          <w:iCs/>
        </w:rPr>
        <w:t xml:space="preserve">Journal of Econometrics</w:t>
      </w:r>
      <w:r>
        <w:t xml:space="preserve"> </w:t>
      </w:r>
      <w:r>
        <w:t xml:space="preserve">225 (2): 200–230.</w:t>
      </w:r>
      <w:r>
        <w:t xml:space="preserve"> </w:t>
      </w:r>
      <w:hyperlink r:id="rId111">
        <w:r>
          <w:rPr>
            <w:rStyle w:val="Hyperlink"/>
          </w:rPr>
          <w:t xml:space="preserve">https://doi.org/10.1016/j.jeconom.2020.12.001</w:t>
        </w:r>
      </w:hyperlink>
      <w:r>
        <w:t xml:space="preserve">.</w:t>
      </w:r>
    </w:p>
    <w:bookmarkEnd w:id="112"/>
    <w:bookmarkStart w:id="114" w:name="ref-DeChaisemartinH2020_twfe"/>
    <w:p>
      <w:pPr>
        <w:pStyle w:val="Bibliography"/>
      </w:pPr>
      <w:r>
        <w:t xml:space="preserve">Chaisemartin, Clément de, and Xavier D’Haultfœuille. 2020.</w:t>
      </w:r>
      <w:r>
        <w:t xml:space="preserve"> </w:t>
      </w:r>
      <w:r>
        <w:t xml:space="preserve">“Two-Way Fixed Effects Estimators with Heterogeneous Treatment Effects.”</w:t>
      </w:r>
      <w:r>
        <w:t xml:space="preserve"> </w:t>
      </w:r>
      <w:r>
        <w:rPr>
          <w:i/>
          <w:iCs/>
        </w:rPr>
        <w:t xml:space="preserve">American Economic Review</w:t>
      </w:r>
      <w:r>
        <w:t xml:space="preserve"> </w:t>
      </w:r>
      <w:r>
        <w:t xml:space="preserve">110 (9): 2964–96.</w:t>
      </w:r>
      <w:r>
        <w:t xml:space="preserve"> </w:t>
      </w:r>
      <w:hyperlink r:id="rId113">
        <w:r>
          <w:rPr>
            <w:rStyle w:val="Hyperlink"/>
          </w:rPr>
          <w:t xml:space="preserve">https://doi.org/10.1257/aer.20181169</w:t>
        </w:r>
      </w:hyperlink>
      <w:r>
        <w:t xml:space="preserve">.</w:t>
      </w:r>
    </w:p>
    <w:bookmarkEnd w:id="114"/>
    <w:bookmarkStart w:id="116" w:name="ref-DeChaisemartinHPVB2022_continuous"/>
    <w:p>
      <w:pPr>
        <w:pStyle w:val="Bibliography"/>
      </w:pPr>
      <w:r>
        <w:t xml:space="preserve">Chaisemartin, Clément de, Xavier D’Haultfœuille, Félix Pasquier, Doulo Sow, and Gonzalo Vazquez-Bare. 2022.</w:t>
      </w:r>
      <w:r>
        <w:t xml:space="preserve"> </w:t>
      </w:r>
      <w:r>
        <w:rPr>
          <w:i/>
          <w:iCs/>
        </w:rPr>
        <w:t xml:space="preserve">Difference-in-Differences Estimators for Treatments Continuously Distributed at Every Period</w:t>
      </w:r>
      <w:r>
        <w:t xml:space="preserve">. Working Paper 2201.06898. arXiv.</w:t>
      </w:r>
      <w:r>
        <w:t xml:space="preserve"> </w:t>
      </w:r>
      <w:hyperlink r:id="rId115">
        <w:r>
          <w:rPr>
            <w:rStyle w:val="Hyperlink"/>
          </w:rPr>
          <w:t xml:space="preserve">https://arxiv.org/abs/2201.06898</w:t>
        </w:r>
      </w:hyperlink>
      <w:r>
        <w:t xml:space="preserve">.</w:t>
      </w:r>
    </w:p>
    <w:bookmarkEnd w:id="116"/>
    <w:bookmarkStart w:id="118" w:name="ref-Chen2025_llm_unemployment"/>
    <w:p>
      <w:pPr>
        <w:pStyle w:val="Bibliography"/>
      </w:pPr>
      <w:r>
        <w:t xml:space="preserve">Chen, Danqing, Carina Kane, Austin Kozlowski, Nadav Kunievsky, and James A. Evans. 2025.</w:t>
      </w:r>
      <w:r>
        <w:t xml:space="preserve"> </w:t>
      </w:r>
      <w:r>
        <w:rPr>
          <w:i/>
          <w:iCs/>
        </w:rPr>
        <w:t xml:space="preserve">The (Short-Term) Effects of Large Language Models on Unemployment and Earnings</w:t>
      </w:r>
      <w:r>
        <w:t xml:space="preserve">.</w:t>
      </w:r>
      <w:r>
        <w:t xml:space="preserve"> </w:t>
      </w:r>
      <w:hyperlink r:id="rId117">
        <w:r>
          <w:rPr>
            <w:rStyle w:val="Hyperlink"/>
          </w:rPr>
          <w:t xml:space="preserve">https://arxiv.org/abs/2509.15510</w:t>
        </w:r>
      </w:hyperlink>
      <w:r>
        <w:t xml:space="preserve">.</w:t>
      </w:r>
    </w:p>
    <w:bookmarkEnd w:id="118"/>
    <w:bookmarkStart w:id="120" w:name="ref-Ciaschi2025_distributive_ai"/>
    <w:p>
      <w:pPr>
        <w:pStyle w:val="Bibliography"/>
      </w:pPr>
      <w:r>
        <w:t xml:space="preserve">Ciaschi, Matias, Guillermo Falcone, Santiago Garganta, Leonardo Gasparini, Octavio Bertín, and Lucía Ramírez-Leira. 2025.</w:t>
      </w:r>
      <w:r>
        <w:t xml:space="preserve"> </w:t>
      </w:r>
      <w:r>
        <w:rPr>
          <w:i/>
          <w:iCs/>
        </w:rPr>
        <w:t xml:space="preserve">The Potential Distributive Impact of</w:t>
      </w:r>
      <w:r>
        <w:rPr>
          <w:i/>
          <w:iCs/>
        </w:rPr>
        <w:t xml:space="preserve"> </w:t>
      </w:r>
      <w:r>
        <w:rPr>
          <w:i/>
          <w:iCs/>
        </w:rPr>
        <w:t xml:space="preserve">AI</w:t>
      </w:r>
      <w:r>
        <w:rPr>
          <w:i/>
          <w:iCs/>
        </w:rPr>
        <w:t xml:space="preserve">-Driven Labor Changes in Latin America</w:t>
      </w:r>
      <w:r>
        <w:t xml:space="preserve">.</w:t>
      </w:r>
      <w:r>
        <w:t xml:space="preserve"> </w:t>
      </w:r>
      <w:hyperlink r:id="rId119">
        <w:r>
          <w:rPr>
            <w:rStyle w:val="Hyperlink"/>
          </w:rPr>
          <w:t xml:space="preserve">https://doi.org/10.18235/0013677</w:t>
        </w:r>
      </w:hyperlink>
      <w:r>
        <w:t xml:space="preserve">.</w:t>
      </w:r>
    </w:p>
    <w:bookmarkEnd w:id="120"/>
    <w:bookmarkStart w:id="122" w:name="ref-CuiDemirerJaffe2025_copilot"/>
    <w:p>
      <w:pPr>
        <w:pStyle w:val="Bibliography"/>
      </w:pPr>
      <w:r>
        <w:t xml:space="preserve">Cui, Zheyuan, Mert Demirer, Sonia Jaffe, Leon Musolff, Sida Peng, and Tobias Salz. 2025.</w:t>
      </w:r>
      <w:r>
        <w:t xml:space="preserve"> </w:t>
      </w:r>
      <w:r>
        <w:t xml:space="preserve">“The Effects of Generative</w:t>
      </w:r>
      <w:r>
        <w:t xml:space="preserve"> </w:t>
      </w:r>
      <w:r>
        <w:t xml:space="preserve">AI</w:t>
      </w:r>
      <w:r>
        <w:t xml:space="preserve"> </w:t>
      </w:r>
      <w:r>
        <w:t xml:space="preserve">on High-Skilled Work: Evidence from Three Field Experiments with Software Developers.”</w:t>
      </w:r>
      <w:r>
        <w:t xml:space="preserve"> </w:t>
      </w:r>
      <w:r>
        <w:rPr>
          <w:i/>
          <w:iCs/>
        </w:rPr>
        <w:t xml:space="preserve">SSRN Working Paper</w:t>
      </w:r>
      <w:r>
        <w:t xml:space="preserve">, ahead of print, August.</w:t>
      </w:r>
      <w:r>
        <w:t xml:space="preserve"> </w:t>
      </w:r>
      <w:hyperlink r:id="rId121">
        <w:r>
          <w:rPr>
            <w:rStyle w:val="Hyperlink"/>
          </w:rPr>
          <w:t xml:space="preserve">https://doi.org/10.2139/ssrn.4945566</w:t>
        </w:r>
      </w:hyperlink>
      <w:r>
        <w:t xml:space="preserve">.</w:t>
      </w:r>
    </w:p>
    <w:bookmarkEnd w:id="122"/>
    <w:bookmarkStart w:id="124" w:name="ref-DubeGJT2023_lpdiff"/>
    <w:p>
      <w:pPr>
        <w:pStyle w:val="Bibliography"/>
      </w:pPr>
      <w:r>
        <w:t xml:space="preserve">Dube, Arindrajit, Daniele Girardi, Òscar Jordà, and Alan M. Taylor. 2023.</w:t>
      </w:r>
      <w:r>
        <w:t xml:space="preserve"> </w:t>
      </w:r>
      <w:r>
        <w:rPr>
          <w:i/>
          <w:iCs/>
        </w:rPr>
        <w:t xml:space="preserve">A Local Projections Approach to Difference-in-Differences</w:t>
      </w:r>
      <w:r>
        <w:t xml:space="preserve">. NBER Working Paper No. 31184. National Bureau of Economic Research.</w:t>
      </w:r>
      <w:r>
        <w:t xml:space="preserve"> </w:t>
      </w:r>
      <w:hyperlink r:id="rId123">
        <w:r>
          <w:rPr>
            <w:rStyle w:val="Hyperlink"/>
          </w:rPr>
          <w:t xml:space="preserve">https://doi.org/10.3386/w31184</w:t>
        </w:r>
      </w:hyperlink>
      <w:r>
        <w:t xml:space="preserve">.</w:t>
      </w:r>
    </w:p>
    <w:bookmarkEnd w:id="124"/>
    <w:bookmarkStart w:id="126" w:name="ref-EganadelSol2025_ai_lac"/>
    <w:p>
      <w:pPr>
        <w:pStyle w:val="Bibliography"/>
      </w:pPr>
      <w:r>
        <w:t xml:space="preserve">Egana-delSol, Pablo, and Claudio Bravo-Ortega. 2025.</w:t>
      </w:r>
      <w:r>
        <w:t xml:space="preserve"> </w:t>
      </w:r>
      <w:r>
        <w:t xml:space="preserve">“Artificial Intelligence and Labor Market Transformations in Latin America.”</w:t>
      </w:r>
      <w:r>
        <w:t xml:space="preserve"> </w:t>
      </w:r>
      <w:r>
        <w:rPr>
          <w:i/>
          <w:iCs/>
        </w:rPr>
        <w:t xml:space="preserve">IZA Discussion Paper</w:t>
      </w:r>
      <w:r>
        <w:t xml:space="preserve">, no. 17746.</w:t>
      </w:r>
      <w:r>
        <w:t xml:space="preserve"> </w:t>
      </w:r>
      <w:hyperlink r:id="rId125">
        <w:r>
          <w:rPr>
            <w:rStyle w:val="Hyperlink"/>
          </w:rPr>
          <w:t xml:space="preserve">https://ssrn.com/abstract=5167711</w:t>
        </w:r>
      </w:hyperlink>
      <w:r>
        <w:t xml:space="preserve">.</w:t>
      </w:r>
    </w:p>
    <w:bookmarkEnd w:id="126"/>
    <w:bookmarkStart w:id="128" w:name="ref-Eloundou2023_gpt_exposure"/>
    <w:p>
      <w:pPr>
        <w:pStyle w:val="Bibliography"/>
      </w:pPr>
      <w:r>
        <w:t xml:space="preserve">Eloundou, Tyna, Sam Manning, Pamela Mishkin, and Daniel Rock. 2024.</w:t>
      </w:r>
      <w:r>
        <w:t xml:space="preserve"> </w:t>
      </w:r>
      <w:r>
        <w:t xml:space="preserve">“</w:t>
      </w:r>
      <w:r>
        <w:t xml:space="preserve">GPTs</w:t>
      </w:r>
      <w:r>
        <w:t xml:space="preserve"> </w:t>
      </w:r>
      <w:r>
        <w:t xml:space="preserve">Are</w:t>
      </w:r>
      <w:r>
        <w:t xml:space="preserve"> </w:t>
      </w:r>
      <w:r>
        <w:t xml:space="preserve">GPTs</w:t>
      </w:r>
      <w:r>
        <w:t xml:space="preserve">: Labor Market Impact Potential of</w:t>
      </w:r>
      <w:r>
        <w:t xml:space="preserve"> </w:t>
      </w:r>
      <w:r>
        <w:t xml:space="preserve">LLMs</w:t>
      </w:r>
      <w:r>
        <w:t xml:space="preserve">.”</w:t>
      </w:r>
      <w:r>
        <w:t xml:space="preserve"> </w:t>
      </w:r>
      <w:r>
        <w:rPr>
          <w:i/>
          <w:iCs/>
        </w:rPr>
        <w:t xml:space="preserve">Science</w:t>
      </w:r>
      <w:r>
        <w:t xml:space="preserve"> </w:t>
      </w:r>
      <w:r>
        <w:t xml:space="preserve">384 (6702): 1306–8.</w:t>
      </w:r>
      <w:r>
        <w:t xml:space="preserve"> </w:t>
      </w:r>
      <w:hyperlink r:id="rId127">
        <w:r>
          <w:rPr>
            <w:rStyle w:val="Hyperlink"/>
          </w:rPr>
          <w:t xml:space="preserve">https://doi.org/10.1126/science.adj0998</w:t>
        </w:r>
      </w:hyperlink>
      <w:r>
        <w:t xml:space="preserve">.</w:t>
      </w:r>
    </w:p>
    <w:bookmarkEnd w:id="128"/>
    <w:bookmarkStart w:id="130" w:name="ref-Felten2023_ai_exposure"/>
    <w:p>
      <w:pPr>
        <w:pStyle w:val="Bibliography"/>
      </w:pPr>
      <w:r>
        <w:t xml:space="preserve">Felten, Edward, Manav Raj, and Robert Seamans. 2021.</w:t>
      </w:r>
      <w:r>
        <w:t xml:space="preserve"> </w:t>
      </w:r>
      <w:r>
        <w:t xml:space="preserve">“Occupational, Industry, and Geographic Exposure to Artificial Intelligence: A Novel Dataset and Its Potential Uses.”</w:t>
      </w:r>
      <w:r>
        <w:t xml:space="preserve"> </w:t>
      </w:r>
      <w:r>
        <w:rPr>
          <w:i/>
          <w:iCs/>
        </w:rPr>
        <w:t xml:space="preserve">Strategic Management Journal</w:t>
      </w:r>
      <w:r>
        <w:t xml:space="preserve"> </w:t>
      </w:r>
      <w:r>
        <w:t xml:space="preserve">42 (12): 2195–217.</w:t>
      </w:r>
      <w:r>
        <w:t xml:space="preserve"> </w:t>
      </w:r>
      <w:hyperlink r:id="rId129">
        <w:r>
          <w:rPr>
            <w:rStyle w:val="Hyperlink"/>
          </w:rPr>
          <w:t xml:space="preserve">https://doi.org/10.1002/smj.3286</w:t>
        </w:r>
      </w:hyperlink>
      <w:r>
        <w:t xml:space="preserve">.</w:t>
      </w:r>
    </w:p>
    <w:bookmarkEnd w:id="130"/>
    <w:bookmarkStart w:id="132" w:name="ref-Georgieff2024_ai_wage_inequality"/>
    <w:p>
      <w:pPr>
        <w:pStyle w:val="Bibliography"/>
      </w:pPr>
      <w:r>
        <w:t xml:space="preserve">Georgieff, Alexandre. 2024.</w:t>
      </w:r>
      <w:r>
        <w:t xml:space="preserve"> </w:t>
      </w:r>
      <w:r>
        <w:rPr>
          <w:i/>
          <w:iCs/>
        </w:rPr>
        <w:t xml:space="preserve">Artificial Intelligence and Wage Inequality</w:t>
      </w:r>
      <w:r>
        <w:t xml:space="preserve">. OECD Artificial Intelligence Papers No. 13. OECD Publishing.</w:t>
      </w:r>
      <w:r>
        <w:t xml:space="preserve"> </w:t>
      </w:r>
      <w:hyperlink r:id="rId131">
        <w:r>
          <w:rPr>
            <w:rStyle w:val="Hyperlink"/>
          </w:rPr>
          <w:t xml:space="preserve">https://doi.org/10.1787/bf98a45c-en</w:t>
        </w:r>
      </w:hyperlink>
      <w:r>
        <w:t xml:space="preserve">.</w:t>
      </w:r>
    </w:p>
    <w:bookmarkEnd w:id="132"/>
    <w:bookmarkStart w:id="134" w:name="ref-GmyrekBB2023_genai_jobs"/>
    <w:p>
      <w:pPr>
        <w:pStyle w:val="Bibliography"/>
      </w:pPr>
      <w:r>
        <w:t xml:space="preserve">Gmyrek, Pawel, Janine Berg, and David Bescond. 2023.</w:t>
      </w:r>
      <w:r>
        <w:t xml:space="preserve"> </w:t>
      </w:r>
      <w:r>
        <w:t xml:space="preserve">“Generative</w:t>
      </w:r>
      <w:r>
        <w:t xml:space="preserve"> </w:t>
      </w:r>
      <w:r>
        <w:t xml:space="preserve">AI</w:t>
      </w:r>
      <w:r>
        <w:t xml:space="preserve"> </w:t>
      </w:r>
      <w:r>
        <w:t xml:space="preserve">and Jobs: A Global Analysis of Potential Effects on Job Quantity and Quality.”</w:t>
      </w:r>
      <w:r>
        <w:t xml:space="preserve"> </w:t>
      </w:r>
      <w:r>
        <w:rPr>
          <w:i/>
          <w:iCs/>
        </w:rPr>
        <w:t xml:space="preserve">ILO Working Paper</w:t>
      </w:r>
      <w:r>
        <w:t xml:space="preserve"> </w:t>
      </w:r>
      <w:r>
        <w:t xml:space="preserve">(Geneva), no. 96 (August).</w:t>
      </w:r>
      <w:r>
        <w:t xml:space="preserve"> </w:t>
      </w:r>
      <w:hyperlink r:id="rId133">
        <w:r>
          <w:rPr>
            <w:rStyle w:val="Hyperlink"/>
          </w:rPr>
          <w:t xml:space="preserve">https://doi.org/10.54394/FHEM8239</w:t>
        </w:r>
      </w:hyperlink>
      <w:r>
        <w:t xml:space="preserve">.</w:t>
      </w:r>
    </w:p>
    <w:bookmarkEnd w:id="134"/>
    <w:bookmarkStart w:id="136" w:name="ref-GoldsmithPinkham2024_credibility"/>
    <w:p>
      <w:pPr>
        <w:pStyle w:val="Bibliography"/>
      </w:pPr>
      <w:r>
        <w:t xml:space="preserve">Goldsmith-Pinkham, Paul. 2024.</w:t>
      </w:r>
      <w:r>
        <w:t xml:space="preserve"> </w:t>
      </w:r>
      <w:r>
        <w:rPr>
          <w:i/>
          <w:iCs/>
        </w:rPr>
        <w:t xml:space="preserve">Tracking the Credibility Revolution Across Fields</w:t>
      </w:r>
      <w:r>
        <w:t xml:space="preserve">. Working Paper 2405.20604. arXiv.</w:t>
      </w:r>
      <w:r>
        <w:t xml:space="preserve"> </w:t>
      </w:r>
      <w:hyperlink r:id="rId135">
        <w:r>
          <w:rPr>
            <w:rStyle w:val="Hyperlink"/>
          </w:rPr>
          <w:t xml:space="preserve">https://arxiv.org/abs/2405.20604</w:t>
        </w:r>
      </w:hyperlink>
      <w:r>
        <w:t xml:space="preserve">.</w:t>
      </w:r>
    </w:p>
    <w:bookmarkEnd w:id="136"/>
    <w:bookmarkStart w:id="138" w:name="ref-GoldsmithPinkham2020_bartik"/>
    <w:p>
      <w:pPr>
        <w:pStyle w:val="Bibliography"/>
      </w:pPr>
      <w:r>
        <w:t xml:space="preserve">Goldsmith-Pinkham, Paul, Isaac Sorkin, and Henry Swift. 2020.</w:t>
      </w:r>
      <w:r>
        <w:t xml:space="preserve"> </w:t>
      </w:r>
      <w:r>
        <w:t xml:space="preserve">“Bartik Instruments: What, When, Why, and How.”</w:t>
      </w:r>
      <w:r>
        <w:t xml:space="preserve"> </w:t>
      </w:r>
      <w:r>
        <w:rPr>
          <w:i/>
          <w:iCs/>
        </w:rPr>
        <w:t xml:space="preserve">American Economic Review</w:t>
      </w:r>
      <w:r>
        <w:t xml:space="preserve"> </w:t>
      </w:r>
      <w:r>
        <w:t xml:space="preserve">110 (8): 2586–624.</w:t>
      </w:r>
      <w:r>
        <w:t xml:space="preserve"> </w:t>
      </w:r>
      <w:hyperlink r:id="rId137">
        <w:r>
          <w:rPr>
            <w:rStyle w:val="Hyperlink"/>
          </w:rPr>
          <w:t xml:space="preserve">https://doi.org/10.1257/aer.20181047</w:t>
        </w:r>
      </w:hyperlink>
      <w:r>
        <w:t xml:space="preserve">.</w:t>
      </w:r>
    </w:p>
    <w:bookmarkEnd w:id="138"/>
    <w:bookmarkStart w:id="140" w:name="ref-Handa2025_economic_tasks"/>
    <w:p>
      <w:pPr>
        <w:pStyle w:val="Bibliography"/>
      </w:pPr>
      <w:r>
        <w:t xml:space="preserve">Handa, Kunal, Alex Tamkin, Miles McCain, et al. 2025.</w:t>
      </w:r>
      <w:r>
        <w:t xml:space="preserve"> </w:t>
      </w:r>
      <w:r>
        <w:t xml:space="preserve">“Which Economic Tasks Are Performed with</w:t>
      </w:r>
      <w:r>
        <w:t xml:space="preserve"> </w:t>
      </w:r>
      <w:r>
        <w:t xml:space="preserve">AI</w:t>
      </w:r>
      <w:r>
        <w:t xml:space="preserve">? Evidence from Millions of</w:t>
      </w:r>
      <w:r>
        <w:t xml:space="preserve"> </w:t>
      </w:r>
      <w:r>
        <w:t xml:space="preserve">Claude</w:t>
      </w:r>
      <w:r>
        <w:t xml:space="preserve"> </w:t>
      </w:r>
      <w:r>
        <w:t xml:space="preserve">Conversations.”</w:t>
      </w:r>
      <w:r>
        <w:t xml:space="preserve"> </w:t>
      </w:r>
      <w:r>
        <w:rPr>
          <w:i/>
          <w:iCs/>
        </w:rPr>
        <w:t xml:space="preserve">arXiv Preprint</w:t>
      </w:r>
      <w:r>
        <w:t xml:space="preserve">.</w:t>
      </w:r>
      <w:r>
        <w:t xml:space="preserve"> </w:t>
      </w:r>
      <w:hyperlink r:id="rId139">
        <w:r>
          <w:rPr>
            <w:rStyle w:val="Hyperlink"/>
          </w:rPr>
          <w:t xml:space="preserve">https://arxiv.org/abs/2503.04761</w:t>
        </w:r>
      </w:hyperlink>
      <w:r>
        <w:t xml:space="preserve">.</w:t>
      </w:r>
    </w:p>
    <w:bookmarkEnd w:id="140"/>
    <w:bookmarkStart w:id="142" w:name="ref-Hartley2024_labor_effects"/>
    <w:p>
      <w:pPr>
        <w:pStyle w:val="Bibliography"/>
      </w:pPr>
      <w:r>
        <w:t xml:space="preserve">Hartley, Jonathan, Filip Jolevski, Vitor Melo, and Brendan Moore. 2024.</w:t>
      </w:r>
      <w:r>
        <w:t xml:space="preserve"> </w:t>
      </w:r>
      <w:r>
        <w:rPr>
          <w:i/>
          <w:iCs/>
        </w:rPr>
        <w:t xml:space="preserve">The Labor Market Effects of Generative Artificial Intelligence</w:t>
      </w:r>
      <w:r>
        <w:t xml:space="preserve">. Working Paper No. 5136877. SSRN.</w:t>
      </w:r>
      <w:r>
        <w:t xml:space="preserve"> </w:t>
      </w:r>
      <w:hyperlink r:id="rId141">
        <w:r>
          <w:rPr>
            <w:rStyle w:val="Hyperlink"/>
          </w:rPr>
          <w:t xml:space="preserve">https://doi.org/10.2139/ssrn.5136877</w:t>
        </w:r>
      </w:hyperlink>
      <w:r>
        <w:t xml:space="preserve">.</w:t>
      </w:r>
    </w:p>
    <w:bookmarkEnd w:id="142"/>
    <w:bookmarkStart w:id="144" w:name="ref-Hui2024_online_labor"/>
    <w:p>
      <w:pPr>
        <w:pStyle w:val="Bibliography"/>
      </w:pPr>
      <w:r>
        <w:t xml:space="preserve">Hui, Xiang, Oren Reshef, and Luofeng Zhou. 2024.</w:t>
      </w:r>
      <w:r>
        <w:t xml:space="preserve"> </w:t>
      </w:r>
      <w:r>
        <w:t xml:space="preserve">“The Short-Term Effects of Generative Artificial Intelligence on Employment: Evidence from an Online Labor Market.”</w:t>
      </w:r>
      <w:r>
        <w:t xml:space="preserve"> </w:t>
      </w:r>
      <w:r>
        <w:rPr>
          <w:i/>
          <w:iCs/>
        </w:rPr>
        <w:t xml:space="preserve">Organization Science</w:t>
      </w:r>
      <w:r>
        <w:t xml:space="preserve"> </w:t>
      </w:r>
      <w:r>
        <w:t xml:space="preserve">35.</w:t>
      </w:r>
      <w:r>
        <w:t xml:space="preserve"> </w:t>
      </w:r>
      <w:hyperlink r:id="rId143">
        <w:r>
          <w:rPr>
            <w:rStyle w:val="Hyperlink"/>
          </w:rPr>
          <w:t xml:space="preserve">https://doi.org/10.1287/orsc.2023.18441</w:t>
        </w:r>
      </w:hyperlink>
      <w:r>
        <w:t xml:space="preserve">.</w:t>
      </w:r>
    </w:p>
    <w:bookmarkEnd w:id="144"/>
    <w:bookmarkStart w:id="146" w:name="ref-HumlumVestergaard2025_llm"/>
    <w:p>
      <w:pPr>
        <w:pStyle w:val="Bibliography"/>
      </w:pPr>
      <w:r>
        <w:t xml:space="preserve">Humlum, Anders, and Emilie Vestergaard. 2025a.</w:t>
      </w:r>
      <w:r>
        <w:t xml:space="preserve"> </w:t>
      </w:r>
      <w:r>
        <w:rPr>
          <w:i/>
          <w:iCs/>
        </w:rPr>
        <w:t xml:space="preserve">Large Language Models, Small Labor Market Effects</w:t>
      </w:r>
      <w:r>
        <w:t xml:space="preserve">. Working Paper Nos. 2025-56. University of Chicago, Becker Friedman Institute for Economics.</w:t>
      </w:r>
      <w:r>
        <w:t xml:space="preserve"> </w:t>
      </w:r>
      <w:hyperlink r:id="rId145">
        <w:r>
          <w:rPr>
            <w:rStyle w:val="Hyperlink"/>
          </w:rPr>
          <w:t xml:space="preserve">https://doi.org/10.2139/ssrn.5219933</w:t>
        </w:r>
      </w:hyperlink>
      <w:r>
        <w:t xml:space="preserve">.</w:t>
      </w:r>
    </w:p>
    <w:bookmarkEnd w:id="146"/>
    <w:bookmarkStart w:id="148" w:name="ref-HumlumVestergaard2025_pnas"/>
    <w:p>
      <w:pPr>
        <w:pStyle w:val="Bibliography"/>
      </w:pPr>
      <w:r>
        <w:t xml:space="preserve">Humlum, Anders, and Emilie Vestergaard. 2025b.</w:t>
      </w:r>
      <w:r>
        <w:t xml:space="preserve"> </w:t>
      </w:r>
      <w:r>
        <w:t xml:space="preserve">“The Unequal Adoption of</w:t>
      </w:r>
      <w:r>
        <w:t xml:space="preserve"> </w:t>
      </w:r>
      <w:r>
        <w:t xml:space="preserve">ChatGPT</w:t>
      </w:r>
      <w:r>
        <w:t xml:space="preserve"> </w:t>
      </w:r>
      <w:r>
        <w:t xml:space="preserve">Exacerbates Existing Inequalities Among Workers.”</w:t>
      </w:r>
      <w:r>
        <w:t xml:space="preserve"> </w:t>
      </w:r>
      <w:r>
        <w:rPr>
          <w:i/>
          <w:iCs/>
        </w:rPr>
        <w:t xml:space="preserve">Proceedings of the National Academy of Sciences</w:t>
      </w:r>
      <w:r>
        <w:t xml:space="preserve"> </w:t>
      </w:r>
      <w:r>
        <w:t xml:space="preserve">122 (1): e2414972121.</w:t>
      </w:r>
      <w:r>
        <w:t xml:space="preserve"> </w:t>
      </w:r>
      <w:hyperlink r:id="rId147">
        <w:r>
          <w:rPr>
            <w:rStyle w:val="Hyperlink"/>
          </w:rPr>
          <w:t xml:space="preserve">https://doi.org/10.1073/pnas.2414972121</w:t>
        </w:r>
      </w:hyperlink>
      <w:r>
        <w:t xml:space="preserve">.</w:t>
      </w:r>
    </w:p>
    <w:bookmarkEnd w:id="148"/>
    <w:bookmarkStart w:id="150" w:name="ref-Liu2025_generate_future"/>
    <w:p>
      <w:pPr>
        <w:pStyle w:val="Bibliography"/>
      </w:pPr>
      <w:r>
        <w:t xml:space="preserve">Liu, Jin, Xingchen Xu, Xi Nan, Yongjun Li, and Yong Tan. 2023.</w:t>
      </w:r>
      <w:r>
        <w:t xml:space="preserve"> </w:t>
      </w:r>
      <w:r>
        <w:t xml:space="preserve">“</w:t>
      </w:r>
      <w:r>
        <w:t xml:space="preserve">‘Generate’</w:t>
      </w:r>
      <w:r>
        <w:t xml:space="preserve"> </w:t>
      </w:r>
      <w:r>
        <w:t xml:space="preserve">the Future of Work Through</w:t>
      </w:r>
      <w:r>
        <w:t xml:space="preserve"> </w:t>
      </w:r>
      <w:r>
        <w:t xml:space="preserve">AI</w:t>
      </w:r>
      <w:r>
        <w:t xml:space="preserve">: Empirical Evidence from Online Labor Markets.”</w:t>
      </w:r>
      <w:r>
        <w:t xml:space="preserve"> </w:t>
      </w:r>
      <w:r>
        <w:rPr>
          <w:i/>
          <w:iCs/>
        </w:rPr>
        <w:t xml:space="preserve">SSRN Working Paper</w:t>
      </w:r>
      <w:r>
        <w:t xml:space="preserve">, ahead of print, June.</w:t>
      </w:r>
      <w:r>
        <w:t xml:space="preserve"> </w:t>
      </w:r>
      <w:hyperlink r:id="rId149">
        <w:r>
          <w:rPr>
            <w:rStyle w:val="Hyperlink"/>
          </w:rPr>
          <w:t xml:space="preserve">https://doi.org/10.2139/ssrn.4529739</w:t>
        </w:r>
      </w:hyperlink>
      <w:r>
        <w:t xml:space="preserve">.</w:t>
      </w:r>
    </w:p>
    <w:bookmarkEnd w:id="150"/>
    <w:bookmarkStart w:id="152" w:name="ref-LiuWangYu2025_labor_demand"/>
    <w:p>
      <w:pPr>
        <w:pStyle w:val="Bibliography"/>
      </w:pPr>
      <w:r>
        <w:t xml:space="preserve">Liu, Yan, He Wang, and Shu Yu. 2025.</w:t>
      </w:r>
      <w:r>
        <w:t xml:space="preserve"> </w:t>
      </w:r>
      <w:r>
        <w:t xml:space="preserve">“Labor Demand in the Shadow of Generative</w:t>
      </w:r>
      <w:r>
        <w:t xml:space="preserve"> </w:t>
      </w:r>
      <w:r>
        <w:t xml:space="preserve">AI</w:t>
      </w:r>
      <w:r>
        <w:t xml:space="preserve">: Evidence from the</w:t>
      </w:r>
      <w:r>
        <w:t xml:space="preserve"> </w:t>
      </w:r>
      <w:r>
        <w:t xml:space="preserve">U.S.</w:t>
      </w:r>
      <w:r>
        <w:t xml:space="preserve"> </w:t>
      </w:r>
      <w:r>
        <w:t xml:space="preserve">Job Posting Data.”</w:t>
      </w:r>
      <w:r>
        <w:t xml:space="preserve"> </w:t>
      </w:r>
      <w:r>
        <w:rPr>
          <w:i/>
          <w:iCs/>
        </w:rPr>
        <w:t xml:space="preserve">SSRN Working Paper</w:t>
      </w:r>
      <w:r>
        <w:t xml:space="preserve">, ahead of print, September.</w:t>
      </w:r>
      <w:r>
        <w:t xml:space="preserve"> </w:t>
      </w:r>
      <w:hyperlink r:id="rId151">
        <w:r>
          <w:rPr>
            <w:rStyle w:val="Hyperlink"/>
          </w:rPr>
          <w:t xml:space="preserve">https://doi.org/10.2139/ssrn.5504741</w:t>
        </w:r>
      </w:hyperlink>
      <w:r>
        <w:t xml:space="preserve">.</w:t>
      </w:r>
    </w:p>
    <w:bookmarkEnd w:id="152"/>
    <w:bookmarkStart w:id="154" w:name="ref-Oster2019_unobservables"/>
    <w:p>
      <w:pPr>
        <w:pStyle w:val="Bibliography"/>
      </w:pPr>
      <w:r>
        <w:t xml:space="preserve">Oster, Emily. 2019.</w:t>
      </w:r>
      <w:r>
        <w:t xml:space="preserve"> </w:t>
      </w:r>
      <w:r>
        <w:t xml:space="preserve">“Unobservable Selection and Coefficient Stability: Theory and Evidence.”</w:t>
      </w:r>
      <w:r>
        <w:t xml:space="preserve"> </w:t>
      </w:r>
      <w:r>
        <w:rPr>
          <w:i/>
          <w:iCs/>
        </w:rPr>
        <w:t xml:space="preserve">Journal of Business &amp; Economic Statistics</w:t>
      </w:r>
      <w:r>
        <w:t xml:space="preserve"> </w:t>
      </w:r>
      <w:r>
        <w:t xml:space="preserve">37 (2): 187–204.</w:t>
      </w:r>
      <w:r>
        <w:t xml:space="preserve"> </w:t>
      </w:r>
      <w:hyperlink r:id="rId153">
        <w:r>
          <w:rPr>
            <w:rStyle w:val="Hyperlink"/>
          </w:rPr>
          <w:t xml:space="preserve">https://doi.org/10.1080/07350015.2016.1227711</w:t>
        </w:r>
      </w:hyperlink>
      <w:r>
        <w:t xml:space="preserve">.</w:t>
      </w:r>
    </w:p>
    <w:bookmarkEnd w:id="154"/>
    <w:bookmarkStart w:id="156" w:name="ref-Pizzinelli2023_ai_exposure"/>
    <w:p>
      <w:pPr>
        <w:pStyle w:val="Bibliography"/>
      </w:pPr>
      <w:r>
        <w:t xml:space="preserve">Pizzinelli, Carlo, Augustus Panton, Marina Mendes Tavares, Mauro Cazzaniga, and Longji Li. 2023.</w:t>
      </w:r>
      <w:r>
        <w:t xml:space="preserve"> </w:t>
      </w:r>
      <w:r>
        <w:t xml:space="preserve">“Labor Market Exposure to</w:t>
      </w:r>
      <w:r>
        <w:t xml:space="preserve"> </w:t>
      </w:r>
      <w:r>
        <w:t xml:space="preserve">AI</w:t>
      </w:r>
      <w:r>
        <w:t xml:space="preserve">: Cross-Country Differences and Distributional Implications.”</w:t>
      </w:r>
      <w:r>
        <w:t xml:space="preserve"> </w:t>
      </w:r>
      <w:r>
        <w:rPr>
          <w:i/>
          <w:iCs/>
        </w:rPr>
        <w:t xml:space="preserve">IMF Working Papers</w:t>
      </w:r>
      <w:r>
        <w:t xml:space="preserve"> </w:t>
      </w:r>
      <w:r>
        <w:t xml:space="preserve">2023 (216): 1.</w:t>
      </w:r>
      <w:r>
        <w:t xml:space="preserve"> </w:t>
      </w:r>
      <w:hyperlink r:id="rId155">
        <w:r>
          <w:rPr>
            <w:rStyle w:val="Hyperlink"/>
          </w:rPr>
          <w:t xml:space="preserve">https://doi.org/10.5089/9798400254802.001</w:t>
        </w:r>
      </w:hyperlink>
      <w:r>
        <w:t xml:space="preserve">.</w:t>
      </w:r>
    </w:p>
    <w:bookmarkEnd w:id="156"/>
    <w:bookmarkStart w:id="158" w:name="ref-RambachanRoth2023_honest"/>
    <w:p>
      <w:pPr>
        <w:pStyle w:val="Bibliography"/>
      </w:pPr>
      <w:r>
        <w:t xml:space="preserve">Rambachan, Ashesh, and Jonathan Roth. 2023.</w:t>
      </w:r>
      <w:r>
        <w:t xml:space="preserve"> </w:t>
      </w:r>
      <w:r>
        <w:t xml:space="preserve">“A More Credible Approach to Parallel Trends.”</w:t>
      </w:r>
      <w:r>
        <w:t xml:space="preserve"> </w:t>
      </w:r>
      <w:r>
        <w:rPr>
          <w:i/>
          <w:iCs/>
        </w:rPr>
        <w:t xml:space="preserve">The Review of Economic Studies</w:t>
      </w:r>
      <w:r>
        <w:t xml:space="preserve"> </w:t>
      </w:r>
      <w:r>
        <w:t xml:space="preserve">90 (5): 2555–91.</w:t>
      </w:r>
      <w:r>
        <w:t xml:space="preserve"> </w:t>
      </w:r>
      <w:hyperlink r:id="rId157">
        <w:r>
          <w:rPr>
            <w:rStyle w:val="Hyperlink"/>
          </w:rPr>
          <w:t xml:space="preserve">https://doi.org/10.1093/restud/rdad018</w:t>
        </w:r>
      </w:hyperlink>
      <w:r>
        <w:t xml:space="preserve">.</w:t>
      </w:r>
    </w:p>
    <w:bookmarkEnd w:id="158"/>
    <w:bookmarkStart w:id="160" w:name="ref-Roth2022_pretest_caution"/>
    <w:p>
      <w:pPr>
        <w:pStyle w:val="Bibliography"/>
      </w:pPr>
      <w:r>
        <w:t xml:space="preserve">Roth, Jonathan. 2022.</w:t>
      </w:r>
      <w:r>
        <w:t xml:space="preserve"> </w:t>
      </w:r>
      <w:r>
        <w:t xml:space="preserve">“Pretest with Caution: Event-Study Estimates After Testing for Parallel Trends.”</w:t>
      </w:r>
      <w:r>
        <w:t xml:space="preserve"> </w:t>
      </w:r>
      <w:r>
        <w:rPr>
          <w:i/>
          <w:iCs/>
        </w:rPr>
        <w:t xml:space="preserve">American Economic Review: Insights</w:t>
      </w:r>
      <w:r>
        <w:t xml:space="preserve"> </w:t>
      </w:r>
      <w:r>
        <w:t xml:space="preserve">4 (3): 305–22.</w:t>
      </w:r>
      <w:r>
        <w:t xml:space="preserve"> </w:t>
      </w:r>
      <w:hyperlink r:id="rId159">
        <w:r>
          <w:rPr>
            <w:rStyle w:val="Hyperlink"/>
          </w:rPr>
          <w:t xml:space="preserve">https://doi.org/10.1257/aeri.20210236</w:t>
        </w:r>
      </w:hyperlink>
      <w:r>
        <w:t xml:space="preserve">.</w:t>
      </w:r>
    </w:p>
    <w:bookmarkEnd w:id="160"/>
    <w:bookmarkStart w:id="162" w:name="ref-SolonHW2015_weight"/>
    <w:p>
      <w:pPr>
        <w:pStyle w:val="Bibliography"/>
      </w:pPr>
      <w:r>
        <w:t xml:space="preserve">Solon, Gary, Steven J. Haider, and Jeffrey M. Wooldridge. 2015.</w:t>
      </w:r>
      <w:r>
        <w:t xml:space="preserve"> </w:t>
      </w:r>
      <w:r>
        <w:t xml:space="preserve">“What Are We Weighting For?”</w:t>
      </w:r>
      <w:r>
        <w:t xml:space="preserve"> </w:t>
      </w:r>
      <w:r>
        <w:rPr>
          <w:i/>
          <w:iCs/>
        </w:rPr>
        <w:t xml:space="preserve">Journal of Human Resources</w:t>
      </w:r>
      <w:r>
        <w:t xml:space="preserve"> </w:t>
      </w:r>
      <w:r>
        <w:t xml:space="preserve">50 (2): 301–16.</w:t>
      </w:r>
      <w:r>
        <w:t xml:space="preserve"> </w:t>
      </w:r>
      <w:hyperlink r:id="rId161">
        <w:r>
          <w:rPr>
            <w:rStyle w:val="Hyperlink"/>
          </w:rPr>
          <w:t xml:space="preserve">http://www.jstor.org/stable/24735988</w:t>
        </w:r>
      </w:hyperlink>
      <w:r>
        <w:t xml:space="preserve">.</w:t>
      </w:r>
    </w:p>
    <w:bookmarkEnd w:id="162"/>
    <w:bookmarkStart w:id="164" w:name="ref-SunAbraham2021_eventstudy"/>
    <w:p>
      <w:pPr>
        <w:pStyle w:val="Bibliography"/>
      </w:pPr>
      <w:r>
        <w:t xml:space="preserve">Sun, Liyang, and Sarah Abraham. 2021.</w:t>
      </w:r>
      <w:r>
        <w:t xml:space="preserve"> </w:t>
      </w:r>
      <w:r>
        <w:t xml:space="preserve">“Estimating Dynamic Treatment Effects in Event Studies with Heterogeneous Treatment Effects.”</w:t>
      </w:r>
      <w:r>
        <w:t xml:space="preserve"> </w:t>
      </w:r>
      <w:r>
        <w:rPr>
          <w:i/>
          <w:iCs/>
        </w:rPr>
        <w:t xml:space="preserve">Journal of Econometrics</w:t>
      </w:r>
      <w:r>
        <w:t xml:space="preserve"> </w:t>
      </w:r>
      <w:r>
        <w:t xml:space="preserve">225 (2): 175–99.</w:t>
      </w:r>
      <w:r>
        <w:t xml:space="preserve"> </w:t>
      </w:r>
      <w:hyperlink r:id="rId163">
        <w:r>
          <w:rPr>
            <w:rStyle w:val="Hyperlink"/>
          </w:rPr>
          <w:t xml:space="preserve">https://doi.org/10.1016/j.jeconom.2020.09.006</w:t>
        </w:r>
      </w:hyperlink>
      <w:r>
        <w:t xml:space="preserve">.</w:t>
      </w:r>
    </w:p>
    <w:bookmarkEnd w:id="164"/>
    <w:bookmarkStart w:id="166" w:name="ref-AtheyWager2018_forests"/>
    <w:p>
      <w:pPr>
        <w:pStyle w:val="Bibliography"/>
      </w:pPr>
      <w:r>
        <w:t xml:space="preserve">Wager, Stefan, and Susan Athey. 2018.</w:t>
      </w:r>
      <w:r>
        <w:t xml:space="preserve"> </w:t>
      </w:r>
      <w:r>
        <w:t xml:space="preserve">“Estimation and Inference of Heterogeneous Treatment Effects Using Random Forests.”</w:t>
      </w:r>
      <w:r>
        <w:t xml:space="preserve"> </w:t>
      </w:r>
      <w:r>
        <w:rPr>
          <w:i/>
          <w:iCs/>
        </w:rPr>
        <w:t xml:space="preserve">Journal of the American Statistical Association</w:t>
      </w:r>
      <w:r>
        <w:t xml:space="preserve"> </w:t>
      </w:r>
      <w:r>
        <w:t xml:space="preserve">113 (523): 1228–42.</w:t>
      </w:r>
      <w:r>
        <w:t xml:space="preserve"> </w:t>
      </w:r>
      <w:hyperlink r:id="rId165">
        <w:r>
          <w:rPr>
            <w:rStyle w:val="Hyperlink"/>
          </w:rPr>
          <w:t xml:space="preserve">https://doi.org/10.1080/01621459.2017.1319839</w:t>
        </w:r>
      </w:hyperlink>
      <w:r>
        <w:t xml:space="preserve">.</w:t>
      </w:r>
    </w:p>
    <w:bookmarkEnd w:id="166"/>
    <w:bookmarkStart w:id="168" w:name="ref-Webb2020_ai_exposure"/>
    <w:p>
      <w:pPr>
        <w:pStyle w:val="Bibliography"/>
      </w:pPr>
      <w:r>
        <w:t xml:space="preserve">Webb, Michael. 2019.</w:t>
      </w:r>
      <w:r>
        <w:t xml:space="preserve"> </w:t>
      </w:r>
      <w:r>
        <w:rPr>
          <w:i/>
          <w:iCs/>
        </w:rPr>
        <w:t xml:space="preserve">The Impact of Artificial Intelligence on the Labor Market</w:t>
      </w:r>
      <w:r>
        <w:t xml:space="preserve">. Working Paper No. 3482150. SSRN.</w:t>
      </w:r>
      <w:r>
        <w:t xml:space="preserve"> </w:t>
      </w:r>
      <w:hyperlink r:id="rId167">
        <w:r>
          <w:rPr>
            <w:rStyle w:val="Hyperlink"/>
          </w:rPr>
          <w:t xml:space="preserve">https://doi.org/10.2139/ssrn.3482150</w:t>
        </w:r>
      </w:hyperlink>
      <w:r>
        <w:t xml:space="preserve">.</w:t>
      </w:r>
    </w:p>
    <w:bookmarkEnd w:id="168"/>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Pontificia Universidad Católica del Perú (PUCP), Programa Doctoral en Economía. Contacto:</w:t>
      </w:r>
      <w:r>
        <w:t xml:space="preserve"> </w:t>
      </w:r>
      <w:r>
        <w:rPr>
          <w:rStyle w:val="VerbatimChar"/>
        </w:rPr>
        <w:t xml:space="preserve">a20265764@pucp.edu.pe</w:t>
      </w:r>
      <w:r>
        <w:t xml:space="preserve">.</w:t>
      </w:r>
    </w:p>
  </w:footnote>
  <w:footnote w:id="10">
    <w:p>
      <w:pPr>
        <w:pStyle w:val="FootnoteText"/>
      </w:pPr>
      <w:r>
        <w:rPr>
          <w:rStyle w:val="FootnoteReference"/>
        </w:rPr>
        <w:footnoteRef/>
      </w:r>
      <w:r>
        <w:t xml:space="preserve"> </w:t>
      </w:r>
      <w:r>
        <w:t xml:space="preserve">El crecimiento de la literatura DiD y de su uso para responder este tipo de preguntas está documentado en</w:t>
      </w:r>
      <w:r>
        <w:t xml:space="preserve"> </w:t>
      </w:r>
      <w:r>
        <w:t xml:space="preserve">Goldsmith-Pinkham (2024)</w:t>
      </w:r>
      <w:r>
        <w:t xml:space="preserve">: la fracción de</w:t>
      </w:r>
      <w:r>
        <w:t xml:space="preserve"> </w:t>
      </w:r>
      <w:r>
        <w:rPr>
          <w:i/>
          <w:iCs/>
        </w:rPr>
        <w:t xml:space="preserve">papers</w:t>
      </w:r>
      <w:r>
        <w:t xml:space="preserve"> </w:t>
      </w:r>
      <w:r>
        <w:t xml:space="preserve">en NBER que aplican DiD pasó de aproximadamente 10 por ciento en 2002 a más del 30 por ciento en 2024.</w:t>
      </w:r>
    </w:p>
  </w:footnote>
  <w:footnote w:id="19">
    <w:p>
      <w:pPr>
        <w:pStyle w:val="FootnoteText"/>
      </w:pPr>
      <w:r>
        <w:rPr>
          <w:rStyle w:val="FootnoteReference"/>
        </w:rPr>
        <w:footnoteRef/>
      </w:r>
      <w:r>
        <w:t xml:space="preserve"> </w:t>
      </w:r>
      <w:r>
        <w:t xml:space="preserve">El segundo artículo, en preparación, explota la naturaleza panel rotativo de la ENOE de México para estimar transiciones individuales entre ocupaciones de distinta exposición; el presente trabajo se concentra en los efectos sobre el equilibrio agregado del mercado laboral.</w:t>
      </w:r>
    </w:p>
  </w:footnote>
  <w:footnote w:id="40">
    <w:p>
      <w:pPr>
        <w:pStyle w:val="FootnoteText"/>
      </w:pPr>
      <w:r>
        <w:rPr>
          <w:rStyle w:val="FootnoteReference"/>
        </w:rPr>
        <w:footnoteRef/>
      </w:r>
      <w:r>
        <w:t xml:space="preserve"> </w:t>
      </w:r>
      <w:r>
        <w:t xml:space="preserve">Tablas de correspondencia descargadas del portal oficial del INEI:</w:t>
      </w:r>
      <w:r>
        <w:t xml:space="preserve"> </w:t>
      </w:r>
      <w:hyperlink r:id="rId41">
        <w:r>
          <w:rPr>
            <w:rStyle w:val="Hyperlink"/>
          </w:rPr>
          <w:t xml:space="preserve">https://www.inei.gob.pe/media/Tablas_de_correspondencia_CNO_CIUO_CO.xlsx</w:t>
        </w:r>
      </w:hyperlink>
      <w:r>
        <w:t xml:space="preserve">. La copia exacta utilizada se deposita en el paquete de replicación.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8" Target="media/rId48.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hyperlink" Id="rId161" Target="http://www.jstor.org/stable/24735988" TargetMode="External" /><Relationship Type="http://schemas.openxmlformats.org/officeDocument/2006/relationships/hyperlink" Id="rId95" Target="http://www.nber.org/chapters/c14010" TargetMode="External" /><Relationship Type="http://schemas.openxmlformats.org/officeDocument/2006/relationships/hyperlink" Id="rId115" Target="https://arxiv.org/abs/2201.06898" TargetMode="External" /><Relationship Type="http://schemas.openxmlformats.org/officeDocument/2006/relationships/hyperlink" Id="rId135" Target="https://arxiv.org/abs/2405.20604" TargetMode="External" /><Relationship Type="http://schemas.openxmlformats.org/officeDocument/2006/relationships/hyperlink" Id="rId139" Target="https://arxiv.org/abs/2503.04761" TargetMode="External" /><Relationship Type="http://schemas.openxmlformats.org/officeDocument/2006/relationships/hyperlink" Id="rId117" Target="https://arxiv.org/abs/2509.15510" TargetMode="External" /><Relationship Type="http://schemas.openxmlformats.org/officeDocument/2006/relationships/hyperlink" Id="rId129" Target="https://doi.org/10.1002/smj.3286" TargetMode="External" /><Relationship Type="http://schemas.openxmlformats.org/officeDocument/2006/relationships/hyperlink" Id="rId87" Target="https://doi.org/10.1016/S0169-7218(11)02410-5" TargetMode="External" /><Relationship Type="http://schemas.openxmlformats.org/officeDocument/2006/relationships/hyperlink" Id="rId163" Target="https://doi.org/10.1016/j.jeconom.2020.09.006" TargetMode="External" /><Relationship Type="http://schemas.openxmlformats.org/officeDocument/2006/relationships/hyperlink" Id="rId111" Target="https://doi.org/10.1016/j.jeconom.2020.12.001" TargetMode="External" /><Relationship Type="http://schemas.openxmlformats.org/officeDocument/2006/relationships/hyperlink" Id="rId101" Target="https://doi.org/10.1016/j.jmoneco.2018.05.014" TargetMode="External" /><Relationship Type="http://schemas.openxmlformats.org/officeDocument/2006/relationships/hyperlink" Id="rId147" Target="https://doi.org/10.1073/pnas.2414972121" TargetMode="External" /><Relationship Type="http://schemas.openxmlformats.org/officeDocument/2006/relationships/hyperlink" Id="rId165" Target="https://doi.org/10.1080/01621459.2017.1319839" TargetMode="External" /><Relationship Type="http://schemas.openxmlformats.org/officeDocument/2006/relationships/hyperlink" Id="rId153" Target="https://doi.org/10.1080/07350015.2016.1227711" TargetMode="External" /><Relationship Type="http://schemas.openxmlformats.org/officeDocument/2006/relationships/hyperlink" Id="rId85" Target="https://doi.org/10.1093/qje/qjac038" TargetMode="External" /><Relationship Type="http://schemas.openxmlformats.org/officeDocument/2006/relationships/hyperlink" Id="rId103" Target="https://doi.org/10.1093/restud/rdab030" TargetMode="External" /><Relationship Type="http://schemas.openxmlformats.org/officeDocument/2006/relationships/hyperlink" Id="rId157" Target="https://doi.org/10.1093/restud/rdad018" TargetMode="External" /><Relationship Type="http://schemas.openxmlformats.org/officeDocument/2006/relationships/hyperlink" Id="rId127" Target="https://doi.org/10.1126/science.adj0998" TargetMode="External" /><Relationship Type="http://schemas.openxmlformats.org/officeDocument/2006/relationships/hyperlink" Id="rId97" Target="https://doi.org/10.1162/003355303322552801" TargetMode="External" /><Relationship Type="http://schemas.openxmlformats.org/officeDocument/2006/relationships/hyperlink" Id="rId91" Target="https://doi.org/10.1257/aer.20160696" TargetMode="External" /><Relationship Type="http://schemas.openxmlformats.org/officeDocument/2006/relationships/hyperlink" Id="rId137" Target="https://doi.org/10.1257/aer.20181047" TargetMode="External" /><Relationship Type="http://schemas.openxmlformats.org/officeDocument/2006/relationships/hyperlink" Id="rId113" Target="https://doi.org/10.1257/aer.20181169" TargetMode="External" /><Relationship Type="http://schemas.openxmlformats.org/officeDocument/2006/relationships/hyperlink" Id="rId159" Target="https://doi.org/10.1257/aeri.20210236" TargetMode="External" /><Relationship Type="http://schemas.openxmlformats.org/officeDocument/2006/relationships/hyperlink" Id="rId143" Target="https://doi.org/10.1287/orsc.2023.18441" TargetMode="External" /><Relationship Type="http://schemas.openxmlformats.org/officeDocument/2006/relationships/hyperlink" Id="rId131" Target="https://doi.org/10.1787/bf98a45c-en" TargetMode="External" /><Relationship Type="http://schemas.openxmlformats.org/officeDocument/2006/relationships/hyperlink" Id="rId99" Target="https://doi.org/10.18235/0013152" TargetMode="External" /><Relationship Type="http://schemas.openxmlformats.org/officeDocument/2006/relationships/hyperlink" Id="rId119" Target="https://doi.org/10.18235/0013677" TargetMode="External" /><Relationship Type="http://schemas.openxmlformats.org/officeDocument/2006/relationships/hyperlink" Id="rId167" Target="https://doi.org/10.2139/ssrn.3482150" TargetMode="External" /><Relationship Type="http://schemas.openxmlformats.org/officeDocument/2006/relationships/hyperlink" Id="rId149" Target="https://doi.org/10.2139/ssrn.4529739" TargetMode="External" /><Relationship Type="http://schemas.openxmlformats.org/officeDocument/2006/relationships/hyperlink" Id="rId121" Target="https://doi.org/10.2139/ssrn.4945566" TargetMode="External" /><Relationship Type="http://schemas.openxmlformats.org/officeDocument/2006/relationships/hyperlink" Id="rId141" Target="https://doi.org/10.2139/ssrn.5136877" TargetMode="External" /><Relationship Type="http://schemas.openxmlformats.org/officeDocument/2006/relationships/hyperlink" Id="rId145" Target="https://doi.org/10.2139/ssrn.5219933" TargetMode="External" /><Relationship Type="http://schemas.openxmlformats.org/officeDocument/2006/relationships/hyperlink" Id="rId151" Target="https://doi.org/10.2139/ssrn.5504741" TargetMode="External" /><Relationship Type="http://schemas.openxmlformats.org/officeDocument/2006/relationships/hyperlink" Id="rId107" Target="https://doi.org/10.3386/w31161" TargetMode="External" /><Relationship Type="http://schemas.openxmlformats.org/officeDocument/2006/relationships/hyperlink" Id="rId123" Target="https://doi.org/10.3386/w31184" TargetMode="External" /><Relationship Type="http://schemas.openxmlformats.org/officeDocument/2006/relationships/hyperlink" Id="rId109" Target="https://doi.org/10.3386/w32117" TargetMode="External" /><Relationship Type="http://schemas.openxmlformats.org/officeDocument/2006/relationships/hyperlink" Id="rId93" Target="https://doi.org/10.3982/ECTA19815" TargetMode="External" /><Relationship Type="http://schemas.openxmlformats.org/officeDocument/2006/relationships/hyperlink" Id="rId155" Target="https://doi.org/10.5089/9798400254802.001" TargetMode="External" /><Relationship Type="http://schemas.openxmlformats.org/officeDocument/2006/relationships/hyperlink" Id="rId105" Target="https://doi.org/10.5089/9798400274596.001" TargetMode="External" /><Relationship Type="http://schemas.openxmlformats.org/officeDocument/2006/relationships/hyperlink" Id="rId133" Target="https://doi.org/10.54394/FHEM8239" TargetMode="External" /><Relationship Type="http://schemas.openxmlformats.org/officeDocument/2006/relationships/hyperlink" Id="rId89" Target="https://ideas.repec.org/p/ehl/lserod/113325.html" TargetMode="External" /><Relationship Type="http://schemas.openxmlformats.org/officeDocument/2006/relationships/hyperlink" Id="rId125" Target="https://ssrn.com/abstract=5167711" TargetMode="External" /><Relationship Type="http://schemas.openxmlformats.org/officeDocument/2006/relationships/hyperlink" Id="rId41" Target="https://www.inei.gob.pe/media/Tablas_de_correspondencia_CNO_CIUO_CO.xlsx" TargetMode="External" /></Relationships>
</file>

<file path=word/_rels/footnotes.xml.rels><?xml version="1.0" encoding="UTF-8"?><Relationships xmlns="http://schemas.openxmlformats.org/package/2006/relationships"><Relationship Type="http://schemas.openxmlformats.org/officeDocument/2006/relationships/hyperlink" Id="rId161" Target="http://www.jstor.org/stable/24735988" TargetMode="External" /><Relationship Type="http://schemas.openxmlformats.org/officeDocument/2006/relationships/hyperlink" Id="rId95" Target="http://www.nber.org/chapters/c14010" TargetMode="External" /><Relationship Type="http://schemas.openxmlformats.org/officeDocument/2006/relationships/hyperlink" Id="rId115" Target="https://arxiv.org/abs/2201.06898" TargetMode="External" /><Relationship Type="http://schemas.openxmlformats.org/officeDocument/2006/relationships/hyperlink" Id="rId135" Target="https://arxiv.org/abs/2405.20604" TargetMode="External" /><Relationship Type="http://schemas.openxmlformats.org/officeDocument/2006/relationships/hyperlink" Id="rId139" Target="https://arxiv.org/abs/2503.04761" TargetMode="External" /><Relationship Type="http://schemas.openxmlformats.org/officeDocument/2006/relationships/hyperlink" Id="rId117" Target="https://arxiv.org/abs/2509.15510" TargetMode="External" /><Relationship Type="http://schemas.openxmlformats.org/officeDocument/2006/relationships/hyperlink" Id="rId129" Target="https://doi.org/10.1002/smj.3286" TargetMode="External" /><Relationship Type="http://schemas.openxmlformats.org/officeDocument/2006/relationships/hyperlink" Id="rId87" Target="https://doi.org/10.1016/S0169-7218(11)02410-5" TargetMode="External" /><Relationship Type="http://schemas.openxmlformats.org/officeDocument/2006/relationships/hyperlink" Id="rId163" Target="https://doi.org/10.1016/j.jeconom.2020.09.006" TargetMode="External" /><Relationship Type="http://schemas.openxmlformats.org/officeDocument/2006/relationships/hyperlink" Id="rId111" Target="https://doi.org/10.1016/j.jeconom.2020.12.001" TargetMode="External" /><Relationship Type="http://schemas.openxmlformats.org/officeDocument/2006/relationships/hyperlink" Id="rId101" Target="https://doi.org/10.1016/j.jmoneco.2018.05.014" TargetMode="External" /><Relationship Type="http://schemas.openxmlformats.org/officeDocument/2006/relationships/hyperlink" Id="rId147" Target="https://doi.org/10.1073/pnas.2414972121" TargetMode="External" /><Relationship Type="http://schemas.openxmlformats.org/officeDocument/2006/relationships/hyperlink" Id="rId165" Target="https://doi.org/10.1080/01621459.2017.1319839" TargetMode="External" /><Relationship Type="http://schemas.openxmlformats.org/officeDocument/2006/relationships/hyperlink" Id="rId153" Target="https://doi.org/10.1080/07350015.2016.1227711" TargetMode="External" /><Relationship Type="http://schemas.openxmlformats.org/officeDocument/2006/relationships/hyperlink" Id="rId85" Target="https://doi.org/10.1093/qje/qjac038" TargetMode="External" /><Relationship Type="http://schemas.openxmlformats.org/officeDocument/2006/relationships/hyperlink" Id="rId103" Target="https://doi.org/10.1093/restud/rdab030" TargetMode="External" /><Relationship Type="http://schemas.openxmlformats.org/officeDocument/2006/relationships/hyperlink" Id="rId157" Target="https://doi.org/10.1093/restud/rdad018" TargetMode="External" /><Relationship Type="http://schemas.openxmlformats.org/officeDocument/2006/relationships/hyperlink" Id="rId127" Target="https://doi.org/10.1126/science.adj0998" TargetMode="External" /><Relationship Type="http://schemas.openxmlformats.org/officeDocument/2006/relationships/hyperlink" Id="rId97" Target="https://doi.org/10.1162/003355303322552801" TargetMode="External" /><Relationship Type="http://schemas.openxmlformats.org/officeDocument/2006/relationships/hyperlink" Id="rId91" Target="https://doi.org/10.1257/aer.20160696" TargetMode="External" /><Relationship Type="http://schemas.openxmlformats.org/officeDocument/2006/relationships/hyperlink" Id="rId137" Target="https://doi.org/10.1257/aer.20181047" TargetMode="External" /><Relationship Type="http://schemas.openxmlformats.org/officeDocument/2006/relationships/hyperlink" Id="rId113" Target="https://doi.org/10.1257/aer.20181169" TargetMode="External" /><Relationship Type="http://schemas.openxmlformats.org/officeDocument/2006/relationships/hyperlink" Id="rId159" Target="https://doi.org/10.1257/aeri.20210236" TargetMode="External" /><Relationship Type="http://schemas.openxmlformats.org/officeDocument/2006/relationships/hyperlink" Id="rId143" Target="https://doi.org/10.1287/orsc.2023.18441" TargetMode="External" /><Relationship Type="http://schemas.openxmlformats.org/officeDocument/2006/relationships/hyperlink" Id="rId131" Target="https://doi.org/10.1787/bf98a45c-en" TargetMode="External" /><Relationship Type="http://schemas.openxmlformats.org/officeDocument/2006/relationships/hyperlink" Id="rId99" Target="https://doi.org/10.18235/0013152" TargetMode="External" /><Relationship Type="http://schemas.openxmlformats.org/officeDocument/2006/relationships/hyperlink" Id="rId119" Target="https://doi.org/10.18235/0013677" TargetMode="External" /><Relationship Type="http://schemas.openxmlformats.org/officeDocument/2006/relationships/hyperlink" Id="rId167" Target="https://doi.org/10.2139/ssrn.3482150" TargetMode="External" /><Relationship Type="http://schemas.openxmlformats.org/officeDocument/2006/relationships/hyperlink" Id="rId149" Target="https://doi.org/10.2139/ssrn.4529739" TargetMode="External" /><Relationship Type="http://schemas.openxmlformats.org/officeDocument/2006/relationships/hyperlink" Id="rId121" Target="https://doi.org/10.2139/ssrn.4945566" TargetMode="External" /><Relationship Type="http://schemas.openxmlformats.org/officeDocument/2006/relationships/hyperlink" Id="rId141" Target="https://doi.org/10.2139/ssrn.5136877" TargetMode="External" /><Relationship Type="http://schemas.openxmlformats.org/officeDocument/2006/relationships/hyperlink" Id="rId145" Target="https://doi.org/10.2139/ssrn.5219933" TargetMode="External" /><Relationship Type="http://schemas.openxmlformats.org/officeDocument/2006/relationships/hyperlink" Id="rId151" Target="https://doi.org/10.2139/ssrn.5504741" TargetMode="External" /><Relationship Type="http://schemas.openxmlformats.org/officeDocument/2006/relationships/hyperlink" Id="rId107" Target="https://doi.org/10.3386/w31161" TargetMode="External" /><Relationship Type="http://schemas.openxmlformats.org/officeDocument/2006/relationships/hyperlink" Id="rId123" Target="https://doi.org/10.3386/w31184" TargetMode="External" /><Relationship Type="http://schemas.openxmlformats.org/officeDocument/2006/relationships/hyperlink" Id="rId109" Target="https://doi.org/10.3386/w32117" TargetMode="External" /><Relationship Type="http://schemas.openxmlformats.org/officeDocument/2006/relationships/hyperlink" Id="rId93" Target="https://doi.org/10.3982/ECTA19815" TargetMode="External" /><Relationship Type="http://schemas.openxmlformats.org/officeDocument/2006/relationships/hyperlink" Id="rId155" Target="https://doi.org/10.5089/9798400254802.001" TargetMode="External" /><Relationship Type="http://schemas.openxmlformats.org/officeDocument/2006/relationships/hyperlink" Id="rId105" Target="https://doi.org/10.5089/9798400274596.001" TargetMode="External" /><Relationship Type="http://schemas.openxmlformats.org/officeDocument/2006/relationships/hyperlink" Id="rId133" Target="https://doi.org/10.54394/FHEM8239" TargetMode="External" /><Relationship Type="http://schemas.openxmlformats.org/officeDocument/2006/relationships/hyperlink" Id="rId89" Target="https://ideas.repec.org/p/ehl/lserod/113325.html" TargetMode="External" /><Relationship Type="http://schemas.openxmlformats.org/officeDocument/2006/relationships/hyperlink" Id="rId125" Target="https://ssrn.com/abstract=5167711" TargetMode="External" /><Relationship Type="http://schemas.openxmlformats.org/officeDocument/2006/relationships/hyperlink" Id="rId41" Target="https://www.inei.gob.pe/media/Tablas_de_correspondencia_CNO_CIUO_CO.xl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parcial: IA Generativa y Mercados Laborales: Evidencia Causal y el Rol de la Informalidad en América Latina</dc:title>
  <dc:creator>Eric Torres</dc:creator>
  <cp:keywords/>
  <dcterms:created xsi:type="dcterms:W3CDTF">2026-05-06T08:25:27Z</dcterms:created>
  <dcterms:modified xsi:type="dcterms:W3CDTF">2026-05-06T08:25:27Z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Bibliography_base.bib</vt:lpwstr>
  </property>
  <property fmtid="{D5CDD505-2E9C-101B-9397-08002B2CF9AE}" pid="3" name="date">
    <vt:lpwstr>Mayo, 2026</vt:lpwstr>
  </property>
</Properties>
</file>