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</w:pPr>
      <w:r>
        <w:rPr>
          <w:b/>
          <w:i w:val="0"/>
          <w:color w:val="C4306B"/>
          <w:sz w:val="20"/>
        </w:rPr>
        <w:t>PROYECTO DE CREACIÓN DE ASOCIACIÓN CULTURAL SIN FINES DE LUCRO</w:t>
      </w:r>
    </w:p>
    <w:p>
      <w:r>
        <w:rPr>
          <w:b/>
          <w:i w:val="0"/>
          <w:color w:val="2B2F77"/>
          <w:sz w:val="72"/>
        </w:rPr>
        <w:t>Voces y Compases</w:t>
      </w:r>
    </w:p>
    <w:p>
      <w:pPr>
        <w:spacing w:after="360"/>
      </w:pPr>
      <w:r>
        <w:rPr>
          <w:i w:val="0"/>
          <w:sz w:val="28"/>
        </w:rPr>
        <w:t>Formación en música, canto, declamación, coros y poesía para jóvenes de colegios nacionales</w:t>
      </w:r>
    </w:p>
    <w:p>
      <w:pPr>
        <w:spacing w:after="0"/>
      </w:pPr>
      <w:r>
        <w:rPr>
          <w:b/>
          <w:i w:val="0"/>
          <w:color w:val="C4306B"/>
          <w:sz w:val="20"/>
        </w:rPr>
        <w:t>PRESIDENTA FUNDADORA</w:t>
      </w:r>
    </w:p>
    <w:p>
      <w:pPr>
        <w:spacing w:after="0"/>
      </w:pPr>
      <w:r>
        <w:rPr>
          <w:b/>
          <w:i w:val="0"/>
          <w:color w:val="2B2F77"/>
          <w:sz w:val="44"/>
        </w:rPr>
        <w:t>Onelia Ardiles Carrasco</w:t>
      </w:r>
    </w:p>
    <w:p>
      <w:pPr>
        <w:spacing w:after="280"/>
      </w:pPr>
      <w:r>
        <w:rPr>
          <w:i w:val="0"/>
          <w:color w:val="585D7C"/>
          <w:sz w:val="22"/>
        </w:rPr>
        <w:t>Profesora de poesía en la Municipalidad de La Molina</w:t>
      </w:r>
    </w:p>
    <w:p>
      <w:r>
        <w:rPr>
          <w:b/>
        </w:rPr>
        <w:t xml:space="preserve">Ámbito: </w:t>
      </w:r>
      <w:r>
        <w:rPr>
          <w:i w:val="0"/>
        </w:rPr>
        <w:t>Lima, Perú. Piloto en colegios nacionales; vínculo inicial con la Municipalidad de La Molina.</w:t>
      </w:r>
    </w:p>
    <w:p>
      <w:r>
        <w:rPr>
          <w:b/>
        </w:rPr>
        <w:t xml:space="preserve">Fecha del borrador: </w:t>
      </w:r>
      <w:r>
        <w:rPr>
          <w:i w:val="0"/>
        </w:rPr>
        <w:t>3 de octubre de 2026</w:t>
      </w:r>
    </w:p>
    <w:p>
      <w:r>
        <w:rPr>
          <w:b/>
        </w:rPr>
        <w:t xml:space="preserve">Estado: </w:t>
      </w:r>
      <w:r>
        <w:rPr>
          <w:i w:val="0"/>
        </w:rPr>
        <w:t>Borrador para discusión de los fundadores. «Voces y Compases» es un nombre propuesto, pendiente de verificar en SUNARP.</w:t>
      </w:r>
    </w:p>
    <w:p>
      <w:r>
        <w:rPr>
          <w:b/>
        </w:rPr>
        <w:t xml:space="preserve">Versión interactiva: </w:t>
      </w:r>
      <w:r>
        <w:rPr>
          <w:i w:val="0"/>
        </w:rPr>
        <w:t>https://etorresram.github.io/voces-y-compases/</w:t>
      </w:r>
    </w:p>
    <w:p>
      <w:pPr>
        <w:pStyle w:val="Heading1"/>
      </w:pPr>
      <w:r>
        <w:t>1. Resumen</w:t>
      </w:r>
    </w:p>
    <w:p>
      <w:r>
        <w:rPr>
          <w:b/>
        </w:rPr>
        <w:t>La señora Onelia Ardiles Carrasco,</w:t>
      </w:r>
      <w:r>
        <w:rPr>
          <w:i w:val="0"/>
        </w:rPr>
        <w:t xml:space="preserve"> quien dicta cursos de poesía en la Municipalidad de La Molina, propone crear una organización que lleve la enseñanza artística a jóvenes de bajos recursos. La asociación evaluará los dones y debilidades de cada joven, ofrecerá talleres gratuitos y le dará un escenario, incluida una plataforma en redes. Empezará con un piloto de 6 meses en colegios nacionales.</w:t>
      </w:r>
    </w:p>
    <w:p>
      <w:r>
        <w:rPr>
          <w:i w:val="0"/>
        </w:rPr>
        <w:t>En el Perú, lo que se conoce como ONG es legalmente una asociación civil sin fines de lucro. Este documento describe el proyecto, su organización, la ruta para constituirlo, el marco normativo y un presupuesto referencial.</w:t>
      </w:r>
    </w:p>
    <w:p>
      <w:pPr>
        <w:pStyle w:val="Heading1"/>
      </w:pPr>
      <w:r>
        <w:t>2. Justificación</w:t>
      </w:r>
    </w:p>
    <w:p>
      <w:r>
        <w:rPr>
          <w:i w:val="0"/>
        </w:rPr>
        <w:t>El talento artístico existe en todos los barrios, pero el acceso a formación y a escenarios depende del ingreso y del lugar de residencia. Una asociación que trabaje dentro de los colegios nacionales reduce esa brecha sin exigir traslados ni pagos a las familias.</w:t>
      </w:r>
    </w:p>
    <w:p>
      <w:r>
        <w:rPr>
          <w:i w:val="0"/>
        </w:rPr>
        <w:t>El proyecto se apoya en el derecho de niñas, niños y adolescentes a participar en la vida cultural y artística (Convención sobre los Derechos del Niño, art. 31) y contribuye a los Objetivos de Desarrollo Sostenible 4 (educación de calidad) y 10 (reducción de desigualdades).</w:t>
      </w:r>
    </w:p>
    <w:p>
      <w:pPr>
        <w:pStyle w:val="Heading2"/>
      </w:pPr>
      <w:r>
        <w:t>Misión</w:t>
      </w:r>
    </w:p>
    <w:p>
      <w:r>
        <w:rPr>
          <w:i w:val="0"/>
        </w:rPr>
        <w:t>Promover la formación y difusión de las artes de la palabra y la música entre jóvenes de bajos recursos, mediante talleres gratuitos, acompañamiento y espacios para mostrar su talento.</w:t>
      </w:r>
    </w:p>
    <w:p>
      <w:pPr>
        <w:pStyle w:val="Heading2"/>
      </w:pPr>
      <w:r>
        <w:t>Visión</w:t>
      </w:r>
    </w:p>
    <w:p>
      <w:r>
        <w:rPr>
          <w:i w:val="0"/>
        </w:rPr>
        <w:t>Ser una red reconocida de escuelas de arte comunitario, con espacio propio, donde ningún joven con talento quede sin oportunidad por falta de recursos.</w:t>
      </w:r>
    </w:p>
    <w:p>
      <w:pPr>
        <w:pStyle w:val="Heading2"/>
      </w:pPr>
      <w:r>
        <w:t>Objetivos</w:t>
      </w:r>
    </w:p>
    <w:p>
      <w:pPr>
        <w:pStyle w:val="ListBullet"/>
        <w:spacing w:after="60"/>
      </w:pPr>
      <w:r>
        <w:t>Identificar los dones y debilidades de cada joven participante mediante una evaluación inicial.</w:t>
      </w:r>
    </w:p>
    <w:p>
      <w:pPr>
        <w:pStyle w:val="ListBullet"/>
        <w:spacing w:after="60"/>
      </w:pPr>
      <w:r>
        <w:t>Formar a los participantes en las especialidades del programa con talleres semanales.</w:t>
      </w:r>
    </w:p>
    <w:p>
      <w:pPr>
        <w:pStyle w:val="ListBullet"/>
        <w:spacing w:after="60"/>
      </w:pPr>
      <w:r>
        <w:t>Ofrecer muestras públicas y una plataforma en redes para difundir su talento.</w:t>
      </w:r>
    </w:p>
    <w:p>
      <w:pPr>
        <w:pStyle w:val="ListBullet"/>
        <w:spacing w:after="60"/>
      </w:pPr>
      <w:r>
        <w:t>Constituir y consolidar la asociación con espacio propio a mediano plazo.</w:t>
      </w:r>
    </w:p>
    <w:p>
      <w:pPr>
        <w:pStyle w:val="Heading1"/>
      </w:pPr>
      <w:r>
        <w:t>3. Programa de formación</w:t>
      </w:r>
    </w:p>
    <w:p>
      <w:r>
        <w:rPr>
          <w:i w:val="0"/>
        </w:rPr>
        <w:t>Las cuatro primeras especialidades provienen de los escritos de la fundadora. Poesía se propone por su trayectoria. Danza aparece en su idea inicial y queda por confirmar.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041"/>
            <w:shd w:val="clear" w:color="auto" w:fill="2B2F77"/>
          </w:tcPr>
          <w:p>
            <w:pPr>
              <w:spacing w:after="40"/>
            </w:pPr>
            <w:r/>
            <w:r>
              <w:rPr>
                <w:b/>
                <w:color w:val="FFFFFF"/>
                <w:sz w:val="20"/>
              </w:rPr>
              <w:t>Especialidad</w:t>
            </w:r>
          </w:p>
        </w:tc>
        <w:tc>
          <w:tcPr>
            <w:tcW w:type="dxa" w:w="4649"/>
            <w:shd w:val="clear" w:color="auto" w:fill="2B2F77"/>
          </w:tcPr>
          <w:p>
            <w:pPr>
              <w:spacing w:after="40"/>
            </w:pPr>
            <w:r/>
            <w:r>
              <w:rPr>
                <w:b/>
                <w:color w:val="FFFFFF"/>
                <w:sz w:val="20"/>
              </w:rPr>
              <w:t>Contenido</w:t>
            </w:r>
          </w:p>
        </w:tc>
        <w:tc>
          <w:tcPr>
            <w:tcW w:type="dxa" w:w="2948"/>
            <w:shd w:val="clear" w:color="auto" w:fill="2B2F77"/>
          </w:tcPr>
          <w:p>
            <w:pPr>
              <w:spacing w:after="40"/>
            </w:pPr>
            <w:r/>
            <w:r>
              <w:rPr>
                <w:b/>
                <w:color w:val="FFFFFF"/>
                <w:sz w:val="20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Ejecución de instrumentos</w:t>
            </w:r>
          </w:p>
        </w:tc>
        <w:tc>
          <w:tcPr>
            <w:tcW w:type="dxa" w:w="4649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Percusión, vientos andinos, cuerdas y teclado, según lo que cada colegio pueda disponer.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Repertorio de 3 piezas tocadas en público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Canto</w:t>
            </w:r>
          </w:p>
        </w:tc>
        <w:tc>
          <w:tcPr>
            <w:tcW w:type="dxa" w:w="4649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Técnica vocal básica: respiración, afinación y cuidado de la voz; canto individual y preparación de solistas.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Una pieza solista o a dúo por joven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Declamación y oratoria</w:t>
            </w:r>
          </w:p>
        </w:tc>
        <w:tc>
          <w:tcPr>
            <w:tcW w:type="dxa" w:w="4649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Dicción, volumen, postura y manejo del miedo escénico; exposición y debate.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Una declamación y un discurso de 3 minutos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Coros</w:t>
            </w:r>
          </w:p>
        </w:tc>
        <w:tc>
          <w:tcPr>
            <w:tcW w:type="dxa" w:w="4649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Coros musicales por colegio y formación individual para quienes quieran destacar.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Un coro estable por colegio con 4 canciones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Poesía (propuesta)</w:t>
            </w:r>
          </w:p>
        </w:tc>
        <w:tc>
          <w:tcPr>
            <w:tcW w:type="dxa" w:w="4649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Lectura y escritura de poesía; cada joven escribe y lee sus versos.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Cuaderno colectivo de poemas en versión digital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Danza (por confirmar)</w:t>
            </w:r>
          </w:p>
        </w:tc>
        <w:tc>
          <w:tcPr>
            <w:tcW w:type="dxa" w:w="4649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Danzas tradicionales peruanas y expresión corporal.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Una coreografía en la muestra final</w:t>
            </w:r>
          </w:p>
        </w:tc>
      </w:tr>
    </w:tbl>
    <w:p>
      <w:pPr>
        <w:spacing w:after="40"/>
      </w:pPr>
    </w:p>
    <w:p>
      <w:r>
        <w:rPr>
          <w:i w:val="0"/>
        </w:rPr>
        <w:t>Cada taller se plantea con 2 horas semanales y grupos de hasta 20 jóvenes (hasta 30 en coros), desde los 11 años.</w:t>
      </w:r>
    </w:p>
    <w:p>
      <w:pPr>
        <w:pStyle w:val="Heading1"/>
      </w:pPr>
      <w:r>
        <w:t>4. Ruta del piloto de 6 meses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814"/>
            <w:shd w:val="clear" w:color="auto" w:fill="2B2F77"/>
          </w:tcPr>
          <w:p>
            <w:pPr>
              <w:spacing w:after="40"/>
            </w:pPr>
            <w:r/>
            <w:r>
              <w:rPr>
                <w:b/>
                <w:color w:val="FFFFFF"/>
                <w:sz w:val="20"/>
              </w:rPr>
              <w:t>Mes</w:t>
            </w:r>
          </w:p>
        </w:tc>
        <w:tc>
          <w:tcPr>
            <w:tcW w:type="dxa" w:w="5443"/>
            <w:shd w:val="clear" w:color="auto" w:fill="2B2F77"/>
          </w:tcPr>
          <w:p>
            <w:pPr>
              <w:spacing w:after="40"/>
            </w:pPr>
            <w:r/>
            <w:r>
              <w:rPr>
                <w:b/>
                <w:color w:val="FFFFFF"/>
                <w:sz w:val="20"/>
              </w:rPr>
              <w:t>Actividades principales</w:t>
            </w:r>
          </w:p>
        </w:tc>
        <w:tc>
          <w:tcPr>
            <w:tcW w:type="dxa" w:w="2381"/>
            <w:shd w:val="clear" w:color="auto" w:fill="2B2F77"/>
          </w:tcPr>
          <w:p>
            <w:pPr>
              <w:spacing w:after="40"/>
            </w:pPr>
            <w:r/>
            <w:r>
              <w:rPr>
                <w:b/>
                <w:color w:val="FFFFFF"/>
                <w:sz w:val="20"/>
              </w:rPr>
              <w:t>Debe quedar listo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1. Cimientos</w:t>
            </w:r>
          </w:p>
        </w:tc>
        <w:tc>
          <w:tcPr>
            <w:tcW w:type="dxa" w:w="544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Asamblea fundacional y estatuto; reserva de nombre; cartas de intención con colegio y Municipalidad; diseño de la ficha de evaluación de talentos.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Estatuto firmado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2. Evaluación de talentos</w:t>
            </w:r>
          </w:p>
        </w:tc>
        <w:tc>
          <w:tcPr>
            <w:tcW w:type="dxa" w:w="544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Audiciones y charlas sin eliminar a nadie; ficha de dones y debilidades; selección de docentes y voluntarios con antecedentes; escritura pública en trámite.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Línea de base de 120 jóvenes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3. Talleres en marcha</w:t>
            </w:r>
          </w:p>
        </w:tc>
        <w:tc>
          <w:tcPr>
            <w:tcW w:type="dxa" w:w="544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Inicio de talleres semanales; autorizaciones de familias; registro de asistencia; asociación inscrita y con RUC.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Talleres funcionando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4. Práctica y refuerzo</w:t>
            </w:r>
          </w:p>
        </w:tc>
        <w:tc>
          <w:tcPr>
            <w:tcW w:type="dxa" w:w="544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Trabajo individual sobre las debilidades detectadas; coros conformados; grabaciones de práctica; solicitud de exoneración tributaria.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Coros estables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5. Primera muestra</w:t>
            </w:r>
          </w:p>
        </w:tc>
        <w:tc>
          <w:tcPr>
            <w:tcW w:type="dxa" w:w="544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Muestra pública en cada colegio; registro en video con autorización; invitación a familias y autoridades; lanzamiento de redes.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2 muestras realizadas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6. Plataforma y balance</w:t>
            </w:r>
          </w:p>
        </w:tc>
        <w:tc>
          <w:tcPr>
            <w:tcW w:type="dxa" w:w="544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Publicación de lo mejor del semestre; evaluación final con la ficha inicial; informe a asociados; decisión de ampliar.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Informe del piloto</w:t>
            </w:r>
          </w:p>
        </w:tc>
      </w:tr>
    </w:tbl>
    <w:p>
      <w:pPr>
        <w:spacing w:after="40"/>
      </w:pPr>
    </w:p>
    <w:p>
      <w:pPr>
        <w:pStyle w:val="Heading1"/>
      </w:pPr>
      <w:r>
        <w:t>5. Organización</w:t>
      </w:r>
    </w:p>
    <w:p>
      <w:r>
        <w:rPr>
          <w:i w:val="0"/>
        </w:rPr>
        <w:t>La asociación tendrá una Asamblea General de asociados y un Consejo Directivo, con un asesor técnico que no integra el consejo.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587"/>
            <w:shd w:val="clear" w:color="auto" w:fill="2B2F77"/>
          </w:tcPr>
          <w:p>
            <w:pPr>
              <w:spacing w:after="40"/>
            </w:pPr>
            <w:r/>
            <w:r>
              <w:rPr>
                <w:b/>
                <w:color w:val="FFFFFF"/>
                <w:sz w:val="20"/>
              </w:rPr>
              <w:t>Cargo</w:t>
            </w:r>
          </w:p>
        </w:tc>
        <w:tc>
          <w:tcPr>
            <w:tcW w:type="dxa" w:w="2494"/>
            <w:shd w:val="clear" w:color="auto" w:fill="2B2F77"/>
          </w:tcPr>
          <w:p>
            <w:pPr>
              <w:spacing w:after="40"/>
            </w:pPr>
            <w:r/>
            <w:r>
              <w:rPr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5556"/>
            <w:shd w:val="clear" w:color="auto" w:fill="2B2F77"/>
          </w:tcPr>
          <w:p>
            <w:pPr>
              <w:spacing w:after="40"/>
            </w:pPr>
            <w:r/>
            <w:r>
              <w:rPr>
                <w:b/>
                <w:color w:val="FFFFFF"/>
                <w:sz w:val="20"/>
              </w:rPr>
              <w:t>Funciones</w:t>
            </w:r>
          </w:p>
        </w:tc>
      </w:tr>
      <w:tr>
        <w:trPr>
          <w:cantSplit/>
        </w:trPr>
        <w:tc>
          <w:tcPr>
            <w:tcW w:type="dxa" w:w="1587"/>
            <w:shd w:val="clear" w:color="auto" w:fill="F6DCE7"/>
          </w:tcPr>
          <w:p>
            <w:pPr>
              <w:spacing w:after="40"/>
            </w:pPr>
            <w:r>
              <w:rPr>
                <w:b/>
                <w:sz w:val="22"/>
              </w:rPr>
            </w:r>
            <w:r>
              <w:rPr>
                <w:b/>
                <w:sz w:val="22"/>
              </w:rPr>
              <w:t>Presidenta</w:t>
            </w:r>
          </w:p>
        </w:tc>
        <w:tc>
          <w:tcPr>
            <w:tcW w:type="dxa" w:w="2494"/>
            <w:shd w:val="clear" w:color="auto" w:fill="F6DCE7"/>
          </w:tcPr>
          <w:p>
            <w:pPr>
              <w:spacing w:after="40"/>
            </w:pPr>
            <w:r>
              <w:rPr>
                <w:b/>
                <w:sz w:val="22"/>
              </w:rPr>
            </w:r>
            <w:r>
              <w:rPr>
                <w:b/>
                <w:sz w:val="22"/>
              </w:rPr>
              <w:t>Onelia Ardiles Carrasco</w:t>
            </w:r>
          </w:p>
        </w:tc>
        <w:tc>
          <w:tcPr>
            <w:tcW w:type="dxa" w:w="5556"/>
            <w:shd w:val="clear" w:color="auto" w:fill="F6DCE7"/>
          </w:tcPr>
          <w:p>
            <w:pPr>
              <w:spacing w:after="40"/>
            </w:pPr>
            <w:r>
              <w:rPr>
                <w:b/>
                <w:sz w:val="22"/>
              </w:rPr>
            </w:r>
            <w:r>
              <w:rPr>
                <w:b/>
                <w:sz w:val="22"/>
              </w:rPr>
              <w:t>Representa legalmente a la asociación, convoca y preside las asambleas, firma convenios.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Secretario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Mihael Arce</w:t>
            </w:r>
          </w:p>
        </w:tc>
        <w:tc>
          <w:tcPr>
            <w:tcW w:type="dxa" w:w="5556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Lleva el libro de actas y el registro de asociados; archiva convenios y autorizaciones.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Tesorera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Muriel Cabrera</w:t>
            </w:r>
          </w:p>
        </w:tc>
        <w:tc>
          <w:tcPr>
            <w:tcW w:type="dxa" w:w="5556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Custodia los fondos, lleva la contabilidad con apoyo de un contador y rinde cuentas.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Vocal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Erick Triviños</w:t>
            </w:r>
          </w:p>
        </w:tc>
        <w:tc>
          <w:tcPr>
            <w:tcW w:type="dxa" w:w="5556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Coordina la comisión asignada (talleres o difusión) y reemplaza a miembros del consejo.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Asesor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Eric Torres</w:t>
            </w:r>
          </w:p>
        </w:tc>
        <w:tc>
          <w:tcPr>
            <w:tcW w:type="dxa" w:w="5556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Apoyo técnico en la constitución y el diseño del programa.</w:t>
            </w:r>
          </w:p>
        </w:tc>
      </w:tr>
    </w:tbl>
    <w:p>
      <w:pPr>
        <w:spacing w:after="40"/>
      </w:pPr>
    </w:p>
    <w:p>
      <w:r>
        <w:rPr>
          <w:i w:val="0"/>
        </w:rPr>
        <w:t>Se sugiere un espacio de reuniones para planificar las acciones. Primero se usarán espacios prestados (colegio, municipio u otra institución) y, en una etapa posterior, un espacio propio.</w:t>
      </w:r>
    </w:p>
    <w:p>
      <w:pPr>
        <w:pStyle w:val="Heading1"/>
      </w:pPr>
      <w:r>
        <w:t>6. Ruta de constitución</w:t>
      </w:r>
    </w:p>
    <w:p>
      <w:r>
        <w:rPr>
          <w:i w:val="0"/>
        </w:rPr>
        <w:t>Esquema general. Los requisitos, formatos y costos deben confirmarse con un notario, un contador y los portales de SUNARP, SUNAT y APCI, y las normas deben revisarse en su versión vigente.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680"/>
            <w:shd w:val="clear" w:color="auto" w:fill="2B2F77"/>
          </w:tcPr>
          <w:p>
            <w:pPr>
              <w:spacing w:after="40"/>
            </w:pPr>
            <w:r/>
            <w:r>
              <w:rPr>
                <w:b/>
                <w:color w:val="FFFFFF"/>
                <w:sz w:val="20"/>
              </w:rPr>
              <w:t>N.º</w:t>
            </w:r>
          </w:p>
        </w:tc>
        <w:tc>
          <w:tcPr>
            <w:tcW w:type="dxa" w:w="3175"/>
            <w:shd w:val="clear" w:color="auto" w:fill="2B2F77"/>
          </w:tcPr>
          <w:p>
            <w:pPr>
              <w:spacing w:after="40"/>
            </w:pPr>
            <w:r/>
            <w:r>
              <w:rPr>
                <w:b/>
                <w:color w:val="FFFFFF"/>
                <w:sz w:val="20"/>
              </w:rPr>
              <w:t>Paso</w:t>
            </w:r>
          </w:p>
        </w:tc>
        <w:tc>
          <w:tcPr>
            <w:tcW w:type="dxa" w:w="5783"/>
            <w:shd w:val="clear" w:color="auto" w:fill="2B2F77"/>
          </w:tcPr>
          <w:p>
            <w:pPr>
              <w:spacing w:after="40"/>
            </w:pPr>
            <w:r/>
            <w:r>
              <w:rPr>
                <w:b/>
                <w:color w:val="FFFFFF"/>
                <w:sz w:val="20"/>
              </w:rPr>
              <w:t>Detalle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Asamblea fundacional</w:t>
            </w:r>
          </w:p>
        </w:tc>
        <w:tc>
          <w:tcPr>
            <w:tcW w:type="dxa" w:w="57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Acta de constitución, aprobación del estatuto y elección del consejo directivo. El estatuto define fines, órganos, derechos de los asociados y destino del patrimonio si la asociación se disuelve.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Búsqueda y reserva de nombre (SUNARP)</w:t>
            </w:r>
          </w:p>
        </w:tc>
        <w:tc>
          <w:tcPr>
            <w:tcW w:type="dxa" w:w="57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Verificar que el nombre no esté en uso en el Índice Nacional de Personas Jurídicas y reservarlo.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Escritura pública (notaría)</w:t>
            </w:r>
          </w:p>
        </w:tc>
        <w:tc>
          <w:tcPr>
            <w:tcW w:type="dxa" w:w="57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Elevar el acta y el estatuto a escritura pública; confirmar con la notaría si existe una alternativa digital vigente.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Inscripción en SUNARP</w:t>
            </w:r>
          </w:p>
        </w:tc>
        <w:tc>
          <w:tcPr>
            <w:tcW w:type="dxa" w:w="57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Registro de Personas Jurídicas, libro de asociaciones. La asociación existe como persona jurídica desde su inscripción.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RUC y régimen (SUNAT)</w:t>
            </w:r>
          </w:p>
        </w:tc>
        <w:tc>
          <w:tcPr>
            <w:tcW w:type="dxa" w:w="57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Obtener el RUC y definir con un contador los comprobantes y libros contables.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Exoneración del impuesto a la renta (SUNAT)</w:t>
            </w:r>
          </w:p>
        </w:tc>
        <w:tc>
          <w:tcPr>
            <w:tcW w:type="dxa" w:w="57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Solicitar la inscripción en el registro de entidades exoneradas; las asociaciones con fines educativos y culturales pueden acceder si no reparten utilidades.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Libros de actas y de asociados</w:t>
            </w:r>
          </w:p>
        </w:tc>
        <w:tc>
          <w:tcPr>
            <w:tcW w:type="dxa" w:w="57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Legalizarlos en notaría.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Convenios con colegios y Municipalidad</w:t>
            </w:r>
          </w:p>
        </w:tc>
        <w:tc>
          <w:tcPr>
            <w:tcW w:type="dxa" w:w="57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Convenio marco con el colegio o la UGEL y carta de apoyo de la Municipalidad de La Molina.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9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Política de protección de menores</w:t>
            </w:r>
          </w:p>
        </w:tc>
        <w:tc>
          <w:tcPr>
            <w:tcW w:type="dxa" w:w="57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Código de conducta, certificados de antecedentes del personal y protocolo de denuncia.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Autorizaciones de datos e imagen</w:t>
            </w:r>
          </w:p>
        </w:tc>
        <w:tc>
          <w:tcPr>
            <w:tcW w:type="dxa" w:w="57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Formato para madres, padres o tutores, según la ley de protección de datos personales.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11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Donaciones y cooperación</w:t>
            </w:r>
          </w:p>
        </w:tc>
        <w:tc>
          <w:tcPr>
            <w:tcW w:type="dxa" w:w="57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Si habrá cooperación internacional, revisar el registro correspondiente en APCI; para que los donantes deduzcan impuestos, consultar la calificación de donatarias en SUNAT.</w:t>
            </w:r>
          </w:p>
        </w:tc>
      </w:tr>
    </w:tbl>
    <w:p>
      <w:pPr>
        <w:spacing w:after="40"/>
      </w:pPr>
    </w:p>
    <w:p>
      <w:pPr>
        <w:pStyle w:val="Heading1"/>
      </w:pPr>
      <w:r>
        <w:t>7. Marco normativo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701"/>
            <w:shd w:val="clear" w:color="auto" w:fill="2B2F77"/>
          </w:tcPr>
          <w:p>
            <w:pPr>
              <w:spacing w:after="40"/>
            </w:pPr>
            <w:r/>
            <w:r>
              <w:rPr>
                <w:b/>
                <w:color w:val="FFFFFF"/>
                <w:sz w:val="20"/>
              </w:rPr>
              <w:t>Ámbito</w:t>
            </w:r>
          </w:p>
        </w:tc>
        <w:tc>
          <w:tcPr>
            <w:tcW w:type="dxa" w:w="3061"/>
            <w:shd w:val="clear" w:color="auto" w:fill="2B2F77"/>
          </w:tcPr>
          <w:p>
            <w:pPr>
              <w:spacing w:after="40"/>
            </w:pPr>
            <w:r/>
            <w:r>
              <w:rPr>
                <w:b/>
                <w:color w:val="FFFFFF"/>
                <w:sz w:val="20"/>
              </w:rPr>
              <w:t>Norma</w:t>
            </w:r>
          </w:p>
        </w:tc>
        <w:tc>
          <w:tcPr>
            <w:tcW w:type="dxa" w:w="4876"/>
            <w:shd w:val="clear" w:color="auto" w:fill="2B2F77"/>
          </w:tcPr>
          <w:p>
            <w:pPr>
              <w:spacing w:after="40"/>
            </w:pPr>
            <w:r/>
            <w:r>
              <w:rPr>
                <w:b/>
                <w:color w:val="FFFFFF"/>
                <w:sz w:val="20"/>
              </w:rPr>
              <w:t>Relevancia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Perú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Constitución Política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Derecho de asociación, fundaciones sin fines lucrativos y libertad de creación artística.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Perú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Código Civil, libro I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Regula la asociación: estatuto, asamblea, consejo directivo e inscripción.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Perú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Ley General de Educación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Reconoce el aporte de la sociedad civil a la formación artística y cultural.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Perú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Ley del Ministerio de Cultura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Fomento de la creación artística y la participación cultural.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Perú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Ley de la APCI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Cooperación técnica internacional y registro de ONG de desarrollo.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Perú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Ley del Voluntariado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Reconoce el trabajo voluntario y pide acuerdos escritos.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Perú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Protección de datos personales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Consentimiento informado, con más cuidado en datos de menores.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Perú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Ley del Impuesto a la Renta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Exoneración para entidades culturales y educativas sin fines de lucro; deducción de donaciones.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Internacional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Convención sobre los Derechos del Niño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Art. 31: derecho a participar en la vida cultural y artística.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Internacional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ODS 4 y ODS 10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Educación de calidad (meta 4.7) y reducción de desigualdades.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Internacional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Convención UNESCO 2005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Protección y promoción de la diversidad de las expresiones culturales.</w:t>
            </w:r>
          </w:p>
        </w:tc>
      </w:tr>
    </w:tbl>
    <w:p>
      <w:pPr>
        <w:spacing w:after="40"/>
      </w:pPr>
    </w:p>
    <w:p>
      <w:pPr>
        <w:pStyle w:val="Heading1"/>
      </w:pPr>
      <w:r>
        <w:t>8. Presupuesto referencial del piloto</w:t>
      </w:r>
    </w:p>
    <w:p>
      <w:r>
        <w:rPr>
          <w:i w:val="0"/>
        </w:rPr>
        <w:t>Escenario base: 2 colegios, 3 talleres por colegio (2 horas semanales durante 20 semanas, de los meses 2 a 6), S/ 40 por hora docente, 30 % de las horas cubiertas por voluntarios y una Dirección Artística y Pedagógica retribuida. Son supuestos de trabajo, no cotizaciones. La versión interactiva permite cambiarlos.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6803"/>
            <w:shd w:val="clear" w:color="auto" w:fill="2B2F77"/>
          </w:tcPr>
          <w:p>
            <w:pPr>
              <w:spacing w:after="40"/>
            </w:pPr>
            <w:r/>
            <w:r>
              <w:rPr>
                <w:b/>
                <w:color w:val="FFFFFF"/>
                <w:sz w:val="20"/>
              </w:rPr>
              <w:t>Rubro</w:t>
            </w:r>
          </w:p>
        </w:tc>
        <w:tc>
          <w:tcPr>
            <w:tcW w:type="dxa" w:w="2835"/>
            <w:shd w:val="clear" w:color="auto" w:fill="2B2F77"/>
          </w:tcPr>
          <w:p>
            <w:pPr>
              <w:spacing w:after="40"/>
            </w:pPr>
            <w:r/>
            <w:r>
              <w:rPr>
                <w:b/>
                <w:color w:val="FFFFFF"/>
                <w:sz w:val="20"/>
              </w:rPr>
              <w:t>Monto</w:t>
            </w:r>
          </w:p>
        </w:tc>
      </w:tr>
      <w:tr>
        <w:trPr>
          <w:cantSplit/>
        </w:trPr>
        <w:tc>
          <w:tcPr>
            <w:tcW w:type="dxa" w:w="680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Docentes (240 horas, 30 % voluntarias)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S/ 6 720</w:t>
            </w:r>
          </w:p>
        </w:tc>
      </w:tr>
      <w:tr>
        <w:trPr>
          <w:cantSplit/>
        </w:trPr>
        <w:tc>
          <w:tcPr>
            <w:tcW w:type="dxa" w:w="680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Dirección artística y coordinación (S/ 1 500 al mes por 6 meses)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S/ 9 000</w:t>
            </w:r>
          </w:p>
        </w:tc>
      </w:tr>
      <w:tr>
        <w:trPr>
          <w:cantSplit/>
        </w:trPr>
        <w:tc>
          <w:tcPr>
            <w:tcW w:type="dxa" w:w="680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Materiales e instrumentos (S/ 1 200 por colegio)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S/ 2 400</w:t>
            </w:r>
          </w:p>
        </w:tc>
      </w:tr>
      <w:tr>
        <w:trPr>
          <w:cantSplit/>
        </w:trPr>
        <w:tc>
          <w:tcPr>
            <w:tcW w:type="dxa" w:w="680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Constitución legal (notaría, registros, libros)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S/ 1 000</w:t>
            </w:r>
          </w:p>
        </w:tc>
      </w:tr>
      <w:tr>
        <w:trPr>
          <w:cantSplit/>
        </w:trPr>
        <w:tc>
          <w:tcPr>
            <w:tcW w:type="dxa" w:w="680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Difusión y redes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S/ 1 500</w:t>
            </w:r>
          </w:p>
        </w:tc>
      </w:tr>
      <w:tr>
        <w:trPr>
          <w:cantSplit/>
        </w:trPr>
        <w:tc>
          <w:tcPr>
            <w:tcW w:type="dxa" w:w="680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Muestras públicas (S/ 900 por colegio)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S/ 1 800</w:t>
            </w:r>
          </w:p>
        </w:tc>
      </w:tr>
      <w:tr>
        <w:trPr>
          <w:cantSplit/>
        </w:trPr>
        <w:tc>
          <w:tcPr>
            <w:tcW w:type="dxa" w:w="680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Imprevistos (10 %)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S/ 2 242</w:t>
            </w:r>
          </w:p>
        </w:tc>
      </w:tr>
      <w:tr>
        <w:trPr>
          <w:cantSplit/>
        </w:trPr>
        <w:tc>
          <w:tcPr>
            <w:tcW w:type="dxa" w:w="6803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TOTAL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S/ 24 662</w:t>
            </w:r>
          </w:p>
        </w:tc>
      </w:tr>
    </w:tbl>
    <w:p>
      <w:pPr>
        <w:spacing w:after="40"/>
      </w:pPr>
    </w:p>
    <w:p>
      <w:r>
        <w:rPr>
          <w:i w:val="0"/>
        </w:rPr>
        <w:t>Cupos: 120 jóvenes. Costo por cupo: S/ 206. Con 20 alumnos pagantes en cursos abiertos (S/ 60 al mes durante 5 meses) se generan S/ 6 000 de ingresos propios y quedan por financiar S/ 18 662.</w:t>
      </w:r>
    </w:p>
    <w:p>
      <w:r>
        <w:rPr>
          <w:b/>
        </w:rPr>
        <w:t xml:space="preserve">Fuentes posibles: </w:t>
      </w:r>
      <w:r>
        <w:rPr>
          <w:i w:val="0"/>
        </w:rPr>
        <w:t>convenio con la Municipalidad de La Molina, aporte de los asociados, donaciones de empresas y particulares, fondos concursables del Ministerio de Cultura y cooperación internacional.</w:t>
      </w:r>
    </w:p>
    <w:p>
      <w:pPr>
        <w:pStyle w:val="Heading2"/>
      </w:pPr>
      <w:r>
        <w:t>Financiamiento público</w:t>
      </w:r>
    </w:p>
    <w:p>
      <w:r>
        <w:rPr>
          <w:i w:val="0"/>
        </w:rPr>
        <w:t>Datos de la convocatoria 2026 del Ministerio de Cultura y de la normativa municipal. Las fechas y montos de 2027 se confirman cuando el ministerio publique su plan anual.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381"/>
            <w:shd w:val="clear" w:color="auto" w:fill="2B2F77"/>
          </w:tcPr>
          <w:p>
            <w:pPr>
              <w:spacing w:after="40"/>
            </w:pPr>
            <w:r/>
            <w:r>
              <w:rPr>
                <w:b/>
                <w:color w:val="FFFFFF"/>
                <w:sz w:val="20"/>
              </w:rPr>
              <w:t>Fuente</w:t>
            </w:r>
          </w:p>
        </w:tc>
        <w:tc>
          <w:tcPr>
            <w:tcW w:type="dxa" w:w="2381"/>
            <w:shd w:val="clear" w:color="auto" w:fill="2B2F77"/>
          </w:tcPr>
          <w:p>
            <w:pPr>
              <w:spacing w:after="40"/>
            </w:pPr>
            <w:r/>
            <w:r>
              <w:rPr>
                <w:b/>
                <w:color w:val="FFFFFF"/>
                <w:sz w:val="20"/>
              </w:rPr>
              <w:t>Monto</w:t>
            </w:r>
          </w:p>
        </w:tc>
        <w:tc>
          <w:tcPr>
            <w:tcW w:type="dxa" w:w="4876"/>
            <w:shd w:val="clear" w:color="auto" w:fill="2B2F77"/>
          </w:tcPr>
          <w:p>
            <w:pPr>
              <w:spacing w:after="40"/>
            </w:pPr>
            <w:r/>
            <w:r>
              <w:rPr>
                <w:b/>
                <w:color w:val="FFFFFF"/>
                <w:sz w:val="20"/>
              </w:rPr>
              <w:t>Qué financia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Ministerio de Cultura: Arte para la Transformación Social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S/ 16 000 (19 proyectos en 2026)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Proyectos comunitarios donde la música o las artes escénicas contribuyen a la transformación social. Es la línea que mejor encaja con los talleres en colegios.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Ministerio de Cultura: Puntos de Cultura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S/ 20 000 (20 premios en 2026)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Reconocimiento a organizaciones sin fines de lucro de al menos dos integrantes con impacto comunitario; da acceso a un concurso exclusivo.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Ministerio de Cultura: Música en vivo y Arte tradicional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S/ 20 000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Producción de presentaciones; útil para la muestra final del piloto.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Ministerio de Cultura: Festivales y festividades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Hasta S/ 50 000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Organización de festivales y encuentros.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Municipalidad de La Molina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Según convenio o contrato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Convenio de cooperación (local, difusión, permisos), contratación de talleres o funciones y participación en el presupuesto participativo.</w:t>
            </w:r>
          </w:p>
        </w:tc>
      </w:tr>
    </w:tbl>
    <w:p>
      <w:pPr>
        <w:spacing w:after="40"/>
      </w:pPr>
    </w:p>
    <w:p>
      <w:r>
        <w:rPr>
          <w:i w:val="0"/>
        </w:rPr>
        <w:t>Pueden postular personas jurídicas de derecho privado constituidas en el Perú. Las bases piden documentos de la organización y a menudo experiencia comprobada, por eso conviene tener el piloto en marcha. Consultas: concursosartes@cultura.gob.pe, teléfono (511) 714 0102.</w:t>
      </w:r>
    </w:p>
    <w:p>
      <w:r>
        <w:rPr>
          <w:b/>
        </w:rPr>
        <w:t xml:space="preserve">Conflicto de intereses: </w:t>
      </w:r>
      <w:r>
        <w:rPr>
          <w:i w:val="0"/>
        </w:rPr>
        <w:t>Si la presidenta presta servicios a la municipalidad, un contrato con la asociación que ella preside puede considerarse incompatible. Conviene consultar a un abogado y, de ser el caso, que ella se abstenga de decidir y que otro miembro del consejo firme.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1701"/>
            <w:shd w:val="clear" w:color="auto" w:fill="2B2F77"/>
          </w:tcPr>
          <w:p>
            <w:pPr>
              <w:spacing w:after="40"/>
            </w:pPr>
            <w:r/>
            <w:r>
              <w:rPr>
                <w:b/>
                <w:color w:val="FFFFFF"/>
                <w:sz w:val="20"/>
              </w:rPr>
              <w:t>Cuándo</w:t>
            </w:r>
          </w:p>
        </w:tc>
        <w:tc>
          <w:tcPr>
            <w:tcW w:type="dxa" w:w="7937"/>
            <w:shd w:val="clear" w:color="auto" w:fill="2B2F77"/>
          </w:tcPr>
          <w:p>
            <w:pPr>
              <w:spacing w:after="40"/>
            </w:pPr>
            <w:r/>
            <w:r>
              <w:rPr>
                <w:b/>
                <w:color w:val="FFFFFF"/>
                <w:sz w:val="20"/>
              </w:rPr>
              <w:t>Qué hacer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Octubre 2026</w:t>
            </w:r>
          </w:p>
        </w:tc>
        <w:tc>
          <w:tcPr>
            <w:tcW w:type="dxa" w:w="7937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Fundar la asociación y reservar el nombre.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Diciembre 2026</w:t>
            </w:r>
          </w:p>
        </w:tc>
        <w:tc>
          <w:tcPr>
            <w:tcW w:type="dxa" w:w="7937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Inscribir en SUNARP y registrarse en el RENTOCA (registro de trabajadores y organizaciones de la cultura).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Enero a marzo 2027</w:t>
            </w:r>
          </w:p>
        </w:tc>
        <w:tc>
          <w:tcPr>
            <w:tcW w:type="dxa" w:w="7937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Iniciar el piloto y reunir evidencia: fotos, videos y cartas de colegios.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Abril 2027</w:t>
            </w:r>
          </w:p>
        </w:tc>
        <w:tc>
          <w:tcPr>
            <w:tcW w:type="dxa" w:w="7937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Revisar el plan anual y las bases de estímulos económicos.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Mayo a junio 2027</w:t>
            </w:r>
          </w:p>
        </w:tc>
        <w:tc>
          <w:tcPr>
            <w:tcW w:type="dxa" w:w="7937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Postular. En 2026 los cierres fueron en mayo y junio.</w:t>
            </w:r>
          </w:p>
        </w:tc>
      </w:tr>
    </w:tbl>
    <w:p>
      <w:pPr>
        <w:spacing w:after="40"/>
      </w:pPr>
    </w:p>
    <w:p>
      <w:pPr>
        <w:pStyle w:val="Heading2"/>
      </w:pPr>
      <w:r>
        <w:t>Plan de arranque con poco dinero</w:t>
      </w:r>
    </w:p>
    <w:p>
      <w:r>
        <w:rPr>
          <w:i w:val="0"/>
        </w:rPr>
        <w:t>Constituir la asociación cuesta alrededor de S/ 1 000. Los fondos públicos no pagan ese trámite, porque exigen que la asociación ya exista. Por eso el primer paso se financia con aportes propios, ayuda en especie y un ingreso puente.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5102"/>
            <w:shd w:val="clear" w:color="auto" w:fill="2B2F77"/>
          </w:tcPr>
          <w:p>
            <w:pPr>
              <w:spacing w:after="40"/>
            </w:pPr>
            <w:r/>
            <w:r>
              <w:rPr>
                <w:b/>
                <w:color w:val="FFFFFF"/>
                <w:sz w:val="20"/>
              </w:rPr>
              <w:t>Trámite</w:t>
            </w:r>
          </w:p>
        </w:tc>
        <w:tc>
          <w:tcPr>
            <w:tcW w:type="dxa" w:w="2268"/>
            <w:shd w:val="clear" w:color="auto" w:fill="2B2F77"/>
          </w:tcPr>
          <w:p>
            <w:pPr>
              <w:spacing w:after="40"/>
            </w:pPr>
            <w:r/>
            <w:r>
              <w:rPr>
                <w:b/>
                <w:color w:val="FFFFFF"/>
                <w:sz w:val="20"/>
              </w:rPr>
              <w:t>Costo estimado</w:t>
            </w:r>
          </w:p>
        </w:tc>
        <w:tc>
          <w:tcPr>
            <w:tcW w:type="dxa" w:w="2268"/>
            <w:shd w:val="clear" w:color="auto" w:fill="2B2F77"/>
          </w:tcPr>
          <w:p>
            <w:pPr>
              <w:spacing w:after="40"/>
            </w:pPr>
            <w:r/>
            <w:r>
              <w:rPr>
                <w:b/>
                <w:color w:val="FFFFFF"/>
                <w:sz w:val="20"/>
              </w:rPr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Minuta, notaría y derechos de SUNARP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S/ 600 a 900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Libros de actas y de asociados legalizados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S/ 100 a 200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RUC en SUNAT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Gratis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Total aproximado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S/ 1 000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S/ 200 por fundador (5 aportantes)</w:t>
            </w:r>
          </w:p>
        </w:tc>
      </w:tr>
    </w:tbl>
    <w:p>
      <w:pPr>
        <w:spacing w:after="40"/>
      </w:pPr>
    </w:p>
    <w:p>
      <w:r>
        <w:rPr>
          <w:i/>
          <w:color w:val="585D7C"/>
          <w:sz w:val="20"/>
        </w:rPr>
        <w:t>Cifras de referencia de guías de trámites, sin cotización. La notaría fija el precio final.</w:t>
      </w:r>
    </w:p>
    <w:p>
      <w:pPr>
        <w:pStyle w:val="ListBullet"/>
        <w:spacing w:after="60"/>
      </w:pPr>
      <w:r>
        <w:rPr>
          <w:b/>
        </w:rPr>
        <w:t xml:space="preserve">Etapa 1. Constituir sin gastar de más: </w:t>
      </w:r>
      <w:r>
        <w:t>aportes entre los fundadores; un estudio de abogados o clínica jurídica universitaria que redacte el estatuto gratis; una notaría que haga un descuento; un contador voluntario para el RUC.</w:t>
      </w:r>
    </w:p>
    <w:p>
      <w:pPr>
        <w:pStyle w:val="ListBullet"/>
        <w:spacing w:after="60"/>
      </w:pPr>
      <w:r>
        <w:rPr>
          <w:b/>
        </w:rPr>
        <w:t xml:space="preserve">Etapa 2. Ingreso puente: </w:t>
      </w:r>
      <w:r>
        <w:t>cursos de poesía con cuota, presenciales o virtuales, con recibos por honorarios.</w:t>
      </w:r>
    </w:p>
    <w:p>
      <w:pPr>
        <w:pStyle w:val="ListBullet"/>
        <w:spacing w:after="60"/>
      </w:pPr>
      <w:r>
        <w:rPr>
          <w:b/>
        </w:rPr>
        <w:t xml:space="preserve">Etapa 3. Punto de Cultura: </w:t>
      </w:r>
      <w:r>
        <w:t>pedir el reconocimiento al Ministerio de Cultura. Organizaciones sin inscripción en SUNARP ya lo han solicitado. Da acceso a un concurso de S/ 20 000.</w:t>
      </w:r>
    </w:p>
    <w:p>
      <w:pPr>
        <w:pStyle w:val="ListBullet"/>
        <w:spacing w:after="60"/>
      </w:pPr>
      <w:r>
        <w:rPr>
          <w:b/>
        </w:rPr>
        <w:t xml:space="preserve">Etapa 4. Postular en 2027: </w:t>
      </w:r>
      <w:r>
        <w:t>en mayo o junio, a «Arte para la Transformación Social» (S/ 16 000). Casi todo ese fondo va a personas naturales, así que la presidenta podría postular aun antes de que la asociación esté inscrita.</w:t>
      </w:r>
    </w:p>
    <w:p>
      <w:r>
        <w:rPr>
          <w:b/>
        </w:rPr>
        <w:t xml:space="preserve">Por confirmar: </w:t>
      </w:r>
      <w:r>
        <w:rPr>
          <w:i w:val="0"/>
        </w:rPr>
        <w:t>Las bases y fechas de 2027 se publican hacia abril. Antes de postular como persona natural conviene consultar con un contador el tratamiento tributario, y con el ministerio si el Punto de Cultura se acepta sin inscripción.</w:t>
      </w:r>
    </w:p>
    <w:p>
      <w:pPr>
        <w:pStyle w:val="Heading2"/>
      </w:pPr>
      <w:r>
        <w:t>Modelo de sostenibilidad</w:t>
      </w:r>
    </w:p>
    <w:p>
      <w:r>
        <w:rPr>
          <w:i w:val="0"/>
        </w:rPr>
        <w:t>Los talleres para los jóvenes son gratuitos. Para que el proyecto dure, la asociación combina varias fuentes de ingreso y paga honorarios justos a quienes dirigen, enseñan y coordinan. Lo que sobra se reinvierte en los fines; no se reparte.</w:t>
      </w:r>
    </w:p>
    <w:p>
      <w:pPr>
        <w:pStyle w:val="ListBullet"/>
        <w:spacing w:after="60"/>
      </w:pPr>
      <w:r>
        <w:rPr>
          <w:b/>
        </w:rPr>
        <w:t xml:space="preserve">Convenios con instituciones: </w:t>
      </w:r>
      <w:r>
        <w:t>municipalidades, colegios y universidades contratan o cofinancian talleres y programas culturales. Es la fuente más estable.</w:t>
      </w:r>
    </w:p>
    <w:p>
      <w:pPr>
        <w:pStyle w:val="ListBullet"/>
        <w:spacing w:after="60"/>
      </w:pPr>
      <w:r>
        <w:rPr>
          <w:b/>
        </w:rPr>
        <w:t xml:space="preserve">Cursos abiertos con matrícula: </w:t>
      </w:r>
      <w:r>
        <w:t>poesía, declamación, oratoria y canto para público general, presenciales o virtuales, con cuota accesible. Subvencionan los talleres gratuitos.</w:t>
      </w:r>
    </w:p>
    <w:p>
      <w:pPr>
        <w:pStyle w:val="ListBullet"/>
        <w:spacing w:after="60"/>
      </w:pPr>
      <w:r>
        <w:rPr>
          <w:b/>
        </w:rPr>
        <w:t xml:space="preserve">Presentaciones y eventos: </w:t>
      </w:r>
      <w:r>
        <w:t>recitales, veladas criollas, ceremonias y actividades de empresas e instituciones que contratan al elenco.</w:t>
      </w:r>
    </w:p>
    <w:p>
      <w:pPr>
        <w:pStyle w:val="ListBullet"/>
        <w:spacing w:after="60"/>
      </w:pPr>
      <w:r>
        <w:rPr>
          <w:b/>
        </w:rPr>
        <w:t xml:space="preserve">Publicaciones y contenido: </w:t>
      </w:r>
      <w:r>
        <w:t>antologías de poesía, audiolibros, grabaciones y videos, para vender o licenciar.</w:t>
      </w:r>
    </w:p>
    <w:p>
      <w:pPr>
        <w:pStyle w:val="ListBullet"/>
        <w:spacing w:after="60"/>
      </w:pPr>
      <w:r>
        <w:rPr>
          <w:b/>
        </w:rPr>
        <w:t xml:space="preserve">Amigos de la asociación: </w:t>
      </w:r>
      <w:r>
        <w:t>aportes mensuales pequeños de familias, exalumnos y vecinos, y donaciones de empresas y particulares.</w:t>
      </w:r>
    </w:p>
    <w:p>
      <w:pPr>
        <w:pStyle w:val="ListBullet"/>
        <w:spacing w:after="60"/>
      </w:pPr>
      <w:r>
        <w:rPr>
          <w:b/>
        </w:rPr>
        <w:t xml:space="preserve">Fondos concursables: </w:t>
      </w:r>
      <w:r>
        <w:t>Ministerio de Cultura, municipalidades, fundaciones y cooperación internacional.</w:t>
      </w:r>
    </w:p>
    <w:p>
      <w:r>
        <w:rPr>
          <w:i w:val="0"/>
        </w:rPr>
        <w:t>El estatuto prevé una Dirección Artística y Pedagógica con honorarios aprobados por la Asamblea según el presupuesto. Quienes enseñan y coordinan cobran por su trabajo efectivo a un valor razonable, y quien recibe el pago no vota sobre su propia retribución.</w:t>
      </w:r>
    </w:p>
    <w:p>
      <w:pPr>
        <w:pStyle w:val="Heading1"/>
      </w:pPr>
      <w:r>
        <w:t>9. Indicadores de resultado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835"/>
            <w:shd w:val="clear" w:color="auto" w:fill="2B2F77"/>
          </w:tcPr>
          <w:p>
            <w:pPr>
              <w:spacing w:after="40"/>
            </w:pPr>
            <w:r/>
            <w:r>
              <w:rPr>
                <w:b/>
                <w:color w:val="FFFFFF"/>
                <w:sz w:val="20"/>
              </w:rPr>
              <w:t>Objetivo</w:t>
            </w:r>
          </w:p>
        </w:tc>
        <w:tc>
          <w:tcPr>
            <w:tcW w:type="dxa" w:w="4535"/>
            <w:shd w:val="clear" w:color="auto" w:fill="2B2F77"/>
          </w:tcPr>
          <w:p>
            <w:pPr>
              <w:spacing w:after="40"/>
            </w:pPr>
            <w:r/>
            <w:r>
              <w:rPr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2268"/>
            <w:shd w:val="clear" w:color="auto" w:fill="2B2F77"/>
          </w:tcPr>
          <w:p>
            <w:pPr>
              <w:spacing w:after="40"/>
            </w:pPr>
            <w:r/>
            <w:r>
              <w:rPr>
                <w:b/>
                <w:color w:val="FFFFFF"/>
                <w:sz w:val="20"/>
              </w:rPr>
              <w:t>Meta a 6 meses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Conocer el talento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Jóvenes con ficha inicial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120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Mantener la asistencia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Asistencia promedio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80 %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Mejorar el desempeño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Participantes que avanzan un nivel en la rúbrica final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70 %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Dar escenario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Muestras públicas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2 por colegio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Presencia en redes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Piezas publicadas con autorización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40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Consolidar la asociación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Constitución inscrita y convenios firmados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100 %</w:t>
            </w:r>
          </w:p>
        </w:tc>
      </w:tr>
    </w:tbl>
    <w:p>
      <w:pPr>
        <w:spacing w:after="40"/>
      </w:pPr>
    </w:p>
    <w:p>
      <w:r>
        <w:rPr>
          <w:i w:val="0"/>
        </w:rPr>
        <w:t>Las metas son propuestas y se ajustan al firmar los convenios.</w:t>
      </w:r>
    </w:p>
    <w:p>
      <w:pPr>
        <w:pStyle w:val="Heading1"/>
      </w:pPr>
      <w:r>
        <w:t>10. Riesgos y cuidados</w:t>
      </w:r>
    </w:p>
    <w:p>
      <w:pPr>
        <w:pStyle w:val="ListBullet"/>
        <w:spacing w:after="60"/>
      </w:pPr>
      <w:r>
        <w:rPr>
          <w:b/>
        </w:rPr>
        <w:t xml:space="preserve">Protección de menores: </w:t>
      </w:r>
      <w:r>
        <w:t>código de conducta, certificado de antecedentes de todo docente y voluntario, talleres en espacios abiertos o con dos adultos presentes.</w:t>
      </w:r>
    </w:p>
    <w:p>
      <w:pPr>
        <w:pStyle w:val="ListBullet"/>
        <w:spacing w:after="60"/>
      </w:pPr>
      <w:r>
        <w:rPr>
          <w:b/>
        </w:rPr>
        <w:t xml:space="preserve">Imagen y datos en redes: </w:t>
      </w:r>
      <w:r>
        <w:t>autorización firmada por madre, padre o tutor antes de publicar fotos, audios o videos de menores.</w:t>
      </w:r>
    </w:p>
    <w:p>
      <w:pPr>
        <w:pStyle w:val="ListBullet"/>
        <w:spacing w:after="60"/>
      </w:pPr>
      <w:r>
        <w:rPr>
          <w:b/>
        </w:rPr>
        <w:t xml:space="preserve">Dependencia de pocas personas: </w:t>
      </w:r>
      <w:r>
        <w:t>estatuto con reglas de reemplazo, actas al día y registro de acuerdos.</w:t>
      </w:r>
    </w:p>
    <w:p>
      <w:pPr>
        <w:pStyle w:val="ListBullet"/>
        <w:spacing w:after="60"/>
      </w:pPr>
      <w:r>
        <w:rPr>
          <w:b/>
        </w:rPr>
        <w:t xml:space="preserve">Falta de fondos: </w:t>
      </w:r>
      <w:r>
        <w:t>empezar con un colegio y un espacio prestado; ampliar solo con convenio o financiamiento confirmado.</w:t>
      </w:r>
    </w:p>
    <w:p>
      <w:pPr>
        <w:pStyle w:val="Heading1"/>
      </w:pPr>
      <w:r>
        <w:t>11. Siguientes pasos</w:t>
      </w:r>
    </w:p>
    <w:p>
      <w:pPr>
        <w:pStyle w:val="Heading2"/>
      </w:pPr>
      <w:r>
        <w:t>Primeros 30 días</w:t>
      </w:r>
    </w:p>
    <w:p>
      <w:pPr>
        <w:pStyle w:val="ListBullet"/>
        <w:spacing w:after="60"/>
      </w:pPr>
      <w:r>
        <w:t>Reunión fundadora y acuerdo de nombre</w:t>
      </w:r>
    </w:p>
    <w:p>
      <w:pPr>
        <w:pStyle w:val="ListBullet"/>
        <w:spacing w:after="60"/>
      </w:pPr>
      <w:r>
        <w:t>Búsqueda de nombre en SUNARP</w:t>
      </w:r>
    </w:p>
    <w:p>
      <w:pPr>
        <w:pStyle w:val="ListBullet"/>
        <w:spacing w:after="60"/>
      </w:pPr>
      <w:r>
        <w:t>Redacción del estatuto</w:t>
      </w:r>
    </w:p>
    <w:p>
      <w:pPr>
        <w:pStyle w:val="ListBullet"/>
        <w:spacing w:after="60"/>
      </w:pPr>
      <w:r>
        <w:t>Cartas de intención a un colegio y a la Municipalidad</w:t>
      </w:r>
    </w:p>
    <w:p>
      <w:pPr>
        <w:pStyle w:val="Heading2"/>
      </w:pPr>
      <w:r>
        <w:t>Hasta 60 días</w:t>
      </w:r>
    </w:p>
    <w:p>
      <w:pPr>
        <w:pStyle w:val="ListBullet"/>
        <w:spacing w:after="60"/>
      </w:pPr>
      <w:r>
        <w:t>Escritura pública e inscripción</w:t>
      </w:r>
    </w:p>
    <w:p>
      <w:pPr>
        <w:pStyle w:val="ListBullet"/>
        <w:spacing w:after="60"/>
      </w:pPr>
      <w:r>
        <w:t>RUC y solicitud de exoneración</w:t>
      </w:r>
    </w:p>
    <w:p>
      <w:pPr>
        <w:pStyle w:val="ListBullet"/>
        <w:spacing w:after="60"/>
      </w:pPr>
      <w:r>
        <w:t>Ficha de evaluación de talentos lista</w:t>
      </w:r>
    </w:p>
    <w:p>
      <w:pPr>
        <w:pStyle w:val="ListBullet"/>
        <w:spacing w:after="60"/>
      </w:pPr>
      <w:r>
        <w:t>Reclutamiento de docentes y voluntarios</w:t>
      </w:r>
    </w:p>
    <w:p>
      <w:pPr>
        <w:pStyle w:val="Heading2"/>
      </w:pPr>
      <w:r>
        <w:t>Hasta 90 días</w:t>
      </w:r>
    </w:p>
    <w:p>
      <w:pPr>
        <w:pStyle w:val="ListBullet"/>
        <w:spacing w:after="60"/>
      </w:pPr>
      <w:r>
        <w:t>Convenio firmado con el primer colegio</w:t>
      </w:r>
    </w:p>
    <w:p>
      <w:pPr>
        <w:pStyle w:val="ListBullet"/>
        <w:spacing w:after="60"/>
      </w:pPr>
      <w:r>
        <w:t>Inicio de talleres</w:t>
      </w:r>
    </w:p>
    <w:p>
      <w:pPr>
        <w:pStyle w:val="ListBullet"/>
        <w:spacing w:after="60"/>
      </w:pPr>
      <w:r>
        <w:t>Cuentas de redes de la asociación</w:t>
      </w:r>
    </w:p>
    <w:p>
      <w:pPr>
        <w:pStyle w:val="ListBullet"/>
        <w:spacing w:after="60"/>
      </w:pPr>
      <w:r>
        <w:t>Primer informe a asociados</w:t>
      </w:r>
    </w:p>
    <w:p>
      <w:pPr>
        <w:pStyle w:val="Heading2"/>
      </w:pPr>
      <w:r>
        <w:t>Decisiones pendientes de los fundadores</w:t>
      </w:r>
    </w:p>
    <w:p>
      <w:pPr>
        <w:pStyle w:val="ListBullet"/>
        <w:spacing w:after="60"/>
      </w:pPr>
      <w:r>
        <w:rPr>
          <w:highlight w:val="yellow"/>
        </w:rPr>
        <w:t>Nombre definitivo, libre en SUNARP.</w:t>
      </w:r>
      <w:r>
        <w:rPr>
          <w:b/>
          <w:color w:val="D00000"/>
        </w:rPr>
        <w:t xml:space="preserve"> completar</w:t>
      </w:r>
    </w:p>
    <w:p>
      <w:pPr>
        <w:pStyle w:val="ListBullet"/>
        <w:spacing w:after="60"/>
      </w:pPr>
      <w:r>
        <w:rPr>
          <w:highlight w:val="yellow"/>
        </w:rPr>
        <w:t>Si Danza se incluye en el piloto o en una segunda etapa.</w:t>
      </w:r>
      <w:r>
        <w:rPr>
          <w:b/>
          <w:color w:val="D00000"/>
        </w:rPr>
        <w:t xml:space="preserve"> completar</w:t>
      </w:r>
    </w:p>
    <w:p>
      <w:pPr>
        <w:pStyle w:val="ListBullet"/>
        <w:spacing w:after="60"/>
      </w:pPr>
      <w:r>
        <w:rPr>
          <w:highlight w:val="yellow"/>
        </w:rPr>
        <w:t>Distrito y colegios del piloto; los colegios podrían estar en distritos vecinos a La Molina.</w:t>
      </w:r>
      <w:r>
        <w:rPr>
          <w:b/>
          <w:color w:val="D00000"/>
        </w:rPr>
        <w:t xml:space="preserve"> completar</w:t>
      </w:r>
    </w:p>
    <w:p>
      <w:pPr>
        <w:pStyle w:val="ListBullet"/>
        <w:spacing w:after="60"/>
      </w:pPr>
      <w:r>
        <w:rPr>
          <w:highlight w:val="yellow"/>
        </w:rPr>
        <w:t>Domicilio legal y aporte inicial de los asociados.</w:t>
      </w:r>
      <w:r>
        <w:rPr>
          <w:b/>
          <w:color w:val="D00000"/>
        </w:rPr>
        <w:t xml:space="preserve"> completar</w:t>
      </w:r>
    </w:p>
    <w:p>
      <w:pPr>
        <w:pStyle w:val="ListBullet"/>
        <w:spacing w:after="60"/>
      </w:pPr>
      <w:r>
        <w:rPr>
          <w:highlight w:val="yellow"/>
        </w:rPr>
        <w:t>Si el asesor será asociado o colaborador externo.</w:t>
      </w:r>
      <w:r>
        <w:rPr>
          <w:b/>
          <w:color w:val="D00000"/>
        </w:rPr>
        <w:t xml:space="preserve"> completar</w:t>
      </w:r>
    </w:p>
    <w:p>
      <w:r>
        <w:rPr>
          <w:i/>
          <w:color w:val="585D7C"/>
          <w:sz w:val="20"/>
        </w:rPr>
        <w:t>Este documento es un borrador de planificación y no constituye asesoría legal ni tributaria.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85D7C"/>
        <w:sz w:val="18"/>
      </w:rPr>
      <w:t xml:space="preserve">Voces y Compases · Borrador · Página </w:t>
    </w:r>
    <w:r>
      <w:rPr>
        <w:color w:val="585D7C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B2F7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C4306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