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E4" w:rsidRPr="00812EE4" w:rsidRDefault="00812EE4" w:rsidP="00812EE4">
      <w:pPr>
        <w:tabs>
          <w:tab w:val="left" w:pos="-2340"/>
          <w:tab w:val="left" w:pos="10440"/>
        </w:tabs>
        <w:spacing w:after="0" w:line="240" w:lineRule="auto"/>
        <w:jc w:val="center"/>
        <w:rPr>
          <w:rFonts w:ascii="Arial" w:eastAsia="Times New Roman" w:hAnsi="Arial" w:cs="Arial"/>
          <w:i/>
          <w:sz w:val="24"/>
          <w:szCs w:val="24"/>
          <w:lang w:eastAsia="ru-RU"/>
        </w:rPr>
      </w:pPr>
      <w:r w:rsidRPr="00812EE4">
        <w:rPr>
          <w:rFonts w:ascii="Arial" w:eastAsia="Times New Roman" w:hAnsi="Arial" w:cs="Arial"/>
          <w:i/>
          <w:sz w:val="24"/>
          <w:szCs w:val="24"/>
          <w:lang w:eastAsia="ru-RU"/>
        </w:rPr>
        <w:t>ООО «НАУЧНО-ПРОИЗВОДСТВЕННАЯ КОМПАНИЯ «МЕДИНФО»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 w:firstLine="722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«Утверждаю»</w:t>
      </w: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 xml:space="preserve">Генеральный директор </w:t>
      </w: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ООО «НПК «Мединфо»</w:t>
      </w: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_________________ Никитина О.А.</w:t>
      </w: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«____» ___________ 2015</w:t>
      </w:r>
      <w:r w:rsidRPr="007C5900">
        <w:rPr>
          <w:rFonts w:ascii="Arial" w:eastAsia="Times New Roman" w:hAnsi="Arial" w:cs="Arial"/>
          <w:lang w:eastAsia="ru-RU"/>
        </w:rPr>
        <w:t xml:space="preserve"> г.</w:t>
      </w: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b/>
          <w:sz w:val="24"/>
          <w:szCs w:val="24"/>
          <w:lang w:eastAsia="ru-RU"/>
        </w:rPr>
        <w:t>ОТЧЕТ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о выполнении научно-исследовательской работы по теме: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«Определение индекса безопасности потенциального облучения и оптимизация радиационной защиты персонала предприятий Топливной компании ТВЭЛ </w:t>
      </w:r>
      <w:r w:rsidRPr="007C5900">
        <w:rPr>
          <w:rFonts w:ascii="Arial" w:eastAsia="Times New Roman" w:hAnsi="Arial" w:cs="Arial"/>
          <w:b/>
          <w:sz w:val="32"/>
          <w:szCs w:val="32"/>
          <w:lang w:eastAsia="ru-RU"/>
        </w:rPr>
        <w:br/>
        <w:t>на основе динамики индекса безопасности и действующих НРБ-99/2009»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lang w:eastAsia="ru-RU"/>
        </w:rPr>
      </w:pPr>
      <w:r w:rsidRPr="007C5900">
        <w:rPr>
          <w:rFonts w:ascii="Arial" w:eastAsia="Times New Roman" w:hAnsi="Arial" w:cs="Arial"/>
          <w:kern w:val="18"/>
          <w:lang w:eastAsia="ru-RU"/>
        </w:rPr>
        <w:t xml:space="preserve">по </w:t>
      </w:r>
      <w:r>
        <w:rPr>
          <w:rFonts w:ascii="Arial" w:eastAsia="Times New Roman" w:hAnsi="Arial" w:cs="Arial"/>
          <w:kern w:val="18"/>
          <w:lang w:eastAsia="ru-RU"/>
        </w:rPr>
        <w:t>третьему</w:t>
      </w:r>
      <w:r w:rsidRPr="007C5900">
        <w:rPr>
          <w:rFonts w:ascii="Arial" w:eastAsia="Times New Roman" w:hAnsi="Arial" w:cs="Arial"/>
          <w:kern w:val="18"/>
          <w:lang w:eastAsia="ru-RU"/>
        </w:rPr>
        <w:t xml:space="preserve"> этапу работ по договору № 4/3383-Д от 23 декабря 2013 г.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Руководитель:</w:t>
      </w:r>
    </w:p>
    <w:p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Заслуженный деятель науки РФ,</w:t>
      </w:r>
    </w:p>
    <w:p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член-корр. РАН, профессор</w:t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  <w:t>_______________</w:t>
      </w:r>
      <w:r w:rsidRPr="007C5900">
        <w:rPr>
          <w:rFonts w:ascii="Arial" w:eastAsia="Times New Roman" w:hAnsi="Arial" w:cs="Arial"/>
          <w:lang w:eastAsia="ru-RU"/>
        </w:rPr>
        <w:tab/>
        <w:t>В.К. Иванов</w:t>
      </w:r>
    </w:p>
    <w:p w:rsidR="00812EE4" w:rsidRPr="007C5900" w:rsidRDefault="00812EE4" w:rsidP="00812EE4">
      <w:pPr>
        <w:spacing w:after="0" w:line="240" w:lineRule="auto"/>
        <w:ind w:left="4956" w:right="4" w:firstLine="708"/>
        <w:rPr>
          <w:rFonts w:ascii="Arial" w:eastAsia="Times New Roman" w:hAnsi="Arial" w:cs="Arial"/>
          <w:sz w:val="18"/>
          <w:szCs w:val="18"/>
          <w:lang w:eastAsia="ru-RU"/>
        </w:rPr>
      </w:pPr>
      <w:r w:rsidRPr="007C5900">
        <w:rPr>
          <w:rFonts w:ascii="Arial" w:eastAsia="Times New Roman" w:hAnsi="Arial" w:cs="Arial"/>
          <w:sz w:val="18"/>
          <w:szCs w:val="18"/>
          <w:lang w:eastAsia="ru-RU"/>
        </w:rPr>
        <w:t xml:space="preserve">      подпись, дата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Обнинск 2015</w:t>
      </w: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г.</w:t>
      </w:r>
    </w:p>
    <w:p w:rsidR="007E4D3C" w:rsidRPr="007C5900" w:rsidRDefault="00812EE4" w:rsidP="007E4D3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br w:type="page"/>
      </w:r>
      <w:r w:rsidR="007E4D3C" w:rsidRPr="007C5900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СПИСОК ИСПОЛНИТЕЛЕЙ</w:t>
      </w:r>
    </w:p>
    <w:p w:rsidR="007E4D3C" w:rsidRPr="007C5900" w:rsidRDefault="007E4D3C" w:rsidP="007E4D3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4"/>
        <w:gridCol w:w="1984"/>
        <w:gridCol w:w="3342"/>
      </w:tblGrid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Научный руководитель темы, заслуженный деятель науки РФ, </w:t>
            </w: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член-корреспондент РАН, профессор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В.К. Иванов (введение, заключение)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Ответственные исполнители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А.Н. Меняйло (раздел 1.1)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А.И. Горский (раздел 1.2)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М.А. Максютов (раздел 1.3)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С.Ю. Чекин (раздел 1.2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1.4</w:t>
            </w: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Е.А. Пряхин (раздел 1.3)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А.М. Корело (раздел 1.1)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К.А. Туманов (раздел 1.1)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В.В. Кащеев (раздел 1.3, 1.2)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Нормоконтролер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В.Б. Подлещук</w:t>
            </w:r>
          </w:p>
        </w:tc>
      </w:tr>
    </w:tbl>
    <w:p w:rsidR="00E26D38" w:rsidRDefault="00E26D38" w:rsidP="00812EE4"/>
    <w:p w:rsidR="00E26D38" w:rsidRDefault="00E26D38">
      <w:pPr>
        <w:spacing w:after="160" w:line="259" w:lineRule="auto"/>
      </w:pPr>
      <w:r>
        <w:br w:type="page"/>
      </w:r>
    </w:p>
    <w:p w:rsidR="00E26D38" w:rsidRPr="007C5900" w:rsidRDefault="00E26D38" w:rsidP="00E26D38">
      <w:pPr>
        <w:spacing w:after="0" w:line="36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sz w:val="32"/>
          <w:szCs w:val="32"/>
          <w:lang w:eastAsia="ru-RU"/>
        </w:rPr>
        <w:lastRenderedPageBreak/>
        <w:t>РЕФЕРАТ</w:t>
      </w:r>
    </w:p>
    <w:p w:rsidR="00E26D38" w:rsidRPr="007C5900" w:rsidRDefault="00E26D38" w:rsidP="00E26D38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:rsidR="00E26D38" w:rsidRPr="00EF4BC2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EF4BC2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Отчет 72 с., 1 ч., 25 рис., 32 табл., 4 источника, 2 прил.</w:t>
      </w:r>
    </w:p>
    <w:p w:rsidR="00E26D38" w:rsidRPr="007C5900" w:rsidRDefault="00E26D38" w:rsidP="00E26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caps/>
          <w:sz w:val="24"/>
          <w:szCs w:val="24"/>
          <w:lang w:eastAsia="ru-RU"/>
        </w:rPr>
        <w:t>пожизненный атрибутивный радиационный риск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7C5900">
        <w:rPr>
          <w:rFonts w:ascii="Arial" w:eastAsia="Times New Roman" w:hAnsi="Arial" w:cs="Arial"/>
          <w:caps/>
          <w:sz w:val="24"/>
          <w:szCs w:val="24"/>
          <w:lang w:eastAsia="ru-RU"/>
        </w:rPr>
        <w:t>УЩЕРБ ЗДОРОВЬЮ,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ИНДИВИДУАЛЬНЫЙ ДОЗИМЕТРИЧЕСКИЙ КОНТРОЛЬ, ВНУТРЕННЕЕ ОБЛУЧЕНИЕ, ИНДЕКС БЕЗОПАСНОСТИ, ПОТЕНЦИАЛЬНОЕ ОБЛУЧЕНИЕ, ОБОБЩЕННЫЙ РИСК ПОТЕНЦИАЛЬНОГО ОБЛУЧЕНИЯ</w:t>
      </w:r>
    </w:p>
    <w:p w:rsidR="00E26D38" w:rsidRPr="007C5900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Объектом исследования являются эффективные дозы и пожизненные атрибутивные риски персонала предприятий Топливной компании ТВЭЛ, состоящего на индивидуальном дозиметрическом контроле (ИДК), в нормальных условиях облучения.</w:t>
      </w:r>
    </w:p>
    <w:p w:rsidR="00E26D38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Конечная цель работы – определение индекса безопасности потенциального облучения (ИБПО) для персонала предприятий Топливной компании ТВЭЛ на объектовом уровне, учитывающего ограничение по потенциальному облучению (НРБ-99/2009, п. 2.3) и основной предел облучения за период трудовой деятельности (НРБ-99/2009, п. 3.1.4), на основе данных об эффективных дозах внешнего и внутреннего облучения.</w:t>
      </w:r>
    </w:p>
    <w:p w:rsidR="006378A6" w:rsidRDefault="006378A6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На третьем этапе работ п</w:t>
      </w:r>
      <w:r w:rsidRPr="006378A6">
        <w:rPr>
          <w:rFonts w:ascii="Arial" w:eastAsia="Times New Roman" w:hAnsi="Arial" w:cs="Arial"/>
          <w:sz w:val="24"/>
          <w:szCs w:val="24"/>
          <w:lang w:eastAsia="ru-RU"/>
        </w:rPr>
        <w:t>роведена оценка текущего ИБПО по предприятиям Топливной компании ТВЭЛ и для Топливной ком</w:t>
      </w:r>
      <w:r>
        <w:rPr>
          <w:rFonts w:ascii="Arial" w:eastAsia="Times New Roman" w:hAnsi="Arial" w:cs="Arial"/>
          <w:sz w:val="24"/>
          <w:szCs w:val="24"/>
          <w:lang w:eastAsia="ru-RU"/>
        </w:rPr>
        <w:t>пании ТВЭЛ в целом; определены критические группы персонала по ИБПО по предприятиям Топливной компании ТВЭЛ и для Топливной компании ТВЭЛ в целом.</w:t>
      </w:r>
    </w:p>
    <w:p w:rsidR="00EF4BC2" w:rsidRDefault="00EF4BC2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EF4BC2" w:rsidRDefault="00EF4BC2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7271D6" w:rsidRPr="007271D6" w:rsidRDefault="007271D6" w:rsidP="007271D6">
      <w:pPr>
        <w:spacing w:after="0" w:line="240" w:lineRule="auto"/>
        <w:ind w:right="-5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271D6">
        <w:rPr>
          <w:rFonts w:ascii="Arial" w:eastAsia="Times New Roman" w:hAnsi="Arial" w:cs="Arial"/>
          <w:sz w:val="32"/>
          <w:szCs w:val="32"/>
          <w:lang w:eastAsia="ru-RU"/>
        </w:rPr>
        <w:lastRenderedPageBreak/>
        <w:t>СОДЕРЖАНИЕ</w:t>
      </w:r>
    </w:p>
    <w:p w:rsidR="007271D6" w:rsidRPr="007271D6" w:rsidRDefault="007271D6" w:rsidP="007271D6">
      <w:pPr>
        <w:spacing w:after="0" w:line="240" w:lineRule="auto"/>
        <w:ind w:right="-5"/>
        <w:jc w:val="center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</w:p>
    <w:p w:rsidR="007271D6" w:rsidRPr="007271D6" w:rsidRDefault="007271D6" w:rsidP="007271D6">
      <w:pPr>
        <w:spacing w:after="0" w:line="240" w:lineRule="auto"/>
        <w:ind w:right="-5"/>
        <w:jc w:val="center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</w:p>
    <w:p w:rsidR="007271D6" w:rsidRPr="007271D6" w:rsidRDefault="00304E9A" w:rsidP="007271D6">
      <w:pPr>
        <w:pStyle w:val="11"/>
        <w:rPr>
          <w:rStyle w:val="ae"/>
          <w:color w:val="FF0000"/>
        </w:rPr>
      </w:pPr>
      <w:r w:rsidRPr="007271D6">
        <w:rPr>
          <w:b/>
          <w:color w:val="FF0000"/>
        </w:rPr>
        <w:fldChar w:fldCharType="begin"/>
      </w:r>
      <w:r w:rsidR="007271D6" w:rsidRPr="007271D6">
        <w:rPr>
          <w:b/>
          <w:color w:val="FF0000"/>
        </w:rPr>
        <w:instrText xml:space="preserve"> TOC \o "1-3" \h \z \u </w:instrText>
      </w:r>
      <w:r w:rsidRPr="007271D6">
        <w:rPr>
          <w:b/>
          <w:color w:val="FF0000"/>
        </w:rPr>
        <w:fldChar w:fldCharType="separate"/>
      </w:r>
      <w:hyperlink w:anchor="_Toc399760118" w:history="1">
        <w:r w:rsidR="007271D6" w:rsidRPr="007271D6">
          <w:rPr>
            <w:rStyle w:val="ae"/>
            <w:color w:val="FF0000"/>
          </w:rPr>
          <w:t>ОПРЕДЕЛЕНИЯ</w:t>
        </w:r>
        <w:r w:rsidR="007271D6" w:rsidRPr="007271D6">
          <w:rPr>
            <w:rStyle w:val="ae"/>
            <w:webHidden/>
            <w:color w:val="FF0000"/>
          </w:rPr>
          <w:tab/>
        </w:r>
        <w:r w:rsidRPr="007271D6">
          <w:rPr>
            <w:rStyle w:val="ae"/>
            <w:webHidden/>
            <w:color w:val="FF0000"/>
          </w:rPr>
          <w:fldChar w:fldCharType="begin"/>
        </w:r>
        <w:r w:rsidR="007271D6" w:rsidRPr="007271D6">
          <w:rPr>
            <w:rStyle w:val="ae"/>
            <w:webHidden/>
            <w:color w:val="FF0000"/>
          </w:rPr>
          <w:instrText xml:space="preserve"> PAGEREF _Toc399760118 \h </w:instrText>
        </w:r>
        <w:r w:rsidRPr="007271D6">
          <w:rPr>
            <w:rStyle w:val="ae"/>
            <w:webHidden/>
            <w:color w:val="FF0000"/>
          </w:rPr>
        </w:r>
        <w:r w:rsidRPr="007271D6">
          <w:rPr>
            <w:rStyle w:val="ae"/>
            <w:webHidden/>
            <w:color w:val="FF0000"/>
          </w:rPr>
          <w:fldChar w:fldCharType="separate"/>
        </w:r>
        <w:r w:rsidR="007271D6" w:rsidRPr="007271D6">
          <w:rPr>
            <w:rStyle w:val="ae"/>
            <w:webHidden/>
            <w:color w:val="FF0000"/>
          </w:rPr>
          <w:t>5</w:t>
        </w:r>
        <w:r w:rsidRPr="007271D6">
          <w:rPr>
            <w:rStyle w:val="ae"/>
            <w:webHidden/>
            <w:color w:val="FF0000"/>
          </w:rPr>
          <w:fldChar w:fldCharType="end"/>
        </w:r>
      </w:hyperlink>
    </w:p>
    <w:p w:rsidR="007271D6" w:rsidRPr="007271D6" w:rsidRDefault="00380EAB" w:rsidP="007271D6">
      <w:pPr>
        <w:pStyle w:val="11"/>
        <w:rPr>
          <w:color w:val="FF0000"/>
        </w:rPr>
      </w:pPr>
      <w:hyperlink w:anchor="_Toc399760119" w:history="1">
        <w:r w:rsidR="007271D6" w:rsidRPr="007271D6">
          <w:rPr>
            <w:rStyle w:val="ae"/>
            <w:color w:val="FF0000"/>
          </w:rPr>
          <w:t>ОБОЗНАЧЕНИЯ И СОКРАЩЕНИЯ</w:t>
        </w:r>
        <w:r w:rsidR="007271D6" w:rsidRPr="007271D6">
          <w:rPr>
            <w:webHidden/>
            <w:color w:val="FF0000"/>
          </w:rPr>
          <w:tab/>
        </w:r>
        <w:r w:rsidR="00304E9A"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_Toc399760119 \h </w:instrText>
        </w:r>
        <w:r w:rsidR="00304E9A" w:rsidRPr="007271D6">
          <w:rPr>
            <w:webHidden/>
            <w:color w:val="FF0000"/>
          </w:rPr>
        </w:r>
        <w:r w:rsidR="00304E9A"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6</w:t>
        </w:r>
        <w:r w:rsidR="00304E9A"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80EAB" w:rsidP="007271D6">
      <w:pPr>
        <w:pStyle w:val="11"/>
        <w:rPr>
          <w:color w:val="FF0000"/>
        </w:rPr>
      </w:pPr>
      <w:hyperlink w:anchor="_Toc399760120" w:history="1">
        <w:r w:rsidR="007271D6" w:rsidRPr="007271D6">
          <w:rPr>
            <w:rStyle w:val="ae"/>
            <w:color w:val="FF0000"/>
          </w:rPr>
          <w:t>ВВЕДЕНИЕ</w:t>
        </w:r>
        <w:r w:rsidR="007271D6" w:rsidRPr="007271D6">
          <w:rPr>
            <w:webHidden/>
            <w:color w:val="FF0000"/>
          </w:rPr>
          <w:tab/>
        </w:r>
        <w:r w:rsidR="00304E9A"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_Toc399760120 \h </w:instrText>
        </w:r>
        <w:r w:rsidR="00304E9A" w:rsidRPr="007271D6">
          <w:rPr>
            <w:webHidden/>
            <w:color w:val="FF0000"/>
          </w:rPr>
        </w:r>
        <w:r w:rsidR="00304E9A"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7</w:t>
        </w:r>
        <w:r w:rsidR="00304E9A"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80EAB" w:rsidP="007271D6">
      <w:pPr>
        <w:pStyle w:val="11"/>
        <w:rPr>
          <w:color w:val="FF0000"/>
        </w:rPr>
      </w:pPr>
      <w:hyperlink w:anchor="_Toc399760121" w:history="1">
        <w:r w:rsidR="007271D6" w:rsidRPr="007271D6">
          <w:rPr>
            <w:rStyle w:val="ae"/>
            <w:color w:val="FF0000"/>
          </w:rPr>
          <w:t>1</w:t>
        </w:r>
        <w:r w:rsidR="007271D6" w:rsidRPr="007271D6">
          <w:rPr>
            <w:color w:val="FF0000"/>
          </w:rPr>
          <w:tab/>
        </w:r>
        <w:r w:rsidR="007271D6" w:rsidRPr="007271D6">
          <w:rPr>
            <w:rStyle w:val="ae"/>
            <w:color w:val="FF0000"/>
          </w:rPr>
          <w:t>Разработка метода определения ИБПО для Топливной компании ТВЭЛ на объектовом уровне, на основе данных об эффективных дозах внешнего и внутреннего облучения персонала</w:t>
        </w:r>
        <w:r w:rsidR="007271D6" w:rsidRPr="007271D6">
          <w:rPr>
            <w:webHidden/>
            <w:color w:val="FF0000"/>
          </w:rPr>
          <w:tab/>
        </w:r>
        <w:r w:rsidR="00304E9A"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_Toc399760121 \h </w:instrText>
        </w:r>
        <w:r w:rsidR="00304E9A" w:rsidRPr="007271D6">
          <w:rPr>
            <w:webHidden/>
            <w:color w:val="FF0000"/>
          </w:rPr>
        </w:r>
        <w:r w:rsidR="00304E9A"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10</w:t>
        </w:r>
        <w:r w:rsidR="00304E9A"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80EAB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2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1.1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noProof/>
            <w:color w:val="FF0000"/>
            <w:sz w:val="24"/>
            <w:szCs w:val="24"/>
            <w:lang w:eastAsia="ru-RU"/>
          </w:rPr>
          <w:t>Оценка</w:t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 xml:space="preserve"> вероятности потенциальных облучений персонала предприятий Топливной компании ТВЭЛ, состоящего на ИДК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_Toc399760122 \h </w:instrText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12</w:t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380EAB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3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1.2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Оценка обобщённого риска потенциального облучения персонала предприятий Топливной компании ТВЭЛ, состоящего на ИДК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_Toc399760123 \h </w:instrText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18</w:t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380EAB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4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1.3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Разработка индекса безопасности потенциального облучения объектового уровня на примере ОАО «МСЗ»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_Toc399760124 \h </w:instrText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42</w:t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380EAB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5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1.4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Определение критических групп персонала по ИБПО на примере ОАО «МСЗ»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_Toc399760125 \h </w:instrText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47</w:t>
        </w:r>
        <w:r w:rsidR="00304E9A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380EAB" w:rsidP="007271D6">
      <w:pPr>
        <w:pStyle w:val="11"/>
        <w:rPr>
          <w:color w:val="FF0000"/>
        </w:rPr>
      </w:pPr>
      <w:hyperlink w:anchor="_Toc399760126" w:history="1">
        <w:r w:rsidR="007271D6" w:rsidRPr="007271D6">
          <w:rPr>
            <w:rStyle w:val="ae"/>
            <w:color w:val="FF0000"/>
          </w:rPr>
          <w:t>ЗАКЛЮЧЕНИЕ</w:t>
        </w:r>
        <w:r w:rsidR="007271D6" w:rsidRPr="007271D6">
          <w:rPr>
            <w:webHidden/>
            <w:color w:val="FF0000"/>
          </w:rPr>
          <w:tab/>
        </w:r>
        <w:r w:rsidR="00304E9A"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_Toc399760126 \h </w:instrText>
        </w:r>
        <w:r w:rsidR="00304E9A" w:rsidRPr="007271D6">
          <w:rPr>
            <w:webHidden/>
            <w:color w:val="FF0000"/>
          </w:rPr>
        </w:r>
        <w:r w:rsidR="00304E9A"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49</w:t>
        </w:r>
        <w:r w:rsidR="00304E9A"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80EAB" w:rsidP="007271D6">
      <w:pPr>
        <w:pStyle w:val="11"/>
        <w:rPr>
          <w:color w:val="FF0000"/>
        </w:rPr>
      </w:pPr>
      <w:hyperlink w:anchor="_Toc399760127" w:history="1">
        <w:r w:rsidR="007271D6" w:rsidRPr="007271D6">
          <w:rPr>
            <w:rStyle w:val="ae"/>
            <w:color w:val="FF0000"/>
          </w:rPr>
          <w:t>СПИСОК ИСПОЛЬЗОВАННЫХ ИСТОЧНИКОВ</w:t>
        </w:r>
        <w:r w:rsidR="007271D6" w:rsidRPr="007271D6">
          <w:rPr>
            <w:webHidden/>
            <w:color w:val="FF0000"/>
          </w:rPr>
          <w:tab/>
        </w:r>
        <w:r w:rsidR="00304E9A"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_Toc399760127 \h </w:instrText>
        </w:r>
        <w:r w:rsidR="00304E9A" w:rsidRPr="007271D6">
          <w:rPr>
            <w:webHidden/>
            <w:color w:val="FF0000"/>
          </w:rPr>
        </w:r>
        <w:r w:rsidR="00304E9A"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53</w:t>
        </w:r>
        <w:r w:rsidR="00304E9A"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80EAB" w:rsidP="007271D6">
      <w:pPr>
        <w:pStyle w:val="11"/>
        <w:rPr>
          <w:color w:val="FF0000"/>
        </w:rPr>
      </w:pPr>
      <w:hyperlink w:anchor="_Toc399760128" w:history="1">
        <w:r w:rsidR="007271D6" w:rsidRPr="007271D6">
          <w:rPr>
            <w:rStyle w:val="ae"/>
            <w:color w:val="FF0000"/>
          </w:rPr>
          <w:t xml:space="preserve">ПРИЛОЖЕНИЕ А. </w:t>
        </w:r>
      </w:hyperlink>
      <w:hyperlink w:anchor="_Toc399760129" w:history="1">
        <w:r w:rsidR="007271D6" w:rsidRPr="007271D6">
          <w:rPr>
            <w:rStyle w:val="ae"/>
            <w:color w:val="FF0000"/>
          </w:rPr>
          <w:t>Результаты оценки обобщенного риска потенциального облучения персонала предприятий Топливной компании ТВЭЛ в возрастных группах, для мужчин и женщин</w:t>
        </w:r>
        <w:r w:rsidR="007271D6" w:rsidRPr="007271D6">
          <w:rPr>
            <w:webHidden/>
            <w:color w:val="FF0000"/>
          </w:rPr>
          <w:tab/>
        </w:r>
        <w:r w:rsidR="00304E9A"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_Toc399760129 \h </w:instrText>
        </w:r>
        <w:r w:rsidR="00304E9A" w:rsidRPr="007271D6">
          <w:rPr>
            <w:webHidden/>
            <w:color w:val="FF0000"/>
          </w:rPr>
        </w:r>
        <w:r w:rsidR="00304E9A"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54</w:t>
        </w:r>
        <w:r w:rsidR="00304E9A"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80EAB" w:rsidP="007271D6">
      <w:pPr>
        <w:pStyle w:val="11"/>
        <w:rPr>
          <w:color w:val="FF0000"/>
        </w:rPr>
      </w:pPr>
      <w:hyperlink w:anchor="_Toc399760130" w:history="1">
        <w:r w:rsidR="007271D6" w:rsidRPr="007271D6">
          <w:rPr>
            <w:rStyle w:val="ae"/>
            <w:color w:val="FF0000"/>
          </w:rPr>
          <w:t xml:space="preserve">ПРИЛОЖЕНИЕ Б. </w:t>
        </w:r>
      </w:hyperlink>
      <w:hyperlink w:anchor="_Toc399760131" w:history="1">
        <w:r w:rsidR="007271D6" w:rsidRPr="007271D6">
          <w:rPr>
            <w:rStyle w:val="ae"/>
            <w:color w:val="FF0000"/>
          </w:rPr>
          <w:t>Результаты оценки индекса безопасности потенциального облучения персонала ОАО «МСЗ» в возрастных группах, для мужчин и женщин</w:t>
        </w:r>
        <w:r w:rsidR="007271D6" w:rsidRPr="007271D6">
          <w:rPr>
            <w:webHidden/>
            <w:color w:val="FF0000"/>
          </w:rPr>
          <w:tab/>
        </w:r>
        <w:r w:rsidR="00304E9A"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_Toc399760131 \h </w:instrText>
        </w:r>
        <w:r w:rsidR="00304E9A" w:rsidRPr="007271D6">
          <w:rPr>
            <w:webHidden/>
            <w:color w:val="FF0000"/>
          </w:rPr>
        </w:r>
        <w:r w:rsidR="00304E9A"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71</w:t>
        </w:r>
        <w:r w:rsidR="00304E9A" w:rsidRPr="007271D6">
          <w:rPr>
            <w:webHidden/>
            <w:color w:val="FF0000"/>
          </w:rPr>
          <w:fldChar w:fldCharType="end"/>
        </w:r>
      </w:hyperlink>
    </w:p>
    <w:p w:rsidR="007271D6" w:rsidRDefault="00304E9A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</w:pPr>
      <w:r w:rsidRPr="007271D6"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  <w:fldChar w:fldCharType="end"/>
      </w:r>
    </w:p>
    <w:p w:rsidR="007271D6" w:rsidRDefault="007271D6">
      <w:pPr>
        <w:spacing w:after="160" w:line="259" w:lineRule="auto"/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  <w:br w:type="page"/>
      </w:r>
    </w:p>
    <w:p w:rsidR="007271D6" w:rsidRPr="007C5900" w:rsidRDefault="007271D6" w:rsidP="007271D6">
      <w:pPr>
        <w:pStyle w:val="1"/>
        <w:keepLines w:val="0"/>
        <w:numPr>
          <w:ilvl w:val="0"/>
          <w:numId w:val="0"/>
        </w:numPr>
        <w:spacing w:before="240" w:after="60" w:line="360" w:lineRule="auto"/>
        <w:jc w:val="center"/>
        <w:rPr>
          <w:b w:val="0"/>
          <w:kern w:val="32"/>
          <w:sz w:val="32"/>
          <w:szCs w:val="32"/>
          <w:lang w:eastAsia="ru-RU"/>
        </w:rPr>
      </w:pPr>
      <w:bookmarkStart w:id="0" w:name="_Toc399760118"/>
      <w:r w:rsidRPr="007C5900">
        <w:rPr>
          <w:b w:val="0"/>
          <w:kern w:val="32"/>
          <w:sz w:val="32"/>
          <w:szCs w:val="32"/>
          <w:lang w:eastAsia="ru-RU"/>
        </w:rPr>
        <w:lastRenderedPageBreak/>
        <w:t>ОПРЕДЕЛЕНИЯ</w:t>
      </w:r>
      <w:bookmarkEnd w:id="0"/>
    </w:p>
    <w:p w:rsidR="007271D6" w:rsidRPr="007C5900" w:rsidRDefault="007271D6" w:rsidP="007271D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 настоящем отчете о НИР применяют следующие термины с соответствующими определениями.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Радиационный риск смерти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(стохастический эффект) – увеличение частоты смерти, обусловленное воздействием ионизирующих излучений.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Радиационный ущерб здоровью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Pr="007C5900">
        <w:rPr>
          <w:rFonts w:ascii="Arial" w:eastAsia="Times New Roman" w:hAnsi="Arial" w:cs="Arial"/>
          <w:i/>
          <w:sz w:val="24"/>
          <w:szCs w:val="24"/>
          <w:lang w:val="en-US" w:eastAsia="ru-RU"/>
        </w:rPr>
        <w:t>Det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) – суммарный вред для здоровья человека, наносимый группе людей облучением от источника излучения. Его основными компонентами являются величины стохастического характера: вероятность развития смертельного радиационно-индуцированного онкологического заболевания, взвешенная вероятность развития наследственных радиационных эффектов и число лет жизни, потерянных в результате нанесения радиационного вреда.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Избыточный абсолютный риск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EAR)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абсолютное приращение частоты заболеваний в облученной когорте к частоте заболеваний в такой же необлученной когорте.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Пожизненный атрибутивный риск (LAR)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приращение пожизненного числа заболеваний в облученной когорте к пожизненному числу заболеваний в такой же необлученной когорте, нормированное на число лиц в когорте на начало наблюдения; при вычислении величины LAR изменением смертности от всех причин в когорте по причине облучения пренебрегается.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Номинальный коэффициент риска –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усредненная по полу и возрасту на момент облучения оценка пожизненного риска для репрезентативной популяции.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Коэффициент риска на единицу дозы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– величина радиационного риска, нормированная на единицу поглощённой или эквивалентной дозы.</w:t>
      </w:r>
    </w:p>
    <w:p w:rsidR="005B5C25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Коэффициент эффективности дозы и мощности дозы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DDREF</w:t>
      </w:r>
      <w:r>
        <w:rPr>
          <w:rFonts w:ascii="Arial" w:eastAsia="Times New Roman" w:hAnsi="Arial" w:cs="Arial"/>
          <w:sz w:val="24"/>
          <w:szCs w:val="24"/>
          <w:lang w:eastAsia="ru-RU"/>
        </w:rPr>
        <w:t>) – экспертно-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оцененный параметр, который объясняет обычно сниженную биологическую эффективность (на единицу дозы) радиационного воздействия малых доз и малых мощностей доз, если сравнивать ее с эффективностью высоких доз и высоких мощностей доз.</w:t>
      </w: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7271D6" w:rsidRPr="007C5900" w:rsidRDefault="007271D6" w:rsidP="007271D6">
      <w:pPr>
        <w:pStyle w:val="1"/>
        <w:keepLines w:val="0"/>
        <w:numPr>
          <w:ilvl w:val="0"/>
          <w:numId w:val="0"/>
        </w:numPr>
        <w:spacing w:before="240" w:after="60" w:line="360" w:lineRule="auto"/>
        <w:jc w:val="center"/>
        <w:rPr>
          <w:b w:val="0"/>
          <w:kern w:val="32"/>
          <w:sz w:val="32"/>
          <w:szCs w:val="32"/>
          <w:lang w:eastAsia="ru-RU"/>
        </w:rPr>
      </w:pPr>
      <w:bookmarkStart w:id="1" w:name="_Toc326659490"/>
      <w:bookmarkStart w:id="2" w:name="_Toc383099064"/>
      <w:bookmarkStart w:id="3" w:name="_Toc399760119"/>
      <w:r w:rsidRPr="007C5900">
        <w:rPr>
          <w:b w:val="0"/>
          <w:kern w:val="32"/>
          <w:sz w:val="32"/>
          <w:szCs w:val="32"/>
          <w:lang w:eastAsia="ru-RU"/>
        </w:rPr>
        <w:lastRenderedPageBreak/>
        <w:t>ОБОЗНАЧЕНИЯ И СОКРАЩЕНИЯ</w:t>
      </w:r>
      <w:bookmarkEnd w:id="1"/>
      <w:bookmarkEnd w:id="2"/>
      <w:bookmarkEnd w:id="3"/>
    </w:p>
    <w:p w:rsidR="007271D6" w:rsidRPr="007C5900" w:rsidRDefault="007271D6" w:rsidP="007271D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7842"/>
      </w:tblGrid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доверительный интервал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ИБПО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 xml:space="preserve">– индекс безопасности потенциального облучения 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ИДК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</w:t>
            </w: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индивидуальный дозиметрический контроль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МАГАТЭ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Международное агентство по атомной энергии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МКРЗ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Международная комиссия по радиологической защите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ОРПО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обобщенный риск потенциального облучения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радиационный ущерб здоровью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DDREF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коэффициент эффективности дозы и мощности дозы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EAR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избыточный абсолютный риск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LAR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пожизненный атрибутивный риск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842" w:type="dxa"/>
          </w:tcPr>
          <w:p w:rsidR="007271D6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функция дожития</w:t>
            </w:r>
          </w:p>
          <w:p w:rsidR="007271D6" w:rsidRPr="007271D6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</w:p>
        </w:tc>
      </w:tr>
    </w:tbl>
    <w:p w:rsidR="007271D6" w:rsidRDefault="007271D6" w:rsidP="007271D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827055" w:rsidRPr="007C5900" w:rsidRDefault="00827055" w:rsidP="00827055">
      <w:pPr>
        <w:pStyle w:val="1"/>
        <w:keepLines w:val="0"/>
        <w:numPr>
          <w:ilvl w:val="0"/>
          <w:numId w:val="0"/>
        </w:numPr>
        <w:spacing w:before="240" w:after="60" w:line="360" w:lineRule="auto"/>
        <w:jc w:val="center"/>
        <w:rPr>
          <w:b w:val="0"/>
          <w:kern w:val="32"/>
          <w:sz w:val="32"/>
          <w:szCs w:val="32"/>
          <w:lang w:eastAsia="ru-RU"/>
        </w:rPr>
      </w:pPr>
      <w:bookmarkStart w:id="4" w:name="_Toc399760120"/>
      <w:r w:rsidRPr="007C5900">
        <w:rPr>
          <w:b w:val="0"/>
          <w:kern w:val="32"/>
          <w:sz w:val="32"/>
          <w:szCs w:val="32"/>
          <w:lang w:eastAsia="ru-RU"/>
        </w:rPr>
        <w:lastRenderedPageBreak/>
        <w:t>ВВЕДЕНИЕ</w:t>
      </w:r>
      <w:bookmarkEnd w:id="4"/>
    </w:p>
    <w:p w:rsidR="00827055" w:rsidRPr="007C5900" w:rsidRDefault="00827055" w:rsidP="0082705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27055" w:rsidRPr="007C5900" w:rsidRDefault="00827055" w:rsidP="00827055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 современной системе радиологической защиты МКРЗ [1] введены категории «ситуаций облучения», причём в ситуациях «планируемого облучения» выделяется подкатегория «потенциальное облучение». МКРЗ отмечает: «В ситуациях планового облучения вполне резонно ожидается, что будет получена определенная доза облучения. Вместе с тем, уровень облучения может оказаться более высоким вследствие отступления от плановых рабочих процедур и аварий, в том числе, связанных с потерей контроля над источниками излучения и злоумышленными действиями. Такое облучение заранее не планируется, хотя сама возможность такой ситуации предусматривается. Комиссия называет это потенциальным облучением» [1] (п. 262).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мнению МКРЗ, потенциальное обучение подразумевает три типа событий: 1) при которых потенциальное облучение может коснуться главным образом людей, которые подвергаются плановому облучению; 2) при которых потенциальное облучение может затронуть большее количество людей; 3) при которых потенциальное облучение может произойти в далеком будущем и дозы облучения будут получены на протяжении длительного периода времени. К обеспечению радиационной безопасности персонала в условиях потенциального облучения относится, прежде всего, первый тип из выше перечисленных событий.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В ситуации планируемого облучения при обычной практической деятельности облучение персонала является результатом нормальных условий работы. При этом величина облучений варьирует с изменением условий работы. Некоторые вариации в облучении являются ожидаемыми и могут быть подвергнуты управленческому или регуляторному контролю. Однако, иногда могут возникать вариации облучения, которые не могут рассматриваться как обычные. Они могут привести к годовым дозам за пределами диапазона величин годовых доз, характерных для ситуаций планируемого облучения, но необязательно за установленными НРБ дозовыми пределами. В Рекомендациях МКРЗ </w:t>
      </w:r>
      <w:smartTag w:uri="urn:schemas-microsoft-com:office:smarttags" w:element="metricconverter">
        <w:smartTagPr>
          <w:attr w:name="ProductID" w:val="2007 г"/>
        </w:smartTagPr>
        <w:r w:rsidRPr="007C5900">
          <w:rPr>
            <w:rFonts w:ascii="Arial" w:eastAsia="Times New Roman" w:hAnsi="Arial" w:cs="Arial"/>
            <w:sz w:val="24"/>
            <w:szCs w:val="24"/>
            <w:lang w:eastAsia="ru-RU"/>
          </w:rPr>
          <w:t>2007 г</w:t>
        </w:r>
      </w:smartTag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. отмечается, что обычно существует связь между потенциальными облучениями и облучениями, возникающими в ситуациях планируемого облучения [1] (п. 263). В случае облучения персонала, решения, касающиеся оценки потенциального облучения, могут основываться на обобщении имеющейся информации об облучении в нормальной контролируемой ситуации [1] (п. 268). В нормальной ситуации с увеличением дозы риск увеличивается, но вероятность такого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облучения обычно уменьшается. Здесь следует ещё раз подчеркнуть, что понятие потенциального облучения, приведённое в Рекомендациях МКРЗ </w:t>
      </w:r>
      <w:smartTag w:uri="urn:schemas-microsoft-com:office:smarttags" w:element="metricconverter">
        <w:smartTagPr>
          <w:attr w:name="ProductID" w:val="2007 г"/>
        </w:smartTagPr>
        <w:r w:rsidRPr="007C5900">
          <w:rPr>
            <w:rFonts w:ascii="Arial" w:eastAsia="Times New Roman" w:hAnsi="Arial" w:cs="Arial"/>
            <w:sz w:val="24"/>
            <w:szCs w:val="24"/>
            <w:lang w:eastAsia="ru-RU"/>
          </w:rPr>
          <w:t>2007 г</w:t>
        </w:r>
      </w:smartTag>
      <w:r w:rsidRPr="007C5900">
        <w:rPr>
          <w:rFonts w:ascii="Arial" w:eastAsia="Times New Roman" w:hAnsi="Arial" w:cs="Arial"/>
          <w:sz w:val="24"/>
          <w:szCs w:val="24"/>
          <w:lang w:eastAsia="ru-RU"/>
        </w:rPr>
        <w:t>. покрывает все диапазоны пределов и ограничений, и на него распространяется принцип оптимизации.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мнению МКРЗ ([1], п. 266), «Оценка потенциального облучения для целей планирования или оценки защитных мероприятий обычно основывается на: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а)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разработке типичных сценариев, которые представляют последовательность событий, приводящих к облучениям;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б)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оценке вероятностей каждой из этих последовательностей;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оценке результирующей дозы;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г)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оценке ущерба, связанного с такой дозой;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д)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сравнении результатов с некоторым критерием приемлемости;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е)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оптимизации защиты, что может потребовать нескольких итераций предыдущих шагов».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мнению МКРЗ ([1], п. 267), «Решения о приемлемости потенциальных облучений должны учитывать как вероятность возникновения облучения, так и его величину. … полезно рассматривать индивидуальную вероятность радиационно-обусловленной смерти, нежели эффективную дозу. Для этой цели вероятность определяется как произведение вероятности получить определённую дозу в год и пожизненной вероятности радиационно-обусловленной смерти от этой полученной дозы. Результирующая вероятность затем может сравниваться с ограничением риска».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потенциальному облучению персонала Комиссия рекомендует использовать понятие рисковых, а не дозовых ограничений, на уровне ограничений обобщённого риска 2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в год [1] (п. 268).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Эта рекомендация, с уточнением понятия обобщённого риска, принята и в действующих российских Нормах радиационной безопасности НРБ-99/2009 (СанПиН 2.6.1.2523-09) [2], (п. 2.3) «При обосновании защиты от источников потенциального облучения в течение года принимаются следующие граничные значения обобщенного риска (произведение вероятности события, приводящего к облучению, и вероятности смерти, связанной с облучением):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- персонал -   2,0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 год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- население - 1,0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-5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 год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».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Действующие НРБ-99/2009 содержат основные пределы облучения, ориентированные на индивидуума (п. 2.3, 3.1 и 3.2). Например, для персонала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предел индивидуального риска от облучения в течение года составляет 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(п. 2.3: «пределы доз ... устанавливаются исходя из следующих значений индивидуального пожизненного риска: – для персонала – 1,0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»). При достижении этого индивидуального предела 100%-ми лиц из персонала группы А, граничное значение обобщённого риска было бы превышено в пять раз. Если при облучении в течение года группы из 10-ти человек один человек будет иметь риск 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/год, а девять – 1,1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/год, то обобщённый риск = (1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+ 9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1,1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)/10 =1,99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/год, т.е. чуть меньше граничного значения ОРПО.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Таким образом, ограничение обобщённого риска должно относиться к группе лиц, для его соблюдения к пределам облучения может приближаться только какая-то часть из группы персонала. Фактически, это ограничение нормативно закрепляет достигнутый уровень радиационной безопасности на предприятиях атомной отрасли.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 соответствии с принципом оптимизации (НРБ-99/2009, п. 2.1), обобщённый риск должен поддерживаться на возможно низком и достижимом уровне, при условии одновременного соблюдения ограничения обобщённого риска и индивидуальных пределов облучения.</w:t>
      </w:r>
    </w:p>
    <w:p w:rsidR="007271D6" w:rsidRPr="006378A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51E1B" w:rsidRDefault="00751E1B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51E1B" w:rsidRDefault="00751E1B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751E1B" w:rsidRPr="007C5900" w:rsidRDefault="00751E1B" w:rsidP="00751E1B">
      <w:pPr>
        <w:pStyle w:val="1"/>
        <w:keepLines w:val="0"/>
        <w:numPr>
          <w:ilvl w:val="0"/>
          <w:numId w:val="0"/>
        </w:numPr>
        <w:tabs>
          <w:tab w:val="left" w:pos="1418"/>
        </w:tabs>
        <w:spacing w:before="240" w:after="60" w:line="360" w:lineRule="auto"/>
        <w:ind w:firstLine="709"/>
        <w:jc w:val="both"/>
        <w:rPr>
          <w:b w:val="0"/>
          <w:kern w:val="32"/>
          <w:sz w:val="32"/>
          <w:szCs w:val="32"/>
          <w:lang w:eastAsia="ru-RU"/>
        </w:rPr>
      </w:pPr>
      <w:bookmarkStart w:id="5" w:name="_Toc399760121"/>
      <w:r w:rsidRPr="007C5900">
        <w:rPr>
          <w:b w:val="0"/>
          <w:kern w:val="32"/>
          <w:sz w:val="32"/>
          <w:szCs w:val="32"/>
          <w:lang w:eastAsia="ru-RU"/>
        </w:rPr>
        <w:lastRenderedPageBreak/>
        <w:t>1</w:t>
      </w:r>
      <w:r w:rsidRPr="007C5900">
        <w:rPr>
          <w:b w:val="0"/>
          <w:kern w:val="32"/>
          <w:sz w:val="32"/>
          <w:szCs w:val="32"/>
          <w:lang w:eastAsia="ru-RU"/>
        </w:rPr>
        <w:tab/>
      </w:r>
      <w:r>
        <w:rPr>
          <w:b w:val="0"/>
          <w:kern w:val="32"/>
          <w:sz w:val="32"/>
          <w:szCs w:val="32"/>
          <w:lang w:eastAsia="ru-RU"/>
        </w:rPr>
        <w:t>Оценка текущ</w:t>
      </w:r>
      <w:r w:rsidR="007408B1">
        <w:rPr>
          <w:b w:val="0"/>
          <w:kern w:val="32"/>
          <w:sz w:val="32"/>
          <w:szCs w:val="32"/>
          <w:lang w:eastAsia="ru-RU"/>
        </w:rPr>
        <w:t>его</w:t>
      </w:r>
      <w:r>
        <w:rPr>
          <w:b w:val="0"/>
          <w:kern w:val="32"/>
          <w:sz w:val="32"/>
          <w:szCs w:val="32"/>
          <w:lang w:eastAsia="ru-RU"/>
        </w:rPr>
        <w:t xml:space="preserve"> ИБПО по предприятиям Топливной компании ТВЭЛ и для Топливной компании ТВЭЛ в целом</w:t>
      </w:r>
      <w:bookmarkEnd w:id="5"/>
    </w:p>
    <w:p w:rsidR="00751E1B" w:rsidRPr="007C5900" w:rsidRDefault="00751E1B" w:rsidP="00751E1B">
      <w:pPr>
        <w:pStyle w:val="a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E26D38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На </w:t>
      </w:r>
      <w:r w:rsidR="003D4072">
        <w:rPr>
          <w:rFonts w:ascii="Arial" w:eastAsia="Times New Roman" w:hAnsi="Arial" w:cs="Arial"/>
          <w:kern w:val="18"/>
          <w:sz w:val="24"/>
          <w:szCs w:val="24"/>
          <w:lang w:eastAsia="ru-RU"/>
        </w:rPr>
        <w:t>третьем</w:t>
      </w: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этапе выполнения работ по определению индекса безопасности потенц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иального облучения и оптимизации</w:t>
      </w: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радиационной защиты персонала предприятий Топливной компании ТВЭЛ (далее персонал) ставится задача </w:t>
      </w:r>
      <w:r w:rsidR="007408B1">
        <w:rPr>
          <w:rFonts w:ascii="Arial" w:eastAsia="Times New Roman" w:hAnsi="Arial" w:cs="Arial"/>
          <w:kern w:val="18"/>
          <w:sz w:val="24"/>
          <w:szCs w:val="24"/>
          <w:lang w:eastAsia="ru-RU"/>
        </w:rPr>
        <w:t>по оценке текущего</w:t>
      </w:r>
      <w:r w:rsidR="003D4072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ИБПО по предприятиям Топливной компании ТВЭЛ и для Топливной компании ТВЭЛ в целом</w:t>
      </w:r>
      <w:r w:rsidR="00682E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.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На основе полученных оценок необходимо провести определение критических групп персонала по ИБПО </w:t>
      </w:r>
      <w:r w:rsidR="003D4072">
        <w:rPr>
          <w:rFonts w:ascii="Arial" w:eastAsia="Times New Roman" w:hAnsi="Arial" w:cs="Arial"/>
          <w:sz w:val="24"/>
          <w:szCs w:val="24"/>
          <w:lang w:eastAsia="ru-RU"/>
        </w:rPr>
        <w:t>по предприятиям Топливной компании ТВЭЛ и для Топливной компании ТВЭЛ в целом.</w:t>
      </w:r>
    </w:p>
    <w:p w:rsidR="00682EC7" w:rsidRDefault="00682EC7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 втором этапе выполнения работ по настоящему договору было определено, что одновременное соблюдение ограничения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ОРПО&lt;2∙10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/год и предела индивидуального пожизненного риска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r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персонала от накопленной дозы может контролироваться с помощью Индекса безопасности потенциального облучения (ИБПО):</w:t>
      </w:r>
    </w:p>
    <w:p w:rsidR="00682EC7" w:rsidRDefault="00682EC7" w:rsidP="00682EC7">
      <w:pPr>
        <w:spacing w:after="0" w:line="360" w:lineRule="auto"/>
        <w:ind w:left="708" w:firstLine="1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position w:val="-60"/>
          <w:sz w:val="24"/>
          <w:szCs w:val="24"/>
          <w:lang w:eastAsia="ru-RU"/>
        </w:rPr>
        <w:object w:dxaOrig="33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50.25pt" o:ole="">
            <v:imagedata r:id="rId7" o:title=""/>
          </v:shape>
          <o:OLEObject Type="Embed" ProgID="Equation.3" ShapeID="_x0000_i1025" DrawAspect="Content" ObjectID="_1502476353" r:id="rId8"/>
        </w:object>
      </w:r>
      <w:r>
        <w:rPr>
          <w:rFonts w:ascii="Arial" w:eastAsia="Times New Roman" w:hAnsi="Arial" w:cs="Arial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  <w:t>(1.1)</w:t>
      </w:r>
    </w:p>
    <w:p w:rsidR="003D4072" w:rsidRPr="007C5900" w:rsidRDefault="003D4072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DC13BB" w:rsidRDefault="00DC13BB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 xml:space="preserve">где </w:t>
      </w:r>
      <w:r w:rsidRPr="007C5900">
        <w:rPr>
          <w:rFonts w:ascii="Arial" w:eastAsia="Times New Roman" w:hAnsi="Arial" w:cs="Arial"/>
          <w:position w:val="-24"/>
          <w:sz w:val="24"/>
          <w:szCs w:val="24"/>
          <w:lang w:eastAsia="ru-RU"/>
        </w:rPr>
        <w:object w:dxaOrig="2780" w:dyaOrig="620">
          <v:shape id="_x0000_i1026" type="#_x0000_t75" style="width:138pt;height:31.5pt" o:ole="">
            <v:imagedata r:id="rId9" o:title=""/>
          </v:shape>
          <o:OLEObject Type="Embed" ProgID="Equation.3" ShapeID="_x0000_i1026" DrawAspect="Content" ObjectID="_1502476354" r:id="rId10"/>
        </w:objec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C5900">
        <w:rPr>
          <w:rFonts w:ascii="Arial" w:eastAsia="Times New Roman" w:hAnsi="Arial" w:cs="Arial"/>
          <w:position w:val="-28"/>
          <w:sz w:val="24"/>
          <w:szCs w:val="24"/>
          <w:lang w:eastAsia="ru-RU"/>
        </w:rPr>
        <w:object w:dxaOrig="1359" w:dyaOrig="680">
          <v:shape id="_x0000_i1027" type="#_x0000_t75" style="width:67.5pt;height:34.5pt" o:ole="">
            <v:imagedata r:id="rId11" o:title=""/>
          </v:shape>
          <o:OLEObject Type="Embed" ProgID="Equation.3" ShapeID="_x0000_i1027" DrawAspect="Content" ObjectID="_1502476355" r:id="rId12"/>
        </w:objec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</w:t>
      </w:r>
    </w:p>
    <w:p w:rsidR="00DC13BB" w:rsidRPr="007C5900" w:rsidRDefault="00DC13BB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r</w:t>
      </w:r>
      <w:r w:rsidRPr="007C5900">
        <w:rPr>
          <w:rFonts w:ascii="Arial" w:eastAsia="Times New Roman" w:hAnsi="Arial" w:cs="Arial"/>
          <w:b/>
          <w:i/>
          <w:sz w:val="24"/>
          <w:szCs w:val="24"/>
          <w:vertAlign w:val="subscript"/>
          <w:lang w:eastAsia="ru-RU"/>
        </w:rPr>
        <w:t>i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индивидуальный пожизненный риск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-го лица из персонала от накопленной дозы,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n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число лиц в группе, 4,1∙10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-2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Зв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номинальный коэффициент риска злокачественных новообразований на единицу дозы,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d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=1 Зв – предельная доза облучения за период трудовой деятельности (50 лет) согласно п. 2.3 НРБ-99/2009.</w:t>
      </w:r>
    </w:p>
    <w:p w:rsidR="00E5064D" w:rsidRDefault="00E5064D" w:rsidP="00E5064D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Для расчета индивидуального пожизненного риска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-го лица из персонала от накопленной дозы используется методика разработанная на первом этапе выполнения работ по настоящему договору.</w:t>
      </w:r>
    </w:p>
    <w:p w:rsidR="001567BC" w:rsidRDefault="00FC2331" w:rsidP="001567BC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На предыдущем этапе выполнения работ по настоящему договору ОРПО вычислялся двумя способами: с использованием пожизненного риска смерти 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LAR</w:t>
      </w:r>
      <w:r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E10D1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и радиационного ущерба здоровью</w:t>
      </w:r>
      <w:r w:rsidRPr="00FC233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E10D18">
        <w:rPr>
          <w:rFonts w:ascii="Arial" w:eastAsia="Times New Roman" w:hAnsi="Arial" w:cs="Arial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Det</w:t>
      </w:r>
      <w:r w:rsidRPr="00E10D18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E10D18">
        <w:rPr>
          <w:rFonts w:ascii="Arial" w:eastAsia="Times New Roman" w:hAnsi="Arial" w:cs="Arial"/>
          <w:sz w:val="24"/>
          <w:szCs w:val="24"/>
          <w:lang w:eastAsia="ru-RU"/>
        </w:rPr>
        <w:t xml:space="preserve"> (1.2.8, 1.2.9 и 1.2.16, 1.2.17; Второй отчет)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C9244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E10D18">
        <w:rPr>
          <w:rFonts w:ascii="Arial" w:eastAsia="Times New Roman" w:hAnsi="Arial" w:cs="Arial"/>
          <w:sz w:val="24"/>
          <w:szCs w:val="24"/>
          <w:lang w:eastAsia="ru-RU"/>
        </w:rPr>
        <w:t>Также производилась консервативная (максимальная) оценка ОРПО с учетом верхней границы 95% доверительного интервала для обоих способов (1.2.10, 1.2.11 и 1.2.18, 1.2.19; Второй отчет).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1567BC">
        <w:rPr>
          <w:rFonts w:ascii="Arial" w:eastAsia="Times New Roman" w:hAnsi="Arial" w:cs="Arial"/>
          <w:sz w:val="24"/>
          <w:szCs w:val="24"/>
          <w:lang w:eastAsia="ru-RU"/>
        </w:rPr>
        <w:t>Аналогичным образом были произведены и расчеты индекса безопасности потенциального облучения.</w:t>
      </w:r>
    </w:p>
    <w:p w:rsidR="00DC13BB" w:rsidRDefault="00C9244D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lastRenderedPageBreak/>
        <w:tab/>
        <w:t>При наблюдении за изменением величин ИБПО было замечено, что нет существенных отличий при расчете ИБПО через ОРПО, вычисленный через пожизненный риск 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LAR</w:t>
      </w:r>
      <w:r>
        <w:rPr>
          <w:rFonts w:ascii="Arial" w:eastAsia="Times New Roman" w:hAnsi="Arial" w:cs="Arial"/>
          <w:sz w:val="24"/>
          <w:szCs w:val="24"/>
          <w:lang w:eastAsia="ru-RU"/>
        </w:rPr>
        <w:t>), и через ОРП</w:t>
      </w:r>
      <w:r w:rsidR="00C14EC1">
        <w:rPr>
          <w:rFonts w:ascii="Arial" w:eastAsia="Times New Roman" w:hAnsi="Arial" w:cs="Arial"/>
          <w:sz w:val="24"/>
          <w:szCs w:val="24"/>
          <w:lang w:eastAsia="ru-RU"/>
        </w:rPr>
        <w:t>О, вычисленный через радиационны</w:t>
      </w:r>
      <w:r>
        <w:rPr>
          <w:rFonts w:ascii="Arial" w:eastAsia="Times New Roman" w:hAnsi="Arial" w:cs="Arial"/>
          <w:sz w:val="24"/>
          <w:szCs w:val="24"/>
          <w:lang w:eastAsia="ru-RU"/>
        </w:rPr>
        <w:t>й ущерб здоровью 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Det</w:t>
      </w:r>
      <w:r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C9244D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По этой причине на третьем этапе работ индекс безопасности потенциального облучения </w:t>
      </w:r>
      <w:r w:rsidR="00CA25AD">
        <w:rPr>
          <w:rFonts w:ascii="Arial" w:eastAsia="Times New Roman" w:hAnsi="Arial" w:cs="Arial"/>
          <w:sz w:val="24"/>
          <w:szCs w:val="24"/>
          <w:lang w:eastAsia="ru-RU"/>
        </w:rPr>
        <w:t>определялся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только с использованием ОРПО, который был вычислен </w:t>
      </w:r>
      <w:r w:rsidR="00AF66FF">
        <w:rPr>
          <w:rFonts w:ascii="Arial" w:eastAsia="Times New Roman" w:hAnsi="Arial" w:cs="Arial"/>
          <w:sz w:val="24"/>
          <w:szCs w:val="24"/>
          <w:lang w:eastAsia="ru-RU"/>
        </w:rPr>
        <w:t>с использованием пожизненного атрибутивного риска</w:t>
      </w:r>
      <w:r w:rsidR="0099462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14EC1" w:rsidRDefault="00C14EC1" w:rsidP="00C14EC1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Для упрощения расчетов,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степени, рассчитанным от возраста при облучении (1.2.7; Второй отчет). </w:t>
      </w:r>
    </w:p>
    <w:p w:rsidR="00CA25AD" w:rsidRDefault="00994625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CA25AD">
        <w:rPr>
          <w:rFonts w:ascii="Arial" w:eastAsia="Times New Roman" w:hAnsi="Arial" w:cs="Arial"/>
          <w:sz w:val="24"/>
          <w:szCs w:val="24"/>
          <w:lang w:eastAsia="ru-RU"/>
        </w:rPr>
        <w:t>Так как персонал предприятий ТВЭЛ подвержен внешнему и внутреннему облучению, а пожизненный риск зависит от возраста при облучении, типа облучения и пола, ОРПО был рассчитан отдельно для мужчин и женщин и внутреннего и внешнего облучений</w:t>
      </w:r>
      <w:r w:rsidR="00C14EC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14EC1" w:rsidRDefault="00C14EC1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D814E4">
        <w:rPr>
          <w:rFonts w:ascii="Arial" w:eastAsia="Times New Roman" w:hAnsi="Arial" w:cs="Arial"/>
          <w:sz w:val="24"/>
          <w:szCs w:val="24"/>
          <w:lang w:eastAsia="ru-RU"/>
        </w:rPr>
        <w:t>Из вышеописанного следует, что</w:t>
      </w:r>
      <w:r w:rsidR="00BD709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обобщённый риск потенциального облучения (ОРПО) от потенциальных источников в течение предстоящего года определяется умножением коэффициента пожизненного риска смертности </w:t>
      </w:r>
      <w:r w:rsidRPr="00BD7097">
        <w:rPr>
          <w:rFonts w:ascii="Arial" w:eastAsia="Times New Roman" w:hAnsi="Arial" w:cs="Arial"/>
          <w:b/>
          <w:i/>
          <w:sz w:val="24"/>
          <w:szCs w:val="24"/>
          <w:lang w:eastAsia="ru-RU"/>
        </w:rPr>
        <w:t>LAR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для среднего возраста при облучении в группе на среднее значение годовых доз </w:t>
      </w:r>
      <w:r w:rsidRPr="00BD7097">
        <w:rPr>
          <w:rFonts w:ascii="Arial" w:eastAsia="Times New Roman" w:hAnsi="Arial" w:cs="Arial"/>
          <w:b/>
          <w:i/>
          <w:sz w:val="24"/>
          <w:szCs w:val="24"/>
          <w:lang w:eastAsia="ru-RU"/>
        </w:rPr>
        <w:t>d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внешнего или внутреннего облучения в рассматриваемой группе за референсный период времени, равный 5 годам, непосредственно предшествующим году, в котором производится оценка ОРПО</w:t>
      </w:r>
      <w:r w:rsidR="00BD7097">
        <w:rPr>
          <w:rFonts w:ascii="Arial" w:eastAsia="Times New Roman" w:hAnsi="Arial" w:cs="Arial"/>
          <w:sz w:val="24"/>
          <w:szCs w:val="24"/>
          <w:lang w:eastAsia="ru-RU"/>
        </w:rPr>
        <w:t>. Данный метод является упрощенным, что приводит к погрешностям при вычислении ОРПО, а затем и ИБПО.</w:t>
      </w:r>
    </w:p>
    <w:p w:rsidR="00C759C9" w:rsidRDefault="00BD7097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 третьем этапе выполнения работ по настоящему договору 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>ОРПО рассчитывался двумя методами: с использованием пожизненного</w:t>
      </w:r>
      <w:r w:rsidR="00A852B9">
        <w:rPr>
          <w:rFonts w:ascii="Arial" w:eastAsia="Times New Roman" w:hAnsi="Arial" w:cs="Arial"/>
          <w:sz w:val="24"/>
          <w:szCs w:val="24"/>
          <w:lang w:eastAsia="ru-RU"/>
        </w:rPr>
        <w:t xml:space="preserve"> атрибутивного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 xml:space="preserve"> риска смертности для среднего возраста при облучении в половозрастной группе и среднего пожизненного</w:t>
      </w:r>
      <w:r w:rsidR="00A852B9">
        <w:rPr>
          <w:rFonts w:ascii="Arial" w:eastAsia="Times New Roman" w:hAnsi="Arial" w:cs="Arial"/>
          <w:sz w:val="24"/>
          <w:szCs w:val="24"/>
          <w:lang w:eastAsia="ru-RU"/>
        </w:rPr>
        <w:t xml:space="preserve"> атрибутивного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 xml:space="preserve"> риска смертности в половозрастной группе.</w:t>
      </w:r>
    </w:p>
    <w:p w:rsidR="00507F37" w:rsidRDefault="002A08B5" w:rsidP="00C759C9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Метод, в котором для расчета ОРПО используется средний пожизненный</w:t>
      </w:r>
      <w:r w:rsidR="00A852B9">
        <w:rPr>
          <w:rFonts w:ascii="Arial" w:eastAsia="Times New Roman" w:hAnsi="Arial" w:cs="Arial"/>
          <w:sz w:val="24"/>
          <w:szCs w:val="24"/>
          <w:lang w:eastAsia="ru-RU"/>
        </w:rPr>
        <w:t xml:space="preserve"> атрибутивный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риск смертности группы, является точным </w:t>
      </w:r>
      <w:r w:rsidR="00E26A25">
        <w:rPr>
          <w:rFonts w:ascii="Arial" w:eastAsia="Times New Roman" w:hAnsi="Arial" w:cs="Arial"/>
          <w:sz w:val="24"/>
          <w:szCs w:val="24"/>
          <w:lang w:eastAsia="ru-RU"/>
        </w:rPr>
        <w:t>и позволяет получить более точные оценки ОРПО, что приводит</w:t>
      </w:r>
      <w:r w:rsidR="00880732">
        <w:rPr>
          <w:rFonts w:ascii="Arial" w:eastAsia="Times New Roman" w:hAnsi="Arial" w:cs="Arial"/>
          <w:sz w:val="24"/>
          <w:szCs w:val="24"/>
          <w:lang w:eastAsia="ru-RU"/>
        </w:rPr>
        <w:t xml:space="preserve"> к</w:t>
      </w:r>
      <w:r w:rsidR="00E26A25">
        <w:rPr>
          <w:rFonts w:ascii="Arial" w:eastAsia="Times New Roman" w:hAnsi="Arial" w:cs="Arial"/>
          <w:sz w:val="24"/>
          <w:szCs w:val="24"/>
          <w:lang w:eastAsia="ru-RU"/>
        </w:rPr>
        <w:t xml:space="preserve"> ув</w:t>
      </w:r>
      <w:r w:rsidR="00C759C9">
        <w:rPr>
          <w:rFonts w:ascii="Arial" w:eastAsia="Times New Roman" w:hAnsi="Arial" w:cs="Arial"/>
          <w:sz w:val="24"/>
          <w:szCs w:val="24"/>
          <w:lang w:eastAsia="ru-RU"/>
        </w:rPr>
        <w:t xml:space="preserve">еличению точности </w:t>
      </w:r>
      <w:r w:rsidR="00887CE9">
        <w:rPr>
          <w:rFonts w:ascii="Arial" w:eastAsia="Times New Roman" w:hAnsi="Arial" w:cs="Arial"/>
          <w:sz w:val="24"/>
          <w:szCs w:val="24"/>
          <w:lang w:eastAsia="ru-RU"/>
        </w:rPr>
        <w:t>вычисляемого</w:t>
      </w:r>
      <w:r w:rsidR="00C759C9">
        <w:rPr>
          <w:rFonts w:ascii="Arial" w:eastAsia="Times New Roman" w:hAnsi="Arial" w:cs="Arial"/>
          <w:sz w:val="24"/>
          <w:szCs w:val="24"/>
          <w:lang w:eastAsia="ru-RU"/>
        </w:rPr>
        <w:t xml:space="preserve"> ИБПО. </w:t>
      </w:r>
      <w:r w:rsidR="00E26A25">
        <w:rPr>
          <w:rFonts w:ascii="Arial" w:eastAsia="Times New Roman" w:hAnsi="Arial" w:cs="Arial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начала по методу, разработанному на первом этапе выполнения работ по настоящему договору, определяется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индивидуальн</w:t>
      </w:r>
      <w:r>
        <w:rPr>
          <w:rFonts w:ascii="Arial" w:eastAsia="Times New Roman" w:hAnsi="Arial" w:cs="Arial"/>
          <w:sz w:val="24"/>
          <w:szCs w:val="24"/>
          <w:lang w:eastAsia="ru-RU"/>
        </w:rPr>
        <w:t>ый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пожизненн</w:t>
      </w:r>
      <w:r>
        <w:rPr>
          <w:rFonts w:ascii="Arial" w:eastAsia="Times New Roman" w:hAnsi="Arial" w:cs="Arial"/>
          <w:sz w:val="24"/>
          <w:szCs w:val="24"/>
          <w:lang w:eastAsia="ru-RU"/>
        </w:rPr>
        <w:t>ый риск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-го лица из </w:t>
      </w:r>
      <w:r>
        <w:rPr>
          <w:rFonts w:ascii="Arial" w:eastAsia="Times New Roman" w:hAnsi="Arial" w:cs="Arial"/>
          <w:sz w:val="24"/>
          <w:szCs w:val="24"/>
          <w:lang w:eastAsia="ru-RU"/>
        </w:rPr>
        <w:t>половозрастной группы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от нако</w:t>
      </w:r>
      <w:r>
        <w:rPr>
          <w:rFonts w:ascii="Arial" w:eastAsia="Times New Roman" w:hAnsi="Arial" w:cs="Arial"/>
          <w:sz w:val="24"/>
          <w:szCs w:val="24"/>
          <w:lang w:eastAsia="ru-RU"/>
        </w:rPr>
        <w:t>пленной дозы, а затем находитс</w:t>
      </w:r>
      <w:r w:rsidR="00507F37">
        <w:rPr>
          <w:rFonts w:ascii="Arial" w:eastAsia="Times New Roman" w:hAnsi="Arial" w:cs="Arial"/>
          <w:sz w:val="24"/>
          <w:szCs w:val="24"/>
          <w:lang w:eastAsia="ru-RU"/>
        </w:rPr>
        <w:t>я среднее от полученных величин:</w:t>
      </w:r>
    </w:p>
    <w:p w:rsidR="00E26A25" w:rsidRDefault="00E26A25" w:rsidP="002A08B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E26A25" w:rsidRDefault="00E26A25" w:rsidP="002A08B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для мужчин</w:t>
      </w:r>
    </w:p>
    <w:p w:rsidR="00BE61A5" w:rsidRPr="00580370" w:rsidRDefault="00380EAB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м</m:t>
            </m:r>
          </m:sub>
        </m:sSub>
        <m:r>
          <m:rPr>
            <m:nor/>
          </m:rPr>
          <w:rPr>
            <w:rFonts w:ascii="Arial" w:eastAsia="Times New Roman" w:hAnsi="Arial" w:cs="Arial"/>
            <w:b/>
            <w:i/>
            <w:sz w:val="28"/>
            <w:szCs w:val="28"/>
            <w:lang w:eastAsia="ru-RU"/>
          </w:rPr>
          <m:t>=</m:t>
        </m:r>
        <m:r>
          <m:rPr>
            <m:sty m:val="bi"/>
          </m:rPr>
          <w:rPr>
            <w:rFonts w:ascii="Cambria Math" w:eastAsia="Times New Roman" w:hAnsi="Arial" w:cs="Arial"/>
            <w:sz w:val="28"/>
            <w:szCs w:val="28"/>
            <w:lang w:eastAsia="ru-RU"/>
          </w:rPr>
          <m:t xml:space="preserve"> </m:t>
        </m:r>
        <m:f>
          <m:fPr>
            <m:type m:val="lin"/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Arial" w:cs="Arial"/>
                    <w:b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8"/>
                    <w:szCs w:val="28"/>
                    <w:lang w:val="en-US" w:eastAsia="ru-RU"/>
                  </w:rPr>
                  <m:t>i</m:t>
                </m:r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8"/>
                    <w:szCs w:val="28"/>
                    <w:lang w:eastAsia="ru-RU"/>
                  </w:rPr>
                  <m:t>=0</m:t>
                </m:r>
              </m:sub>
              <m:sup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8"/>
                    <w:szCs w:val="28"/>
                    <w:lang w:val="en-US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LAR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eastAsia="ru-RU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eastAsia="ru-RU"/>
                      </w:rPr>
                      <m:t>м</m:t>
                    </m:r>
                  </m:sub>
                </m:sSub>
              </m:e>
            </m:nary>
          </m:num>
          <m:den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m:t>n</m:t>
            </m:r>
          </m:den>
        </m:f>
      </m:oMath>
      <w:r w:rsidR="00E26A25" w:rsidRPr="00580370">
        <w:rPr>
          <w:rFonts w:ascii="Arial" w:eastAsia="Times New Roman" w:hAnsi="Arial" w:cs="Arial"/>
          <w:b/>
          <w:sz w:val="28"/>
          <w:szCs w:val="28"/>
          <w:lang w:eastAsia="ru-RU"/>
        </w:rPr>
        <w:t>,</w:t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sz w:val="24"/>
          <w:szCs w:val="24"/>
          <w:lang w:eastAsia="ru-RU"/>
        </w:rPr>
        <w:t>(1.2)</w:t>
      </w:r>
    </w:p>
    <w:p w:rsidR="00E26A25" w:rsidRDefault="00E26A25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для женщин</w:t>
      </w:r>
    </w:p>
    <w:p w:rsidR="00E26A25" w:rsidRPr="00C759C9" w:rsidRDefault="00380EAB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b/>
          <w:sz w:val="28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ж</m:t>
            </m:r>
          </m:sub>
        </m:sSub>
        <m:r>
          <m:rPr>
            <m:nor/>
          </m:rPr>
          <w:rPr>
            <w:rFonts w:ascii="Arial" w:eastAsia="Times New Roman" w:hAnsi="Arial" w:cs="Arial"/>
            <w:b/>
            <w:i/>
            <w:sz w:val="28"/>
            <w:szCs w:val="28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Arial" w:cs="Arial"/>
            <w:sz w:val="28"/>
            <w:szCs w:val="28"/>
            <w:lang w:val="en-US" w:eastAsia="ru-RU"/>
          </w:rPr>
          <m:t xml:space="preserve"> </m:t>
        </m:r>
        <m:f>
          <m:fPr>
            <m:type m:val="lin"/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Arial" w:cs="Arial"/>
                    <w:b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8"/>
                    <w:szCs w:val="28"/>
                    <w:lang w:val="en-US" w:eastAsia="ru-RU"/>
                  </w:rPr>
                  <m:t>i</m:t>
                </m:r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8"/>
                    <w:szCs w:val="28"/>
                    <w:lang w:val="en-US" w:eastAsia="ru-RU"/>
                  </w:rPr>
                  <m:t>=0</m:t>
                </m:r>
              </m:sub>
              <m:sup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8"/>
                    <w:szCs w:val="28"/>
                    <w:lang w:val="en-US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LAR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eastAsia="ru-RU"/>
                      </w:rPr>
                      <m:t>ж</m:t>
                    </m:r>
                  </m:sub>
                </m:sSub>
              </m:e>
            </m:nary>
          </m:num>
          <m:den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m:t>n</m:t>
            </m:r>
          </m:den>
        </m:f>
      </m:oMath>
      <w:r w:rsidR="00E26A25" w:rsidRPr="00C759C9">
        <w:rPr>
          <w:rFonts w:ascii="Arial" w:eastAsia="Times New Roman" w:hAnsi="Arial" w:cs="Arial"/>
          <w:b/>
          <w:sz w:val="28"/>
          <w:szCs w:val="28"/>
          <w:lang w:val="en-US" w:eastAsia="ru-RU"/>
        </w:rPr>
        <w:t>,</w:t>
      </w:r>
      <w:r w:rsidR="007316AB" w:rsidRPr="00C759C9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 </w:t>
      </w:r>
      <w:r w:rsidR="007316AB" w:rsidRPr="00C759C9">
        <w:rPr>
          <w:rFonts w:ascii="Arial" w:eastAsia="Times New Roman" w:hAnsi="Arial" w:cs="Arial"/>
          <w:b/>
          <w:sz w:val="28"/>
          <w:szCs w:val="28"/>
          <w:lang w:val="en-US" w:eastAsia="ru-RU"/>
        </w:rPr>
        <w:tab/>
      </w:r>
      <w:r w:rsidR="007316AB" w:rsidRPr="00C759C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C759C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C759C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C759C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C759C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C759C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C759C9">
        <w:rPr>
          <w:rFonts w:ascii="Arial" w:eastAsia="Times New Roman" w:hAnsi="Arial" w:cs="Arial"/>
          <w:sz w:val="24"/>
          <w:szCs w:val="24"/>
          <w:lang w:val="en-US" w:eastAsia="ru-RU"/>
        </w:rPr>
        <w:t>(1.3)</w:t>
      </w:r>
    </w:p>
    <w:p w:rsidR="00BD7097" w:rsidRDefault="00E26A25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r w:rsidR="007316AB">
        <w:rPr>
          <w:rFonts w:ascii="Arial" w:eastAsia="Times New Roman" w:hAnsi="Arial" w:cs="Arial"/>
          <w:b/>
          <w:i/>
          <w:sz w:val="24"/>
          <w:szCs w:val="24"/>
          <w:lang w:val="en-US" w:eastAsia="ru-RU"/>
        </w:rPr>
        <w:t>LAR</w:t>
      </w:r>
      <w:r w:rsidR="007316AB">
        <w:rPr>
          <w:rFonts w:ascii="Arial" w:eastAsia="Times New Roman" w:hAnsi="Arial" w:cs="Arial"/>
          <w:b/>
          <w:i/>
          <w:sz w:val="24"/>
          <w:szCs w:val="24"/>
          <w:vertAlign w:val="subscript"/>
          <w:lang w:val="en-US" w:eastAsia="ru-RU"/>
        </w:rPr>
        <w:t>i</w:t>
      </w:r>
      <w:r w:rsidR="007316AB" w:rsidRPr="007316AB">
        <w:rPr>
          <w:rFonts w:ascii="Arial" w:eastAsia="Times New Roman" w:hAnsi="Arial" w:cs="Arial"/>
          <w:b/>
          <w:i/>
          <w:sz w:val="24"/>
          <w:szCs w:val="24"/>
          <w:vertAlign w:val="subscript"/>
          <w:lang w:eastAsia="ru-RU"/>
        </w:rPr>
        <w:t>,</w:t>
      </w:r>
      <w:r w:rsidR="007316AB">
        <w:rPr>
          <w:rFonts w:ascii="Arial" w:eastAsia="Times New Roman" w:hAnsi="Arial" w:cs="Arial"/>
          <w:b/>
          <w:i/>
          <w:sz w:val="24"/>
          <w:szCs w:val="24"/>
          <w:vertAlign w:val="subscript"/>
          <w:lang w:eastAsia="ru-RU"/>
        </w:rPr>
        <w:t>м(ж)</w:t>
      </w:r>
      <w:r w:rsid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>индивидуальн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>ый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пожизненн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>ый риск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7316AB"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-го лица из 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 xml:space="preserve">половозрастной группы, </w:t>
      </w:r>
      <w:r w:rsidR="007316AB">
        <w:rPr>
          <w:rFonts w:ascii="Arial" w:eastAsia="Times New Roman" w:hAnsi="Arial" w:cs="Arial"/>
          <w:b/>
          <w:i/>
          <w:sz w:val="24"/>
          <w:szCs w:val="24"/>
          <w:lang w:val="en-US" w:eastAsia="ru-RU"/>
        </w:rPr>
        <w:t>n</w:t>
      </w:r>
      <w:r w:rsidR="007316AB" w:rsidRP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</w:t>
      </w:r>
      <w:r w:rsid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>–</w:t>
      </w:r>
      <w:r w:rsidR="007316AB" w:rsidRP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>численность половозрастной группы.</w:t>
      </w:r>
    </w:p>
    <w:p w:rsidR="00530638" w:rsidRDefault="00530638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>Для консервативной (максимальной) оценки</w:t>
      </w:r>
      <w:r w:rsidR="0089254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>при использовании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 xml:space="preserve">верхней границы </w:t>
      </w:r>
      <w:r w:rsidR="00892549">
        <w:rPr>
          <w:rFonts w:ascii="Arial" w:eastAsia="Times New Roman" w:hAnsi="Arial" w:cs="Arial"/>
          <w:sz w:val="24"/>
          <w:szCs w:val="24"/>
          <w:lang w:eastAsia="ru-RU"/>
        </w:rPr>
        <w:t>95% ДИ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 xml:space="preserve"> для среднего значения индивидуальных пожизненных рисков </w:t>
      </w:r>
      <w:r w:rsidR="00B02808">
        <w:rPr>
          <w:rFonts w:ascii="Arial" w:eastAsia="Times New Roman" w:hAnsi="Arial" w:cs="Arial"/>
          <w:sz w:val="24"/>
          <w:szCs w:val="24"/>
          <w:lang w:eastAsia="ru-RU"/>
        </w:rPr>
        <w:t xml:space="preserve">смертности 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>персонала, ОРПО определяется следующим образом</w:t>
      </w:r>
      <w:r w:rsidR="00892549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>для мужчин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95, м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 w:eastAsia="ru-RU"/>
              </w:rPr>
              <m:t>LAR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95,</m:t>
            </m:r>
            <m:r>
              <m:rPr>
                <m:nor/>
              </m:rPr>
              <w:rPr>
                <w:rFonts w:ascii="Cambria Math" w:eastAsia="Times New Roman" w:hAnsi="Arial" w:cs="Arial"/>
                <w:b/>
                <w:i/>
                <w:sz w:val="24"/>
                <w:szCs w:val="24"/>
                <w:lang w:eastAsia="ru-RU"/>
              </w:rPr>
              <m:t xml:space="preserve"> </m:t>
            </m:r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4"/>
            <w:szCs w:val="24"/>
            <w:lang w:eastAsia="ru-RU"/>
          </w:rPr>
          <m:t xml:space="preserve"> </m:t>
        </m:r>
      </m:oMath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, </w:t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="00C759C9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sz w:val="24"/>
          <w:szCs w:val="24"/>
          <w:lang w:eastAsia="ru-RU"/>
        </w:rPr>
        <w:t>(1.4)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>для женщин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95, ж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 w:eastAsia="ru-RU"/>
              </w:rPr>
              <m:t>LAR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 xml:space="preserve">95, </m:t>
            </m:r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ж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4"/>
            <w:szCs w:val="24"/>
            <w:lang w:eastAsia="ru-RU"/>
          </w:rPr>
          <m:t xml:space="preserve"> </m:t>
        </m:r>
      </m:oMath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, </w:t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="00C759C9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sz w:val="24"/>
          <w:szCs w:val="24"/>
          <w:lang w:eastAsia="ru-RU"/>
        </w:rPr>
        <w:t>(1.</w:t>
      </w:r>
      <w:r w:rsidR="00013CCC">
        <w:rPr>
          <w:rFonts w:ascii="Arial" w:eastAsia="Times New Roman" w:hAnsi="Arial" w:cs="Arial"/>
          <w:sz w:val="24"/>
          <w:szCs w:val="24"/>
          <w:lang w:eastAsia="ru-RU"/>
        </w:rPr>
        <w:t>5</w:t>
      </w:r>
      <w:r w:rsidRPr="000B4C97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887CE9" w:rsidRDefault="00B02808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>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рисков, вычисляемых по методу, разработанному на первом этапе работ по настоящему договору (формула 1.2.13; Первый отчет). Для решения этой сложности было принято решение разработать модуль</w:t>
      </w:r>
      <w:r w:rsidR="00C8509C">
        <w:rPr>
          <w:rFonts w:ascii="Arial" w:eastAsia="Times New Roman" w:hAnsi="Arial" w:cs="Arial"/>
          <w:sz w:val="24"/>
          <w:szCs w:val="24"/>
          <w:lang w:eastAsia="ru-RU"/>
        </w:rPr>
        <w:t>, упрощающий вычисления, использующие этот метод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B02808" w:rsidRDefault="00B02808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B02808" w:rsidRDefault="00B02808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C8509C" w:rsidRDefault="00C8509C" w:rsidP="00C8509C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sz w:val="32"/>
          <w:szCs w:val="32"/>
          <w:lang w:eastAsia="ru-RU"/>
        </w:rPr>
      </w:pPr>
      <w:r w:rsidRPr="00B02808">
        <w:rPr>
          <w:rFonts w:ascii="Arial" w:eastAsia="Times New Roman" w:hAnsi="Arial" w:cs="Arial"/>
          <w:sz w:val="32"/>
          <w:szCs w:val="32"/>
          <w:lang w:eastAsia="ru-RU"/>
        </w:rPr>
        <w:lastRenderedPageBreak/>
        <w:t>1.1</w:t>
      </w:r>
      <w:r w:rsidRPr="00B02808">
        <w:rPr>
          <w:rFonts w:ascii="Arial" w:eastAsia="Times New Roman" w:hAnsi="Arial" w:cs="Arial"/>
          <w:sz w:val="32"/>
          <w:szCs w:val="32"/>
          <w:lang w:eastAsia="ru-RU"/>
        </w:rPr>
        <w:tab/>
      </w:r>
      <w:r>
        <w:rPr>
          <w:rFonts w:ascii="Arial" w:eastAsia="Times New Roman" w:hAnsi="Arial" w:cs="Arial"/>
          <w:sz w:val="32"/>
          <w:szCs w:val="32"/>
          <w:lang w:eastAsia="ru-RU"/>
        </w:rPr>
        <w:t>Разработка вспомогательного программного модуля для расчета ОРПО и ИБПО</w:t>
      </w:r>
    </w:p>
    <w:p w:rsidR="00C8509C" w:rsidRPr="00C8509C" w:rsidRDefault="00C8509C" w:rsidP="00C8509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0D0643" w:rsidRDefault="00C8509C" w:rsidP="00C8509C">
      <w:pPr>
        <w:spacing w:after="0" w:line="360" w:lineRule="auto"/>
        <w:ind w:firstLine="708"/>
        <w:contextualSpacing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С целью упрощения расчетов и автоматизации вычислительного процесса было принято решение разработать вспомогательный программный модуль, который позволял бы вычислять обобщенный риск потенциального облучения двумя методами, как описывалось выше </w:t>
      </w:r>
      <w:r w:rsidRPr="00C8509C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>(нужны ли какие-то ссылки внутри документа, ссылки на источники и тд?)</w:t>
      </w:r>
      <w:r w:rsidR="009904A8">
        <w:rPr>
          <w:rFonts w:ascii="Arial" w:eastAsia="Times New Roman" w:hAnsi="Arial" w:cs="Arial"/>
          <w:kern w:val="18"/>
          <w:sz w:val="24"/>
          <w:szCs w:val="24"/>
          <w:lang w:eastAsia="ru-RU"/>
        </w:rPr>
        <w:t>, и, основываясь на полученных результатах, вычислять индекс безопасности потенциального облучения.</w:t>
      </w:r>
    </w:p>
    <w:p w:rsidR="000040B8" w:rsidRPr="000040B8" w:rsidRDefault="000040B8" w:rsidP="00C8509C">
      <w:pPr>
        <w:spacing w:after="0" w:line="360" w:lineRule="auto"/>
        <w:ind w:firstLine="708"/>
        <w:contextualSpacing/>
        <w:rPr>
          <w:rFonts w:ascii="Arial" w:eastAsia="Times New Roman" w:hAnsi="Arial" w:cs="Arial"/>
          <w:color w:val="FF0000"/>
          <w:sz w:val="32"/>
          <w:szCs w:val="32"/>
          <w:lang w:eastAsia="ru-RU"/>
        </w:rPr>
      </w:pPr>
      <w:r w:rsidRPr="000040B8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>(Пока не понимаю, что написать про этот модуль</w:t>
      </w:r>
      <w:r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>…</w:t>
      </w:r>
      <w:r w:rsidR="004C34D6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 xml:space="preserve"> </w:t>
      </w:r>
      <w:hyperlink r:id="rId13" w:history="1">
        <w:r w:rsidR="004C34D6" w:rsidRPr="00B06E1E">
          <w:rPr>
            <w:rStyle w:val="ae"/>
            <w:rFonts w:ascii="Arial" w:eastAsia="Times New Roman" w:hAnsi="Arial" w:cs="Arial"/>
            <w:kern w:val="18"/>
            <w:sz w:val="24"/>
            <w:szCs w:val="24"/>
            <w:lang w:eastAsia="ru-RU"/>
          </w:rPr>
          <w:t>http://dfe.petrsu.ru/koi/teaching/soft_rules.html</w:t>
        </w:r>
      </w:hyperlink>
      <w:r w:rsidR="004C34D6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 xml:space="preserve"> - почитай здесь на досуге, опираясь на данные рекомендации, напиши полное и конкретное описание модуля</w:t>
      </w:r>
      <w:bookmarkStart w:id="6" w:name="_GoBack"/>
      <w:bookmarkEnd w:id="6"/>
      <w:r w:rsidRPr="000040B8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>)</w:t>
      </w:r>
    </w:p>
    <w:p w:rsidR="00C90DB9" w:rsidRPr="00B02808" w:rsidRDefault="00C90DB9" w:rsidP="00B02808">
      <w:pPr>
        <w:spacing w:after="0" w:line="360" w:lineRule="auto"/>
        <w:contextualSpacing/>
        <w:rPr>
          <w:rFonts w:ascii="Arial" w:eastAsia="Times New Roman" w:hAnsi="Arial" w:cs="Arial"/>
          <w:sz w:val="32"/>
          <w:szCs w:val="32"/>
          <w:lang w:eastAsia="ru-RU"/>
        </w:rPr>
      </w:pPr>
    </w:p>
    <w:p w:rsidR="00B02808" w:rsidRDefault="00B02808" w:rsidP="00C8509C">
      <w:pPr>
        <w:pStyle w:val="1"/>
        <w:keepLines w:val="0"/>
        <w:numPr>
          <w:ilvl w:val="0"/>
          <w:numId w:val="0"/>
        </w:numPr>
        <w:tabs>
          <w:tab w:val="left" w:pos="1418"/>
        </w:tabs>
        <w:spacing w:before="240" w:after="60" w:line="360" w:lineRule="auto"/>
        <w:ind w:firstLine="709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:rsidR="00B02808" w:rsidRDefault="00B02808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B02808" w:rsidRPr="00887CE9" w:rsidRDefault="00B02808" w:rsidP="00B02808">
      <w:pPr>
        <w:spacing w:after="0" w:line="360" w:lineRule="auto"/>
        <w:contextualSpacing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24572D" w:rsidRPr="00887CE9" w:rsidRDefault="00010022" w:rsidP="00E0338F">
      <w:pPr>
        <w:spacing w:after="0" w:line="360" w:lineRule="auto"/>
        <w:contextualSpacing/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87CE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С помощью вышеописанного метода ОРПО вычислялся для всех возрастных групп – отдельно для мужчин и женщин и для внутреннего и внешнего облучений.</w:t>
      </w:r>
      <w:r w:rsidR="0024572D" w:rsidRPr="00887CE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Результаты расчетов ОРПО </w:t>
      </w:r>
      <w:r w:rsidR="002920FB" w:rsidRPr="00887CE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для предприятий</w:t>
      </w:r>
      <w:r w:rsidR="0024572D" w:rsidRPr="00887CE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Топливной компании ТВЭЛ</w:t>
      </w:r>
      <w:r w:rsidR="002920FB" w:rsidRPr="00887CE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и Топливной компании ТВЭЛ в целом</w:t>
      </w:r>
      <w:r w:rsidR="0024572D" w:rsidRPr="00887CE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приведены в Приложении А (</w:t>
      </w:r>
      <w:r w:rsidR="006271CD" w:rsidRPr="00887CE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т</w:t>
      </w:r>
      <w:r w:rsidR="00BE0D03" w:rsidRPr="00887CE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аблицы А1-А</w:t>
      </w:r>
      <w:r w:rsidR="002920FB" w:rsidRPr="00887CE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7</w:t>
      </w:r>
      <w:r w:rsidR="0024572D" w:rsidRPr="00887CE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).</w:t>
      </w:r>
    </w:p>
    <w:p w:rsidR="00010022" w:rsidRPr="00C759C9" w:rsidRDefault="00010022" w:rsidP="0024572D">
      <w:pPr>
        <w:spacing w:after="0" w:line="360" w:lineRule="auto"/>
        <w:ind w:firstLine="708"/>
        <w:contextualSpacing/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</w:pPr>
      <w:r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предприятии, где в качестве весов использовалась численность возрастной группы:</w:t>
      </w:r>
    </w:p>
    <w:p w:rsidR="00010022" w:rsidRPr="00C759C9" w:rsidRDefault="00010022" w:rsidP="00010022">
      <w:pPr>
        <w:tabs>
          <w:tab w:val="left" w:pos="8505"/>
        </w:tabs>
        <w:spacing w:after="0" w:line="360" w:lineRule="auto"/>
        <w:ind w:firstLine="709"/>
        <w:jc w:val="both"/>
        <w:rPr>
          <w:rFonts w:ascii="Arial" w:hAnsi="Arial" w:cs="Arial"/>
          <w:color w:val="4472C4" w:themeColor="accent5"/>
          <w:sz w:val="24"/>
          <w:szCs w:val="24"/>
        </w:rPr>
      </w:pPr>
      <w:r w:rsidRPr="00C759C9">
        <w:rPr>
          <w:rFonts w:ascii="Arial" w:hAnsi="Arial" w:cs="Arial"/>
          <w:color w:val="4472C4" w:themeColor="accent5"/>
          <w:position w:val="-28"/>
          <w:sz w:val="24"/>
          <w:szCs w:val="24"/>
        </w:rPr>
        <w:object w:dxaOrig="2880" w:dyaOrig="660">
          <v:shape id="_x0000_i1028" type="#_x0000_t75" style="width:2in;height:33pt" o:ole="">
            <v:imagedata r:id="rId14" o:title=""/>
          </v:shape>
          <o:OLEObject Type="Embed" ProgID="Equation.3" ShapeID="_x0000_i1028" DrawAspect="Content" ObjectID="_1502476356" r:id="rId15"/>
        </w:object>
      </w:r>
      <w:r w:rsidR="00C759C9" w:rsidRPr="00C759C9">
        <w:rPr>
          <w:rFonts w:ascii="Arial" w:hAnsi="Arial" w:cs="Arial"/>
          <w:color w:val="4472C4" w:themeColor="accent5"/>
          <w:sz w:val="24"/>
          <w:szCs w:val="24"/>
        </w:rPr>
        <w:t>,</w:t>
      </w:r>
      <w:r w:rsidR="00C759C9" w:rsidRPr="00C759C9">
        <w:rPr>
          <w:rFonts w:ascii="Arial" w:hAnsi="Arial" w:cs="Arial"/>
          <w:color w:val="4472C4" w:themeColor="accent5"/>
          <w:sz w:val="24"/>
          <w:szCs w:val="24"/>
        </w:rPr>
        <w:tab/>
      </w:r>
      <w:r w:rsidRPr="00C759C9">
        <w:rPr>
          <w:rFonts w:ascii="Arial" w:hAnsi="Arial" w:cs="Arial"/>
          <w:color w:val="4472C4" w:themeColor="accent5"/>
          <w:sz w:val="24"/>
          <w:szCs w:val="24"/>
        </w:rPr>
        <w:t>(1.6)</w:t>
      </w:r>
    </w:p>
    <w:p w:rsidR="00010022" w:rsidRPr="00C759C9" w:rsidRDefault="00010022" w:rsidP="00010022">
      <w:pPr>
        <w:spacing w:after="0" w:line="360" w:lineRule="auto"/>
        <w:jc w:val="both"/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</w:pPr>
      <w:r w:rsidRPr="00C759C9">
        <w:rPr>
          <w:rFonts w:ascii="Arial" w:hAnsi="Arial" w:cs="Arial"/>
          <w:color w:val="4472C4" w:themeColor="accent5"/>
          <w:sz w:val="24"/>
          <w:szCs w:val="24"/>
        </w:rPr>
        <w:t xml:space="preserve">где </w:t>
      </w:r>
      <w:r w:rsidRPr="00C759C9">
        <w:rPr>
          <w:rFonts w:ascii="Arial" w:hAnsi="Arial" w:cs="Arial"/>
          <w:color w:val="4472C4" w:themeColor="accent5"/>
          <w:position w:val="-10"/>
          <w:sz w:val="24"/>
          <w:szCs w:val="24"/>
        </w:rPr>
        <w:object w:dxaOrig="810" w:dyaOrig="345">
          <v:shape id="_x0000_i1029" type="#_x0000_t75" style="width:40.5pt;height:17.25pt" o:ole="">
            <v:imagedata r:id="rId16" o:title=""/>
          </v:shape>
          <o:OLEObject Type="Embed" ProgID="Equation.3" ShapeID="_x0000_i1029" DrawAspect="Content" ObjectID="_1502476357" r:id="rId17"/>
        </w:object>
      </w:r>
      <w:r w:rsidRPr="00C759C9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C759C9">
        <w:rPr>
          <w:rFonts w:ascii="Arial" w:hAnsi="Arial" w:cs="Arial"/>
          <w:color w:val="4472C4" w:themeColor="accent5"/>
        </w:rPr>
        <w:t>–</w:t>
      </w:r>
      <w:r w:rsidRPr="00C759C9">
        <w:rPr>
          <w:rFonts w:ascii="Arial" w:hAnsi="Arial" w:cs="Arial"/>
          <w:color w:val="4472C4" w:themeColor="accent5"/>
          <w:sz w:val="24"/>
          <w:szCs w:val="24"/>
        </w:rPr>
        <w:t xml:space="preserve"> значение обобщенного риска потенциального облучения в </w:t>
      </w:r>
      <w:r w:rsidRPr="00C759C9">
        <w:rPr>
          <w:rFonts w:ascii="Arial" w:hAnsi="Arial" w:cs="Arial"/>
          <w:b/>
          <w:i/>
          <w:color w:val="4472C4" w:themeColor="accent5"/>
          <w:sz w:val="24"/>
          <w:szCs w:val="24"/>
          <w:lang w:val="en-US"/>
        </w:rPr>
        <w:t>i</w:t>
      </w:r>
      <w:r w:rsidRPr="00C759C9">
        <w:rPr>
          <w:rFonts w:ascii="Arial" w:hAnsi="Arial" w:cs="Arial"/>
          <w:color w:val="4472C4" w:themeColor="accent5"/>
          <w:sz w:val="24"/>
          <w:szCs w:val="24"/>
        </w:rPr>
        <w:t xml:space="preserve">-й возрастной группе; </w:t>
      </w:r>
      <w:r w:rsidRPr="00C759C9">
        <w:rPr>
          <w:rFonts w:ascii="Arial" w:hAnsi="Arial" w:cs="Arial"/>
          <w:color w:val="4472C4" w:themeColor="accent5"/>
          <w:position w:val="-10"/>
          <w:sz w:val="24"/>
          <w:szCs w:val="24"/>
        </w:rPr>
        <w:object w:dxaOrig="315" w:dyaOrig="345">
          <v:shape id="_x0000_i1030" type="#_x0000_t75" style="width:15.75pt;height:17.25pt" o:ole="">
            <v:imagedata r:id="rId18" o:title=""/>
          </v:shape>
          <o:OLEObject Type="Embed" ProgID="Equation.3" ShapeID="_x0000_i1030" DrawAspect="Content" ObjectID="_1502476358" r:id="rId19"/>
        </w:object>
      </w:r>
      <w:r w:rsidRPr="00C759C9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C759C9">
        <w:rPr>
          <w:rFonts w:ascii="Arial" w:hAnsi="Arial" w:cs="Arial"/>
          <w:color w:val="4472C4" w:themeColor="accent5"/>
        </w:rPr>
        <w:t>–</w:t>
      </w:r>
      <w:r w:rsidRPr="00C759C9">
        <w:rPr>
          <w:rFonts w:ascii="Arial" w:hAnsi="Arial" w:cs="Arial"/>
          <w:color w:val="4472C4" w:themeColor="accent5"/>
          <w:sz w:val="24"/>
          <w:szCs w:val="24"/>
        </w:rPr>
        <w:t xml:space="preserve"> кол-во человек в </w:t>
      </w:r>
      <w:r w:rsidRPr="00C759C9">
        <w:rPr>
          <w:rFonts w:ascii="Arial" w:hAnsi="Arial" w:cs="Arial"/>
          <w:b/>
          <w:i/>
          <w:color w:val="4472C4" w:themeColor="accent5"/>
          <w:sz w:val="24"/>
          <w:szCs w:val="24"/>
          <w:lang w:val="en-US"/>
        </w:rPr>
        <w:t>i</w:t>
      </w:r>
      <w:r w:rsidRPr="00C759C9">
        <w:rPr>
          <w:rFonts w:ascii="Arial" w:hAnsi="Arial" w:cs="Arial"/>
          <w:color w:val="4472C4" w:themeColor="accent5"/>
          <w:sz w:val="24"/>
          <w:szCs w:val="24"/>
        </w:rPr>
        <w:t xml:space="preserve">-й группе, используемое как вес группы, </w:t>
      </w:r>
      <w:r w:rsidRPr="00C759C9">
        <w:rPr>
          <w:rFonts w:ascii="Arial" w:hAnsi="Arial" w:cs="Arial"/>
          <w:color w:val="4472C4" w:themeColor="accent5"/>
          <w:position w:val="-4"/>
          <w:sz w:val="24"/>
          <w:szCs w:val="24"/>
        </w:rPr>
        <w:object w:dxaOrig="210" w:dyaOrig="225">
          <v:shape id="_x0000_i1031" type="#_x0000_t75" style="width:10.5pt;height:11.25pt" o:ole="">
            <v:imagedata r:id="rId20" o:title=""/>
          </v:shape>
          <o:OLEObject Type="Embed" ProgID="Equation.3" ShapeID="_x0000_i1031" DrawAspect="Content" ObjectID="_1502476359" r:id="rId21"/>
        </w:object>
      </w:r>
      <w:r w:rsidRPr="00C759C9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C759C9">
        <w:rPr>
          <w:rFonts w:ascii="Arial" w:hAnsi="Arial" w:cs="Arial"/>
          <w:color w:val="4472C4" w:themeColor="accent5"/>
        </w:rPr>
        <w:t>–</w:t>
      </w:r>
      <w:r w:rsidRPr="00C759C9">
        <w:rPr>
          <w:rFonts w:ascii="Arial" w:hAnsi="Arial" w:cs="Arial"/>
          <w:color w:val="4472C4" w:themeColor="accent5"/>
          <w:sz w:val="24"/>
          <w:szCs w:val="24"/>
        </w:rPr>
        <w:t xml:space="preserve"> общее количество человек.</w:t>
      </w:r>
      <w:r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</w:t>
      </w:r>
    </w:p>
    <w:p w:rsidR="00E0338F" w:rsidRPr="00C759C9" w:rsidRDefault="00010022" w:rsidP="005F0DF2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</w:pPr>
      <w:r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В </w:t>
      </w:r>
      <w:r w:rsidR="00895283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таблицах</w:t>
      </w:r>
      <w:r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1.1</w:t>
      </w:r>
      <w:r w:rsidR="00580370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-1.2</w:t>
      </w:r>
      <w:r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</w:t>
      </w:r>
      <w:r w:rsidR="00895283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приведены значения средн</w:t>
      </w:r>
      <w:r w:rsidR="00580370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их</w:t>
      </w:r>
      <w:r w:rsidR="00895283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для предприятий Топливной компании ТВЭЛ значени</w:t>
      </w:r>
      <w:r w:rsidR="00580370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й</w:t>
      </w:r>
      <w:r w:rsidR="00895283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обобщенного риска потенциального облучения, рассчитанного двумя способами: по пожизненному атрибутивному риску</w:t>
      </w:r>
      <w:r w:rsidR="00A852B9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смертности</w:t>
      </w:r>
      <w:r w:rsidR="005F0DF2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</w:t>
      </w:r>
      <w:r w:rsidR="00895283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через средний возраст при облучении в половозрастной группе и через средний пожизненный</w:t>
      </w:r>
      <w:r w:rsidR="00A852B9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атрибутивный</w:t>
      </w:r>
      <w:r w:rsidR="00895283" w:rsidRPr="00C759C9"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 xml:space="preserve"> риск смертности в половозрастной группе.</w:t>
      </w:r>
    </w:p>
    <w:p w:rsidR="005F0DF2" w:rsidRDefault="005F0DF2" w:rsidP="00C759C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5F0DF2" w:rsidRDefault="005F0DF2" w:rsidP="005F0DF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Таблица 1.1 </w:t>
      </w:r>
      <w:r>
        <w:rPr>
          <w:rFonts w:ascii="Arial" w:hAnsi="Arial" w:cs="Arial"/>
        </w:rPr>
        <w:t>–</w:t>
      </w:r>
      <w:r>
        <w:rPr>
          <w:rFonts w:ascii="Arial" w:hAnsi="Arial" w:cs="Arial"/>
          <w:sz w:val="24"/>
          <w:szCs w:val="24"/>
        </w:rPr>
        <w:t xml:space="preserve"> Обобщенный риск потенциального облучения по предприятиям Топливной компании ТВЭЛ и для Топливной компании ТВЭЛ в целом, рассчитанный по пожизненному атрибутивному риску</w:t>
      </w:r>
      <w:r w:rsidR="00A852B9">
        <w:rPr>
          <w:rFonts w:ascii="Arial" w:hAnsi="Arial" w:cs="Arial"/>
          <w:sz w:val="24"/>
          <w:szCs w:val="24"/>
        </w:rPr>
        <w:t xml:space="preserve"> смертности через средний возраст при облучении в половозрастной группе.</w:t>
      </w:r>
    </w:p>
    <w:p w:rsidR="005F0DF2" w:rsidRDefault="005F0DF2" w:rsidP="005F0DF2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50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648"/>
        <w:gridCol w:w="1208"/>
        <w:gridCol w:w="1318"/>
        <w:gridCol w:w="1192"/>
        <w:gridCol w:w="1208"/>
        <w:gridCol w:w="1319"/>
        <w:gridCol w:w="1260"/>
      </w:tblGrid>
      <w:tr w:rsidR="005F0DF2" w:rsidTr="00580370">
        <w:trPr>
          <w:trHeight w:val="996"/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Предприятие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Взвешенное среднее ОРПО</w:t>
            </w:r>
          </w:p>
        </w:tc>
        <w:tc>
          <w:tcPr>
            <w:tcW w:w="19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Взвешенное среднее ОРПО с учетом верхней границы 95% ДИ дозы</w:t>
            </w:r>
          </w:p>
        </w:tc>
      </w:tr>
      <w:tr w:rsidR="005F0DF2" w:rsidTr="00580370">
        <w:trPr>
          <w:trHeight w:val="9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Внешнее облучение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Внутреннее облучение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Внешнее облучение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Внутреннее облучение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Сумма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СХК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CB3B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2,46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CB3B56" w:rsidRDefault="00CB3B56" w:rsidP="00CB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3B56">
              <w:rPr>
                <w:rFonts w:ascii="Arial" w:hAnsi="Arial" w:cs="Arial"/>
                <w:color w:val="000000"/>
                <w:sz w:val="20"/>
                <w:szCs w:val="20"/>
              </w:rPr>
              <w:t>2,77E-05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CB3B56" w:rsidRDefault="00CB3B56" w:rsidP="00CB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3B56">
              <w:rPr>
                <w:rFonts w:ascii="Arial" w:hAnsi="Arial" w:cs="Arial"/>
                <w:color w:val="000000"/>
                <w:sz w:val="20"/>
                <w:szCs w:val="20"/>
              </w:rPr>
              <w:t>5,23E-05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CB3B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1,05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CB3B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6,9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1E-05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CB3B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1,75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lastRenderedPageBreak/>
              <w:t>АЭХК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CB3B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4,3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4E-05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CB3B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5,85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CB3B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1,02E-04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 w:rsidP="00CB3B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</w:t>
            </w:r>
            <w:r w:rsidR="00CB3B56">
              <w:rPr>
                <w:rFonts w:ascii="Arial" w:hAnsi="Arial" w:cs="Arial"/>
                <w:sz w:val="20"/>
                <w:szCs w:val="20"/>
                <w:lang w:eastAsia="ru-RU"/>
              </w:rPr>
              <w:t>31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 w:rsidP="00CB3B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</w:t>
            </w:r>
            <w:r w:rsidR="00CB3B56">
              <w:rPr>
                <w:rFonts w:ascii="Arial" w:hAnsi="Arial" w:cs="Arial"/>
                <w:sz w:val="20"/>
                <w:szCs w:val="20"/>
                <w:lang w:eastAsia="ru-RU"/>
              </w:rPr>
              <w:t>83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 w:rsidP="00CB3B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3,</w:t>
            </w:r>
            <w:r w:rsidR="00CB3B56">
              <w:rPr>
                <w:rFonts w:ascii="Arial" w:hAnsi="Arial" w:cs="Arial"/>
                <w:sz w:val="20"/>
                <w:szCs w:val="20"/>
                <w:lang w:eastAsia="ru-RU"/>
              </w:rPr>
              <w:t>14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МСЗ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D7F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2,18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 w:rsidP="005D7F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2,</w:t>
            </w:r>
            <w:r w:rsidR="005D7F76">
              <w:rPr>
                <w:rFonts w:ascii="Arial" w:hAnsi="Arial" w:cs="Arial"/>
                <w:sz w:val="20"/>
                <w:szCs w:val="20"/>
                <w:lang w:eastAsia="ru-RU"/>
              </w:rPr>
              <w:t>84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D7F76" w:rsidP="005D7F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5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02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D7F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8,58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D7F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1,02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D7F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1,88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УЭХК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1,07E-05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10B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6,00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E-08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10B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1,08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10B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4,86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10B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1,3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 w:rsidP="00610B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4,</w:t>
            </w:r>
            <w:r w:rsidR="00610B9E">
              <w:rPr>
                <w:rFonts w:ascii="Arial" w:hAnsi="Arial" w:cs="Arial"/>
                <w:sz w:val="20"/>
                <w:szCs w:val="20"/>
                <w:lang w:eastAsia="ru-RU"/>
              </w:rPr>
              <w:t>87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ПО ЭХЗ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10B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2,35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10B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2,35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 w:rsidP="00610B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4,</w:t>
            </w:r>
            <w:r w:rsidR="00610B9E">
              <w:rPr>
                <w:rFonts w:ascii="Arial" w:hAnsi="Arial" w:cs="Arial"/>
                <w:sz w:val="20"/>
                <w:szCs w:val="20"/>
                <w:lang w:eastAsia="ru-RU"/>
              </w:rPr>
              <w:t>48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10B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4,48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ЧМЗ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5F0D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3,75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1,52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1,89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8,65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3,12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Default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3,99</w:t>
            </w:r>
            <w:r w:rsidR="005F0DF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 ЦЕЛОМ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2,39E-05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Pr="00CB3B56" w:rsidRDefault="0068190A" w:rsidP="00681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2,31</w:t>
            </w:r>
            <w:r w:rsidRPr="00CB3B56">
              <w:rPr>
                <w:rFonts w:ascii="Arial" w:hAnsi="Arial" w:cs="Arial"/>
                <w:color w:val="000000"/>
                <w:sz w:val="20"/>
                <w:szCs w:val="20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Pr="00CB3B56" w:rsidRDefault="0068190A" w:rsidP="00681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4,7</w:t>
            </w:r>
            <w:r w:rsidRPr="00CB3B56">
              <w:rPr>
                <w:rFonts w:ascii="Arial" w:hAnsi="Arial" w:cs="Arial"/>
                <w:color w:val="000000"/>
                <w:sz w:val="20"/>
                <w:szCs w:val="20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8,39E-05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7,31E-05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1,57E-04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СХК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1,93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4,84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6,77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6,91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1,38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2,07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АЭХК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3,94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6,03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9,9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7E-05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6,68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1,07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1,7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4E-04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8F4561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F4561">
              <w:rPr>
                <w:rFonts w:ascii="Arial" w:hAnsi="Arial" w:cs="Arial"/>
                <w:sz w:val="20"/>
                <w:szCs w:val="20"/>
                <w:lang w:eastAsia="ru-RU"/>
              </w:rPr>
              <w:t>МСЗ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8F4561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F4561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8F4561" w:rsidRDefault="0068190A" w:rsidP="008F45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F4561">
              <w:rPr>
                <w:rFonts w:ascii="Arial" w:hAnsi="Arial" w:cs="Arial"/>
                <w:sz w:val="20"/>
                <w:szCs w:val="20"/>
                <w:lang w:eastAsia="ru-RU"/>
              </w:rPr>
              <w:t>1,</w:t>
            </w:r>
            <w:r w:rsidR="008F4561">
              <w:rPr>
                <w:rFonts w:ascii="Arial" w:hAnsi="Arial" w:cs="Arial"/>
                <w:sz w:val="20"/>
                <w:szCs w:val="20"/>
                <w:lang w:eastAsia="ru-RU"/>
              </w:rPr>
              <w:t>46</w:t>
            </w:r>
            <w:r w:rsidRPr="008F4561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8F4561" w:rsidRDefault="008F4561" w:rsidP="008F45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4</w:t>
            </w:r>
            <w:r w:rsidR="0068190A" w:rsidRPr="008F4561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49</w:t>
            </w:r>
            <w:r w:rsidR="0068190A" w:rsidRPr="008F4561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8F4561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5,95</w:t>
            </w:r>
            <w:r w:rsidR="0068190A" w:rsidRPr="008F4561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8F4561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5,85</w:t>
            </w:r>
            <w:r w:rsidR="0068190A" w:rsidRPr="008F4561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8F4561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1,33</w:t>
            </w:r>
            <w:r w:rsidR="0068190A" w:rsidRPr="008F4561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8F4561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68190A" w:rsidRPr="008F4561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92</w:t>
            </w:r>
            <w:r w:rsidR="0068190A" w:rsidRPr="008F4561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УЭХК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1,01E-05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1,01E-05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3,39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3,39E-05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ПО ЭХЗ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9C6190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2</w:t>
            </w:r>
            <w:r w:rsidR="00353383">
              <w:rPr>
                <w:rFonts w:ascii="Arial" w:hAnsi="Arial" w:cs="Arial"/>
                <w:sz w:val="20"/>
                <w:szCs w:val="20"/>
                <w:lang w:eastAsia="ru-RU"/>
              </w:rPr>
              <w:t>,65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353383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2,65E-05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9C6190" w:rsidP="004449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4,</w:t>
            </w:r>
            <w:r w:rsidR="0044495E">
              <w:rPr>
                <w:rFonts w:ascii="Arial" w:hAnsi="Arial" w:cs="Arial"/>
                <w:sz w:val="20"/>
                <w:szCs w:val="20"/>
                <w:lang w:eastAsia="ru-RU"/>
              </w:rPr>
              <w:t>04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44495E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4,04E-05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ЧМЗ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71661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3,47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71661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2,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7E-04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71661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3,05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716611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6,9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A72FA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5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62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Default="00A72FAC" w:rsidP="006819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6,31</w:t>
            </w:r>
            <w:r w:rsidR="0068190A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 ЦЕЛОМ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A72FAC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A72FAC">
              <w:rPr>
                <w:rFonts w:ascii="Arial" w:hAnsi="Arial" w:cs="Arial"/>
                <w:sz w:val="20"/>
                <w:szCs w:val="20"/>
                <w:lang w:eastAsia="ru-RU"/>
              </w:rPr>
              <w:t>2,02E-05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A72FAC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A72FAC">
              <w:rPr>
                <w:rFonts w:ascii="Arial" w:hAnsi="Arial" w:cs="Arial"/>
                <w:sz w:val="20"/>
                <w:szCs w:val="20"/>
                <w:lang w:eastAsia="ru-RU"/>
              </w:rPr>
              <w:t>3,71E-05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A72FAC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A72FAC">
              <w:rPr>
                <w:rFonts w:ascii="Arial" w:hAnsi="Arial" w:cs="Arial"/>
                <w:sz w:val="20"/>
                <w:szCs w:val="20"/>
                <w:lang w:eastAsia="ru-RU"/>
              </w:rPr>
              <w:t>5,72E-05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A72FAC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A72FAC">
              <w:rPr>
                <w:rFonts w:ascii="Arial" w:hAnsi="Arial" w:cs="Arial"/>
                <w:sz w:val="20"/>
                <w:szCs w:val="20"/>
                <w:lang w:eastAsia="ru-RU"/>
              </w:rPr>
              <w:t>5,58E-05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A72FAC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A72FAC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0A77DF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A72FAC">
              <w:rPr>
                <w:rFonts w:ascii="Arial" w:hAnsi="Arial" w:cs="Arial"/>
                <w:sz w:val="20"/>
                <w:szCs w:val="20"/>
                <w:lang w:eastAsia="ru-RU"/>
              </w:rPr>
              <w:t>17</w:t>
            </w:r>
            <w:r w:rsidR="000A77DF">
              <w:rPr>
                <w:rFonts w:ascii="Arial" w:hAnsi="Arial" w:cs="Arial"/>
                <w:sz w:val="20"/>
                <w:szCs w:val="20"/>
                <w:lang w:eastAsia="ru-RU"/>
              </w:rPr>
              <w:t>Е-04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A72FAC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A72FAC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0A77DF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A72FAC">
              <w:rPr>
                <w:rFonts w:ascii="Arial" w:hAnsi="Arial" w:cs="Arial"/>
                <w:sz w:val="20"/>
                <w:szCs w:val="20"/>
                <w:lang w:eastAsia="ru-RU"/>
              </w:rPr>
              <w:t>73</w:t>
            </w:r>
            <w:r w:rsidR="000A77DF">
              <w:rPr>
                <w:rFonts w:ascii="Arial" w:hAnsi="Arial" w:cs="Arial"/>
                <w:sz w:val="20"/>
                <w:szCs w:val="20"/>
                <w:lang w:eastAsia="ru-RU"/>
              </w:rPr>
              <w:t>Е-04</w:t>
            </w:r>
          </w:p>
        </w:tc>
      </w:tr>
    </w:tbl>
    <w:p w:rsidR="00580370" w:rsidRDefault="00580370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580370" w:rsidRDefault="00580370" w:rsidP="00580370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lastRenderedPageBreak/>
        <w:t>Таблица 1.2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–</w:t>
      </w:r>
      <w:r>
        <w:rPr>
          <w:rFonts w:ascii="Arial" w:hAnsi="Arial" w:cs="Arial"/>
          <w:sz w:val="24"/>
          <w:szCs w:val="24"/>
        </w:rPr>
        <w:t xml:space="preserve"> Обобщенный риск потенциального облучения по предприятиям Топливной компании ТВЭЛ и для Топливной компании ТВЭЛ в целом, рассчитанный </w:t>
      </w:r>
      <w:r>
        <w:rPr>
          <w:rFonts w:ascii="Arial" w:eastAsia="Times New Roman" w:hAnsi="Arial" w:cs="Arial"/>
          <w:sz w:val="24"/>
          <w:szCs w:val="24"/>
          <w:lang w:eastAsia="ru-RU"/>
        </w:rPr>
        <w:t>через средний пожизненный атрибутивный риск смертности в половозрастной группе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580370" w:rsidRDefault="00580370" w:rsidP="0058037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5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685"/>
        <w:gridCol w:w="1208"/>
        <w:gridCol w:w="1318"/>
        <w:gridCol w:w="1239"/>
        <w:gridCol w:w="1208"/>
        <w:gridCol w:w="1370"/>
        <w:gridCol w:w="1306"/>
      </w:tblGrid>
      <w:tr w:rsidR="00580370" w:rsidTr="00580370">
        <w:trPr>
          <w:trHeight w:val="898"/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Предприятие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Взвешенное среднее ОРПО</w:t>
            </w:r>
          </w:p>
        </w:tc>
        <w:tc>
          <w:tcPr>
            <w:tcW w:w="19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Взвешенное среднее ОРПО с учетом верхней границы 95% ДИ дозы</w:t>
            </w:r>
          </w:p>
        </w:tc>
      </w:tr>
      <w:tr w:rsidR="00580370" w:rsidTr="00580370">
        <w:trPr>
          <w:trHeight w:val="86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Внешнее облучение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Внутреннее облучение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Внешнее облучение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Внутреннее облучение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2370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Сумма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СХК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2,16E-05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3,68E-05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5,84E-05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9,31E-05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9,24E-05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0E2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0E267E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86</w:t>
            </w:r>
            <w:r w:rsidR="000E267E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АЭХК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3,85E-05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6,27E-05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2E43A8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01</w:t>
            </w:r>
            <w:r w:rsidR="002E43A8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2E43A8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17</w:t>
            </w:r>
            <w:r w:rsidR="002E43A8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2E43A8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98</w:t>
            </w:r>
            <w:r w:rsidR="002E43A8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</w:t>
            </w:r>
            <w:r w:rsidR="002E43A8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14</w:t>
            </w:r>
            <w:r w:rsidR="002E43A8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МСЗ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1,92E-05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3,49E-05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5,42E-05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7,61E-05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F90BF1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25</w:t>
            </w:r>
            <w:r w:rsidR="00F90BF1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F90B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</w:t>
            </w:r>
            <w:r w:rsidR="00F90BF1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01</w:t>
            </w:r>
            <w:r w:rsidR="00F90BF1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УЭХК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9,36E-06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1,09E-06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1,05E-05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4,26E-05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2,25E-06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4,48E-05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ПО ЭХЗ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2,08E-05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2,08E-05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3,97E-05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3,97E-05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ЧМЗ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3,31E-05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8700B3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57</w:t>
            </w:r>
            <w:r w:rsidR="008700B3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8700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8700B3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9</w:t>
            </w:r>
            <w:r w:rsidR="008700B3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7,7E-05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</w:t>
            </w:r>
            <w:r w:rsidR="000C0130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22</w:t>
            </w:r>
            <w:r w:rsidR="000C0130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</w:t>
            </w:r>
            <w:r w:rsidR="000C0130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99</w:t>
            </w:r>
            <w:r w:rsidR="000C0130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 ЦЕЛОМ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2,11E-05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4,33E-05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6,44E-05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7,4E-05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BF026F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38</w:t>
            </w:r>
            <w:r w:rsidR="00BF026F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</w:t>
            </w:r>
            <w:r w:rsidR="00BF026F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12</w:t>
            </w:r>
            <w:r w:rsidR="00BF026F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СХК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1,69E-05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5,57E-05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7,26E-05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5,88E-05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D03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D033F1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6</w:t>
            </w:r>
            <w:r w:rsidR="00D033F1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</w:t>
            </w:r>
            <w:r w:rsidR="00D033F1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19</w:t>
            </w:r>
            <w:r w:rsidR="00D033F1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АЭХК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3,56E-05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6,18E-05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9,74E-05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5,93E-05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DA6567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DA6567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DA6567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7</w:t>
            </w:r>
            <w:r w:rsidR="00DA6567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8F4561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8F4561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F4561">
              <w:rPr>
                <w:rFonts w:ascii="Arial" w:hAnsi="Arial" w:cs="Arial"/>
                <w:sz w:val="20"/>
                <w:szCs w:val="20"/>
                <w:lang w:eastAsia="ru-RU"/>
              </w:rPr>
              <w:t>МСЗ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8F4561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F4561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1,29E-05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4,9E-05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6,18E-05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5,16E-05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FD62D2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46</w:t>
            </w:r>
            <w:r w:rsidR="00FD62D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  <w:r w:rsidR="00FD62D2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98</w:t>
            </w:r>
            <w:r w:rsidR="00FD62D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УЭХК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8,83E-06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8,83E-06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2,96E-05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2,96E-05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ПО ЭХЗ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2,34E-05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2,34E-05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3,58E-05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0931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3,58E-05</w:t>
            </w:r>
          </w:p>
        </w:tc>
      </w:tr>
      <w:tr w:rsidR="00580370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ЧМЗ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3E-05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</w:t>
            </w:r>
            <w:r w:rsidR="0009315A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44</w:t>
            </w:r>
            <w:r w:rsidR="0009315A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</w:t>
            </w:r>
            <w:r w:rsidR="0009315A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74</w:t>
            </w:r>
            <w:r w:rsidR="0009315A">
              <w:rPr>
                <w:rFonts w:ascii="Arial" w:hAnsi="Arial" w:cs="Arial"/>
                <w:sz w:val="20"/>
                <w:szCs w:val="20"/>
                <w:lang w:eastAsia="ru-RU"/>
              </w:rPr>
              <w:t xml:space="preserve"> </w:t>
            </w:r>
            <w:r w:rsidR="0009315A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6,11E-05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5</w:t>
            </w:r>
            <w:r w:rsidR="0009315A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12</w:t>
            </w:r>
            <w:r w:rsidR="0009315A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5</w:t>
            </w:r>
            <w:r w:rsidR="0009315A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73</w:t>
            </w:r>
            <w:r w:rsidR="0009315A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A72FAC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В ЦЕЛОМ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1,77E-05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6,68E-05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8,45E-05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4,92E-05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</w:t>
            </w:r>
            <w:r w:rsidR="00CB0052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11</w:t>
            </w:r>
            <w:r w:rsidR="00CB005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2E43A8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2</w:t>
            </w:r>
            <w:r w:rsidR="00CB0052">
              <w:rPr>
                <w:rFonts w:ascii="Arial" w:hAnsi="Arial" w:cs="Arial"/>
                <w:sz w:val="20"/>
                <w:szCs w:val="20"/>
                <w:lang w:eastAsia="ru-RU"/>
              </w:rPr>
              <w:t>,</w:t>
            </w:r>
            <w:r w:rsidRPr="002E43A8">
              <w:rPr>
                <w:rFonts w:ascii="Arial" w:hAnsi="Arial" w:cs="Arial"/>
                <w:sz w:val="20"/>
                <w:szCs w:val="20"/>
                <w:lang w:eastAsia="ru-RU"/>
              </w:rPr>
              <w:t>6</w:t>
            </w:r>
            <w:r w:rsidR="00CB0052">
              <w:rPr>
                <w:rFonts w:ascii="Arial" w:hAnsi="Arial" w:cs="Arial"/>
                <w:sz w:val="20"/>
                <w:szCs w:val="20"/>
                <w:lang w:eastAsia="ru-RU"/>
              </w:rPr>
              <w:t>E-04</w:t>
            </w:r>
          </w:p>
        </w:tc>
      </w:tr>
    </w:tbl>
    <w:p w:rsidR="00580370" w:rsidRDefault="00580370" w:rsidP="00010022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580370" w:rsidRDefault="00580370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5F0DF2" w:rsidRDefault="005F0DF2" w:rsidP="00010022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580370" w:rsidRDefault="00580370" w:rsidP="00010022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</w:p>
    <w:p w:rsidR="00010022" w:rsidRPr="00010022" w:rsidRDefault="00010022" w:rsidP="00010022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  <w:r w:rsidRPr="00E0338F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color w:val="C00000"/>
          <w:sz w:val="24"/>
          <w:szCs w:val="24"/>
          <w:lang w:eastAsia="ru-RU"/>
        </w:rPr>
        <w:t>Надо ли здесь приводить таблицу взвешенных орпо по предприятиям? Нет, я думаю…</w:t>
      </w:r>
      <w:r w:rsidRPr="00E0338F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)</w:t>
      </w:r>
    </w:p>
    <w:p w:rsidR="00013CCC" w:rsidRDefault="000B4C97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  <w:r w:rsidRPr="000B4C97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…..Здесь надо поговорить про взвешенное орпо, про вычисление ибпо от этих величин, что мол невозможно посчитать руками, т.к. сложные формулы, поэтому надо сделать было модуль и тд…….</w:t>
      </w:r>
    </w:p>
    <w:p w:rsidR="00C759C9" w:rsidRDefault="00C759C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</w:p>
    <w:p w:rsidR="00580370" w:rsidRDefault="00580370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C00000"/>
          <w:sz w:val="24"/>
          <w:szCs w:val="24"/>
          <w:lang w:eastAsia="ru-RU"/>
        </w:rPr>
        <w:t>Заметки:</w:t>
      </w:r>
    </w:p>
    <w:p w:rsidR="00580370" w:rsidRDefault="00580370" w:rsidP="00580370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C00000"/>
          <w:sz w:val="24"/>
          <w:szCs w:val="24"/>
          <w:lang w:eastAsia="ru-RU"/>
        </w:rPr>
        <w:t>Пока привожу только суммарные таблицы по орпо, отдельно по предприятиям – в приложении</w:t>
      </w:r>
    </w:p>
    <w:p w:rsidR="00580370" w:rsidRDefault="00580370" w:rsidP="00580370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C00000"/>
          <w:sz w:val="24"/>
          <w:szCs w:val="24"/>
          <w:lang w:eastAsia="ru-RU"/>
        </w:rPr>
        <w:t>По ибпо буду приводить все таблицы предприятий в полном виде, описывая по ходу все, что в каждом их предприятий происходит</w:t>
      </w:r>
    </w:p>
    <w:p w:rsidR="00C759C9" w:rsidRDefault="00C759C9" w:rsidP="00580370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</w:p>
    <w:p w:rsidR="00C759C9" w:rsidRPr="00C759C9" w:rsidRDefault="00C759C9" w:rsidP="00C759C9">
      <w:pPr>
        <w:spacing w:after="0" w:line="360" w:lineRule="auto"/>
        <w:jc w:val="both"/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72C4" w:themeColor="accent5"/>
          <w:sz w:val="24"/>
          <w:szCs w:val="24"/>
          <w:lang w:eastAsia="ru-RU"/>
        </w:rPr>
        <w:t>Моменты под сомнением, которые следовало бы перенести в другое место.</w:t>
      </w:r>
    </w:p>
    <w:p w:rsidR="005130B1" w:rsidRPr="000B4C97" w:rsidRDefault="00DC13BB" w:rsidP="00812EE4">
      <w:pPr>
        <w:rPr>
          <w:rFonts w:ascii="Arial" w:hAnsi="Arial" w:cs="Arial"/>
          <w:sz w:val="24"/>
          <w:szCs w:val="24"/>
        </w:rPr>
      </w:pPr>
      <w:r w:rsidRPr="000B4C97">
        <w:rPr>
          <w:rFonts w:ascii="Arial" w:hAnsi="Arial" w:cs="Arial"/>
          <w:sz w:val="24"/>
          <w:szCs w:val="24"/>
        </w:rPr>
        <w:t xml:space="preserve"> </w:t>
      </w:r>
    </w:p>
    <w:sectPr w:rsidR="005130B1" w:rsidRPr="000B4C97" w:rsidSect="007271D6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BD" w:rsidRDefault="009D15BD" w:rsidP="00EF4BC2">
      <w:pPr>
        <w:spacing w:after="0" w:line="240" w:lineRule="auto"/>
      </w:pPr>
      <w:r>
        <w:separator/>
      </w:r>
    </w:p>
  </w:endnote>
  <w:endnote w:type="continuationSeparator" w:id="0">
    <w:p w:rsidR="009D15BD" w:rsidRDefault="009D15BD" w:rsidP="00EF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1724907"/>
      <w:docPartObj>
        <w:docPartGallery w:val="Page Numbers (Bottom of Page)"/>
        <w:docPartUnique/>
      </w:docPartObj>
    </w:sdtPr>
    <w:sdtContent>
      <w:p w:rsidR="00380EAB" w:rsidRDefault="00380EA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4D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80EAB" w:rsidRDefault="00380EA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BD" w:rsidRDefault="009D15BD" w:rsidP="00EF4BC2">
      <w:pPr>
        <w:spacing w:after="0" w:line="240" w:lineRule="auto"/>
      </w:pPr>
      <w:r>
        <w:separator/>
      </w:r>
    </w:p>
  </w:footnote>
  <w:footnote w:type="continuationSeparator" w:id="0">
    <w:p w:rsidR="009D15BD" w:rsidRDefault="009D15BD" w:rsidP="00EF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3EC4"/>
    <w:multiLevelType w:val="hybridMultilevel"/>
    <w:tmpl w:val="FBBCE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2032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406"/>
    <w:rsid w:val="000040B8"/>
    <w:rsid w:val="00010022"/>
    <w:rsid w:val="00013CCC"/>
    <w:rsid w:val="0009315A"/>
    <w:rsid w:val="000A77DF"/>
    <w:rsid w:val="000B4C97"/>
    <w:rsid w:val="000C0130"/>
    <w:rsid w:val="000D0643"/>
    <w:rsid w:val="000E267E"/>
    <w:rsid w:val="00113ADF"/>
    <w:rsid w:val="00124ED1"/>
    <w:rsid w:val="001567BC"/>
    <w:rsid w:val="0024572D"/>
    <w:rsid w:val="00284406"/>
    <w:rsid w:val="002920FB"/>
    <w:rsid w:val="002A08B5"/>
    <w:rsid w:val="002E43A8"/>
    <w:rsid w:val="00304E9A"/>
    <w:rsid w:val="00353383"/>
    <w:rsid w:val="00380EAB"/>
    <w:rsid w:val="003D4072"/>
    <w:rsid w:val="0044495E"/>
    <w:rsid w:val="0046152C"/>
    <w:rsid w:val="004B4AA7"/>
    <w:rsid w:val="004C34D6"/>
    <w:rsid w:val="004D64ED"/>
    <w:rsid w:val="00507F37"/>
    <w:rsid w:val="005130B1"/>
    <w:rsid w:val="00530638"/>
    <w:rsid w:val="0054259B"/>
    <w:rsid w:val="00544F9B"/>
    <w:rsid w:val="00580370"/>
    <w:rsid w:val="005B5C25"/>
    <w:rsid w:val="005D7F76"/>
    <w:rsid w:val="005E1AAC"/>
    <w:rsid w:val="005F0DF2"/>
    <w:rsid w:val="00610B9E"/>
    <w:rsid w:val="006271CD"/>
    <w:rsid w:val="006378A6"/>
    <w:rsid w:val="006741DD"/>
    <w:rsid w:val="0068190A"/>
    <w:rsid w:val="00682EC7"/>
    <w:rsid w:val="007120B7"/>
    <w:rsid w:val="00716611"/>
    <w:rsid w:val="007271D6"/>
    <w:rsid w:val="007316AB"/>
    <w:rsid w:val="007408B1"/>
    <w:rsid w:val="00751E1B"/>
    <w:rsid w:val="007D634C"/>
    <w:rsid w:val="007E4D3C"/>
    <w:rsid w:val="00812EE4"/>
    <w:rsid w:val="00827055"/>
    <w:rsid w:val="00831115"/>
    <w:rsid w:val="008700B3"/>
    <w:rsid w:val="00880732"/>
    <w:rsid w:val="00887CE9"/>
    <w:rsid w:val="00892549"/>
    <w:rsid w:val="00895283"/>
    <w:rsid w:val="008F4561"/>
    <w:rsid w:val="00922356"/>
    <w:rsid w:val="00964F56"/>
    <w:rsid w:val="009904A8"/>
    <w:rsid w:val="00994625"/>
    <w:rsid w:val="009C6190"/>
    <w:rsid w:val="009D15BD"/>
    <w:rsid w:val="00A60247"/>
    <w:rsid w:val="00A72FAC"/>
    <w:rsid w:val="00A73FF1"/>
    <w:rsid w:val="00A84D45"/>
    <w:rsid w:val="00A852B9"/>
    <w:rsid w:val="00AE0852"/>
    <w:rsid w:val="00AF66FF"/>
    <w:rsid w:val="00B02808"/>
    <w:rsid w:val="00B61898"/>
    <w:rsid w:val="00BD7097"/>
    <w:rsid w:val="00BE0D03"/>
    <w:rsid w:val="00BE61A5"/>
    <w:rsid w:val="00BE727D"/>
    <w:rsid w:val="00BF026F"/>
    <w:rsid w:val="00C05B77"/>
    <w:rsid w:val="00C14A46"/>
    <w:rsid w:val="00C14EC1"/>
    <w:rsid w:val="00C50DB4"/>
    <w:rsid w:val="00C759C9"/>
    <w:rsid w:val="00C8509C"/>
    <w:rsid w:val="00C90DB9"/>
    <w:rsid w:val="00C9244D"/>
    <w:rsid w:val="00CA25AD"/>
    <w:rsid w:val="00CB0052"/>
    <w:rsid w:val="00CB3B56"/>
    <w:rsid w:val="00D033F1"/>
    <w:rsid w:val="00D46CF2"/>
    <w:rsid w:val="00D814E4"/>
    <w:rsid w:val="00DA6567"/>
    <w:rsid w:val="00DC13BB"/>
    <w:rsid w:val="00E0338F"/>
    <w:rsid w:val="00E10D18"/>
    <w:rsid w:val="00E26A25"/>
    <w:rsid w:val="00E26D38"/>
    <w:rsid w:val="00E5064D"/>
    <w:rsid w:val="00EF4BC2"/>
    <w:rsid w:val="00F90BF1"/>
    <w:rsid w:val="00FC2331"/>
    <w:rsid w:val="00FD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7D83C6B-2B97-4FCA-A4D0-59677D41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E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7271D6"/>
    <w:pPr>
      <w:keepNext/>
      <w:keepLines/>
      <w:numPr>
        <w:numId w:val="1"/>
      </w:numPr>
      <w:spacing w:before="480" w:after="0"/>
      <w:outlineLvl w:val="0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6D3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6D3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6D38"/>
    <w:rPr>
      <w:rFonts w:ascii="Calibri" w:eastAsia="Calibri" w:hAnsi="Calibri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6D3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6D38"/>
    <w:rPr>
      <w:rFonts w:ascii="Calibri" w:eastAsia="Calibri" w:hAnsi="Calibri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6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6D38"/>
    <w:rPr>
      <w:rFonts w:ascii="Segoe UI" w:eastAsia="Calibr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F4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F4BC2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F4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F4BC2"/>
    <w:rPr>
      <w:rFonts w:ascii="Calibri" w:eastAsia="Calibri" w:hAnsi="Calibri" w:cs="Times New Roman"/>
    </w:rPr>
  </w:style>
  <w:style w:type="character" w:styleId="ae">
    <w:name w:val="Hyperlink"/>
    <w:uiPriority w:val="99"/>
    <w:unhideWhenUsed/>
    <w:rsid w:val="007271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71D6"/>
    <w:pPr>
      <w:tabs>
        <w:tab w:val="left" w:pos="1200"/>
        <w:tab w:val="right" w:leader="dot" w:pos="9344"/>
      </w:tabs>
      <w:spacing w:before="120" w:after="120" w:line="360" w:lineRule="auto"/>
      <w:ind w:right="715" w:firstLine="709"/>
      <w:jc w:val="both"/>
    </w:pPr>
    <w:rPr>
      <w:rFonts w:ascii="Arial" w:eastAsia="Times New Roman" w:hAnsi="Arial" w:cs="Arial"/>
      <w:noProof/>
      <w:kern w:val="32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271D6"/>
    <w:pPr>
      <w:spacing w:after="100"/>
      <w:ind w:left="220"/>
    </w:pPr>
  </w:style>
  <w:style w:type="character" w:customStyle="1" w:styleId="10">
    <w:name w:val="Заголовок 1 Знак"/>
    <w:basedOn w:val="a0"/>
    <w:link w:val="1"/>
    <w:rsid w:val="007271D6"/>
    <w:rPr>
      <w:rFonts w:ascii="Arial" w:eastAsia="Times New Roman" w:hAnsi="Arial" w:cs="Arial"/>
      <w:b/>
      <w:bCs/>
      <w:sz w:val="28"/>
      <w:szCs w:val="28"/>
    </w:rPr>
  </w:style>
  <w:style w:type="paragraph" w:styleId="af">
    <w:name w:val="List Paragraph"/>
    <w:basedOn w:val="a"/>
    <w:uiPriority w:val="34"/>
    <w:qFormat/>
    <w:rsid w:val="00751E1B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507F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dfe.petrsu.ru/koi/teaching/soft_rules.html" TargetMode="External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17</Pages>
  <Words>3346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lovachev</dc:creator>
  <cp:keywords/>
  <dc:description/>
  <cp:lastModifiedBy>Sergey Lovachev</cp:lastModifiedBy>
  <cp:revision>72</cp:revision>
  <dcterms:created xsi:type="dcterms:W3CDTF">2015-08-27T09:22:00Z</dcterms:created>
  <dcterms:modified xsi:type="dcterms:W3CDTF">2015-08-30T18:42:00Z</dcterms:modified>
</cp:coreProperties>
</file>