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8D2133" w:rsidP="007271D6">
      <w:pPr>
        <w:pStyle w:val="11"/>
        <w:rPr>
          <w:rStyle w:val="ae"/>
          <w:color w:val="FF0000"/>
        </w:rPr>
      </w:pPr>
      <w:r w:rsidRPr="008D2133">
        <w:rPr>
          <w:b/>
          <w:color w:val="FF0000"/>
        </w:rPr>
        <w:fldChar w:fldCharType="begin"/>
      </w:r>
      <w:r w:rsidR="007271D6" w:rsidRPr="007271D6">
        <w:rPr>
          <w:b/>
          <w:color w:val="FF0000"/>
        </w:rPr>
        <w:instrText xml:space="preserve"> TOC \o "1-3" \h \z \u </w:instrText>
      </w:r>
      <w:r w:rsidRPr="008D2133">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8D2133"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8D2133"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8D2133"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8D2133"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8D2133"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8D2133"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8D2133"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8D2133"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8D2133"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8D2133"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8D2133"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8D2133"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25pt" o:ole="">
            <v:imagedata r:id="rId8" o:title=""/>
          </v:shape>
          <o:OLEObject Type="Embed" ProgID="Equation.3" ShapeID="_x0000_i1025" DrawAspect="Content" ObjectID="_1502714785"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8pt;height:31.5pt" o:ole="">
            <v:imagedata r:id="rId10" o:title=""/>
          </v:shape>
          <o:OLEObject Type="Embed" ProgID="Equation.3" ShapeID="_x0000_i1026" DrawAspect="Content" ObjectID="_1502714786"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2714787"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8D2133"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8D2133"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pt" o:ole="">
            <v:imagedata r:id="rId14" o:title=""/>
          </v:shape>
          <o:OLEObject Type="Embed" ProgID="Equation.3" ShapeID="_x0000_i1028" DrawAspect="Content" ObjectID="_1502714788"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0.5pt;height:17.25pt" o:ole="">
            <v:imagedata r:id="rId16" o:title=""/>
          </v:shape>
          <o:OLEObject Type="Embed" ProgID="Equation.3" ShapeID="_x0000_i1029" DrawAspect="Content" ObjectID="_1502714789"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7.25pt" o:ole="">
            <v:imagedata r:id="rId18" o:title=""/>
          </v:shape>
          <o:OLEObject Type="Embed" ProgID="Equation.3" ShapeID="_x0000_i1030" DrawAspect="Content" ObjectID="_1502714790"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2714791"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1.2.1-1.2.100500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170854" w:rsidRDefault="0033742B"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индексов безопасности потенциального облучения половозрастных групп для всех предприятий, рассчитанных двумя методами. </w:t>
      </w:r>
      <w:r w:rsidR="00260FE3">
        <w:rPr>
          <w:rFonts w:ascii="Arial" w:eastAsia="Times New Roman" w:hAnsi="Arial" w:cs="Arial"/>
          <w:kern w:val="18"/>
          <w:sz w:val="24"/>
          <w:szCs w:val="24"/>
          <w:lang w:eastAsia="ru-RU"/>
        </w:rPr>
        <w:t>Изменения</w:t>
      </w:r>
      <w:r>
        <w:rPr>
          <w:rFonts w:ascii="Arial" w:eastAsia="Times New Roman" w:hAnsi="Arial" w:cs="Arial"/>
          <w:kern w:val="18"/>
          <w:sz w:val="24"/>
          <w:szCs w:val="24"/>
          <w:lang w:eastAsia="ru-RU"/>
        </w:rPr>
        <w:t xml:space="preserve"> ИБПО зависят от пола и возраста при облучении.</w:t>
      </w:r>
      <w:r w:rsidR="00EA5418">
        <w:rPr>
          <w:rFonts w:ascii="Arial" w:eastAsia="Times New Roman" w:hAnsi="Arial" w:cs="Arial"/>
          <w:kern w:val="18"/>
          <w:sz w:val="24"/>
          <w:szCs w:val="24"/>
          <w:lang w:eastAsia="ru-RU"/>
        </w:rPr>
        <w:t xml:space="preserve"> Проведение этих оценок позволило сопоставить два вышеописанных метода и получить более точное представление об ИБПО на предприятиях ТВЭЛ.</w:t>
      </w:r>
    </w:p>
    <w:p w:rsidR="0099209F" w:rsidRDefault="0099209F" w:rsidP="0099209F">
      <w:pPr>
        <w:spacing w:after="0" w:line="240" w:lineRule="auto"/>
        <w:rPr>
          <w:rFonts w:ascii="Arial" w:eastAsia="Times New Roman" w:hAnsi="Arial" w:cs="Arial"/>
          <w:kern w:val="18"/>
          <w:sz w:val="24"/>
          <w:szCs w:val="24"/>
          <w:lang w:eastAsia="ru-RU"/>
        </w:rPr>
      </w:pPr>
    </w:p>
    <w:p w:rsidR="0099209F" w:rsidRDefault="0099209F">
      <w:pPr>
        <w:spacing w:after="160" w:line="259" w:lineRule="auto"/>
        <w:rPr>
          <w:rFonts w:ascii="Arial" w:eastAsia="Times New Roman" w:hAnsi="Arial" w:cs="Arial"/>
          <w:kern w:val="18"/>
          <w:sz w:val="24"/>
          <w:szCs w:val="24"/>
          <w:lang w:eastAsia="ru-RU"/>
        </w:rPr>
      </w:pPr>
      <w:r>
        <w:rPr>
          <w:rFonts w:ascii="Arial" w:eastAsia="Times New Roman" w:hAnsi="Arial" w:cs="Arial"/>
          <w:kern w:val="18"/>
          <w:sz w:val="24"/>
          <w:szCs w:val="24"/>
          <w:lang w:eastAsia="ru-RU"/>
        </w:rPr>
        <w:br w:type="page"/>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25"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26"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27"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по возрастным группам, 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28"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29"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0"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Pr="007C5900">
        <w:rPr>
          <w:rFonts w:ascii="Arial" w:hAnsi="Arial" w:cs="Arial"/>
          <w:sz w:val="24"/>
          <w:szCs w:val="24"/>
          <w:lang w:eastAsia="ru-RU"/>
        </w:rPr>
        <w:t>, СХК.</w:t>
      </w:r>
    </w:p>
    <w:p w:rsidR="0099209F" w:rsidRPr="00DC6519" w:rsidRDefault="0099209F" w:rsidP="004250C8">
      <w:pPr>
        <w:spacing w:after="0"/>
        <w:rPr>
          <w:noProof/>
          <w:lang w:eastAsia="ru-RU"/>
        </w:rPr>
      </w:pPr>
    </w:p>
    <w:sectPr w:rsidR="0099209F" w:rsidRPr="00DC6519" w:rsidSect="007271D6">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4B0" w:rsidRDefault="003E14B0" w:rsidP="00EF4BC2">
      <w:pPr>
        <w:spacing w:after="0" w:line="240" w:lineRule="auto"/>
      </w:pPr>
      <w:r>
        <w:separator/>
      </w:r>
    </w:p>
  </w:endnote>
  <w:endnote w:type="continuationSeparator" w:id="0">
    <w:p w:rsidR="003E14B0" w:rsidRDefault="003E14B0"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782C5D" w:rsidRDefault="00782C5D">
        <w:pPr>
          <w:pStyle w:val="ac"/>
          <w:jc w:val="center"/>
        </w:pPr>
        <w:fldSimple w:instr="PAGE   \* MERGEFORMAT">
          <w:r w:rsidR="003D7A89">
            <w:rPr>
              <w:noProof/>
            </w:rPr>
            <w:t>25</w:t>
          </w:r>
        </w:fldSimple>
      </w:p>
    </w:sdtContent>
  </w:sdt>
  <w:p w:rsidR="00782C5D" w:rsidRDefault="00782C5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4B0" w:rsidRDefault="003E14B0" w:rsidP="00EF4BC2">
      <w:pPr>
        <w:spacing w:after="0" w:line="240" w:lineRule="auto"/>
      </w:pPr>
      <w:r>
        <w:separator/>
      </w:r>
    </w:p>
  </w:footnote>
  <w:footnote w:type="continuationSeparator" w:id="0">
    <w:p w:rsidR="003E14B0" w:rsidRDefault="003E14B0"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284406"/>
    <w:rsid w:val="000040B8"/>
    <w:rsid w:val="00010022"/>
    <w:rsid w:val="00013CCC"/>
    <w:rsid w:val="00014852"/>
    <w:rsid w:val="0002019C"/>
    <w:rsid w:val="00027CA7"/>
    <w:rsid w:val="000324B3"/>
    <w:rsid w:val="00033202"/>
    <w:rsid w:val="00044113"/>
    <w:rsid w:val="000574DC"/>
    <w:rsid w:val="000679D3"/>
    <w:rsid w:val="0009315A"/>
    <w:rsid w:val="000A402C"/>
    <w:rsid w:val="000A47D4"/>
    <w:rsid w:val="000A77DF"/>
    <w:rsid w:val="000B4C97"/>
    <w:rsid w:val="000C0130"/>
    <w:rsid w:val="000C5A43"/>
    <w:rsid w:val="000C6DE6"/>
    <w:rsid w:val="000D0643"/>
    <w:rsid w:val="000E267E"/>
    <w:rsid w:val="000F7CB4"/>
    <w:rsid w:val="00105956"/>
    <w:rsid w:val="0011105E"/>
    <w:rsid w:val="00113ADF"/>
    <w:rsid w:val="00124ED1"/>
    <w:rsid w:val="0014026C"/>
    <w:rsid w:val="00153EFD"/>
    <w:rsid w:val="00155C77"/>
    <w:rsid w:val="001567BC"/>
    <w:rsid w:val="0016008F"/>
    <w:rsid w:val="00170854"/>
    <w:rsid w:val="001957AD"/>
    <w:rsid w:val="001A2E90"/>
    <w:rsid w:val="001E1E69"/>
    <w:rsid w:val="002031B6"/>
    <w:rsid w:val="00212F14"/>
    <w:rsid w:val="00213398"/>
    <w:rsid w:val="00217AB7"/>
    <w:rsid w:val="0024572D"/>
    <w:rsid w:val="00250243"/>
    <w:rsid w:val="00257598"/>
    <w:rsid w:val="00260FE3"/>
    <w:rsid w:val="00271C27"/>
    <w:rsid w:val="00276E24"/>
    <w:rsid w:val="002817AD"/>
    <w:rsid w:val="00281E3D"/>
    <w:rsid w:val="00284406"/>
    <w:rsid w:val="002920FB"/>
    <w:rsid w:val="002A08B5"/>
    <w:rsid w:val="002B16DA"/>
    <w:rsid w:val="002E43A8"/>
    <w:rsid w:val="002F26E0"/>
    <w:rsid w:val="00304E9A"/>
    <w:rsid w:val="00335134"/>
    <w:rsid w:val="0033742B"/>
    <w:rsid w:val="00353383"/>
    <w:rsid w:val="003804F2"/>
    <w:rsid w:val="00380EAB"/>
    <w:rsid w:val="00382079"/>
    <w:rsid w:val="003A10B3"/>
    <w:rsid w:val="003B784A"/>
    <w:rsid w:val="003C2258"/>
    <w:rsid w:val="003D4072"/>
    <w:rsid w:val="003D7A89"/>
    <w:rsid w:val="003E07D6"/>
    <w:rsid w:val="003E14B0"/>
    <w:rsid w:val="003E7EE6"/>
    <w:rsid w:val="00420453"/>
    <w:rsid w:val="004250C8"/>
    <w:rsid w:val="00434BB6"/>
    <w:rsid w:val="00440DBA"/>
    <w:rsid w:val="0044495E"/>
    <w:rsid w:val="00460168"/>
    <w:rsid w:val="0046152C"/>
    <w:rsid w:val="00496FA0"/>
    <w:rsid w:val="004A3937"/>
    <w:rsid w:val="004A4255"/>
    <w:rsid w:val="004A4799"/>
    <w:rsid w:val="004B4AA7"/>
    <w:rsid w:val="004C34D6"/>
    <w:rsid w:val="004D64ED"/>
    <w:rsid w:val="00507F37"/>
    <w:rsid w:val="005130B1"/>
    <w:rsid w:val="00526DB7"/>
    <w:rsid w:val="00530638"/>
    <w:rsid w:val="0054259B"/>
    <w:rsid w:val="00544F9B"/>
    <w:rsid w:val="0055152D"/>
    <w:rsid w:val="00566E55"/>
    <w:rsid w:val="00580370"/>
    <w:rsid w:val="005A592A"/>
    <w:rsid w:val="005A5EAC"/>
    <w:rsid w:val="005B3E4E"/>
    <w:rsid w:val="005B507D"/>
    <w:rsid w:val="005B5C25"/>
    <w:rsid w:val="005C7DC7"/>
    <w:rsid w:val="005D7F76"/>
    <w:rsid w:val="005E1AAC"/>
    <w:rsid w:val="005F0DF2"/>
    <w:rsid w:val="0060310D"/>
    <w:rsid w:val="00607849"/>
    <w:rsid w:val="00610B9E"/>
    <w:rsid w:val="00613DB7"/>
    <w:rsid w:val="006271CD"/>
    <w:rsid w:val="006378A6"/>
    <w:rsid w:val="006741DD"/>
    <w:rsid w:val="0068190A"/>
    <w:rsid w:val="00682EC7"/>
    <w:rsid w:val="00694AA6"/>
    <w:rsid w:val="006E2B96"/>
    <w:rsid w:val="007120B7"/>
    <w:rsid w:val="00716611"/>
    <w:rsid w:val="007271D6"/>
    <w:rsid w:val="007316AB"/>
    <w:rsid w:val="007408B1"/>
    <w:rsid w:val="00751E1B"/>
    <w:rsid w:val="007753E1"/>
    <w:rsid w:val="00782C5D"/>
    <w:rsid w:val="007959D8"/>
    <w:rsid w:val="007D3D4F"/>
    <w:rsid w:val="007D634C"/>
    <w:rsid w:val="007E4D3C"/>
    <w:rsid w:val="007E6806"/>
    <w:rsid w:val="007F7661"/>
    <w:rsid w:val="008067C7"/>
    <w:rsid w:val="00807280"/>
    <w:rsid w:val="0081272E"/>
    <w:rsid w:val="00812EE4"/>
    <w:rsid w:val="00821C2E"/>
    <w:rsid w:val="00827055"/>
    <w:rsid w:val="00830E0F"/>
    <w:rsid w:val="00831115"/>
    <w:rsid w:val="00835DBD"/>
    <w:rsid w:val="008560DC"/>
    <w:rsid w:val="00857CA1"/>
    <w:rsid w:val="008700B3"/>
    <w:rsid w:val="00880732"/>
    <w:rsid w:val="008846E5"/>
    <w:rsid w:val="00887CE9"/>
    <w:rsid w:val="00892549"/>
    <w:rsid w:val="00895283"/>
    <w:rsid w:val="008A1122"/>
    <w:rsid w:val="008D2133"/>
    <w:rsid w:val="008D4C28"/>
    <w:rsid w:val="008F4561"/>
    <w:rsid w:val="00922356"/>
    <w:rsid w:val="009261B3"/>
    <w:rsid w:val="00944413"/>
    <w:rsid w:val="00964F56"/>
    <w:rsid w:val="009904A8"/>
    <w:rsid w:val="00991CC3"/>
    <w:rsid w:val="0099209F"/>
    <w:rsid w:val="00994625"/>
    <w:rsid w:val="00995C0A"/>
    <w:rsid w:val="009B3ECD"/>
    <w:rsid w:val="009C6190"/>
    <w:rsid w:val="009C66B8"/>
    <w:rsid w:val="009D15BD"/>
    <w:rsid w:val="00A60247"/>
    <w:rsid w:val="00A618D4"/>
    <w:rsid w:val="00A72FAC"/>
    <w:rsid w:val="00A73FF1"/>
    <w:rsid w:val="00A84D45"/>
    <w:rsid w:val="00A852B9"/>
    <w:rsid w:val="00AE0852"/>
    <w:rsid w:val="00AE2FBB"/>
    <w:rsid w:val="00AF66FF"/>
    <w:rsid w:val="00B02808"/>
    <w:rsid w:val="00B14167"/>
    <w:rsid w:val="00B27128"/>
    <w:rsid w:val="00B27A34"/>
    <w:rsid w:val="00B61898"/>
    <w:rsid w:val="00B62AD2"/>
    <w:rsid w:val="00B66E02"/>
    <w:rsid w:val="00B83C15"/>
    <w:rsid w:val="00B84A3F"/>
    <w:rsid w:val="00B9445C"/>
    <w:rsid w:val="00B97A58"/>
    <w:rsid w:val="00BB160A"/>
    <w:rsid w:val="00BB78D7"/>
    <w:rsid w:val="00BD7097"/>
    <w:rsid w:val="00BE0D03"/>
    <w:rsid w:val="00BE4FC0"/>
    <w:rsid w:val="00BE61A5"/>
    <w:rsid w:val="00BE727D"/>
    <w:rsid w:val="00BF026F"/>
    <w:rsid w:val="00C01295"/>
    <w:rsid w:val="00C05B77"/>
    <w:rsid w:val="00C14A46"/>
    <w:rsid w:val="00C14EC1"/>
    <w:rsid w:val="00C45345"/>
    <w:rsid w:val="00C50670"/>
    <w:rsid w:val="00C50DB4"/>
    <w:rsid w:val="00C71DDA"/>
    <w:rsid w:val="00C72CB7"/>
    <w:rsid w:val="00C759C9"/>
    <w:rsid w:val="00C8509C"/>
    <w:rsid w:val="00C90DB9"/>
    <w:rsid w:val="00C9244D"/>
    <w:rsid w:val="00CA25AD"/>
    <w:rsid w:val="00CB0052"/>
    <w:rsid w:val="00CB3B56"/>
    <w:rsid w:val="00CD0F14"/>
    <w:rsid w:val="00D00291"/>
    <w:rsid w:val="00D033F1"/>
    <w:rsid w:val="00D46CF2"/>
    <w:rsid w:val="00D53428"/>
    <w:rsid w:val="00D62642"/>
    <w:rsid w:val="00D653DA"/>
    <w:rsid w:val="00D75BFF"/>
    <w:rsid w:val="00D8040B"/>
    <w:rsid w:val="00D814E4"/>
    <w:rsid w:val="00D93B57"/>
    <w:rsid w:val="00DA6567"/>
    <w:rsid w:val="00DC13BB"/>
    <w:rsid w:val="00DC6519"/>
    <w:rsid w:val="00DF08C8"/>
    <w:rsid w:val="00DF2A25"/>
    <w:rsid w:val="00E0338F"/>
    <w:rsid w:val="00E10D18"/>
    <w:rsid w:val="00E11D54"/>
    <w:rsid w:val="00E26A25"/>
    <w:rsid w:val="00E26D38"/>
    <w:rsid w:val="00E334C3"/>
    <w:rsid w:val="00E37AFD"/>
    <w:rsid w:val="00E47CC0"/>
    <w:rsid w:val="00E5064D"/>
    <w:rsid w:val="00E67E0D"/>
    <w:rsid w:val="00EA4CBD"/>
    <w:rsid w:val="00EA5418"/>
    <w:rsid w:val="00EB52ED"/>
    <w:rsid w:val="00EE36AA"/>
    <w:rsid w:val="00EF443D"/>
    <w:rsid w:val="00EF4BC2"/>
    <w:rsid w:val="00EF5BAE"/>
    <w:rsid w:val="00F01DB7"/>
    <w:rsid w:val="00F90BF1"/>
    <w:rsid w:val="00FA21C0"/>
    <w:rsid w:val="00FB758F"/>
    <w:rsid w:val="00FC2331"/>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C80BE6-B5DE-463F-8B5D-86187725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25</Pages>
  <Words>5033</Words>
  <Characters>28690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lss</cp:lastModifiedBy>
  <cp:revision>192</cp:revision>
  <dcterms:created xsi:type="dcterms:W3CDTF">2015-08-27T09:22:00Z</dcterms:created>
  <dcterms:modified xsi:type="dcterms:W3CDTF">2015-09-02T12:58:00Z</dcterms:modified>
</cp:coreProperties>
</file>